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3770" w:rsidRDefault="008F3770" w:rsidP="008F3770">
      <w:pPr>
        <w:spacing w:line="480" w:lineRule="auto"/>
        <w:jc w:val="center"/>
        <w:rPr>
          <w:rFonts w:ascii="Times New Roman" w:hAnsi="Times New Roman" w:cs="Times New Roman"/>
        </w:rPr>
      </w:pPr>
      <w:bookmarkStart w:id="0" w:name="_GoBack"/>
      <w:bookmarkEnd w:id="0"/>
      <w:r>
        <w:rPr>
          <w:rFonts w:ascii="Times New Roman" w:hAnsi="Times New Roman" w:cs="Times New Roman"/>
        </w:rPr>
        <w:t>The Coronation and Banquet of King Henry IV</w:t>
      </w:r>
    </w:p>
    <w:p w:rsidR="008F3770" w:rsidRPr="003A0C59" w:rsidRDefault="008F3770" w:rsidP="00763D5E">
      <w:pPr>
        <w:spacing w:line="480" w:lineRule="auto"/>
        <w:jc w:val="center"/>
        <w:rPr>
          <w:rFonts w:ascii="Times New Roman" w:hAnsi="Times New Roman" w:cs="Times New Roman"/>
        </w:rPr>
      </w:pPr>
      <w:r>
        <w:rPr>
          <w:rFonts w:ascii="Times New Roman" w:hAnsi="Times New Roman" w:cs="Times New Roman"/>
        </w:rPr>
        <w:t>Emily Barker</w:t>
      </w:r>
    </w:p>
    <w:p w:rsidR="008F3770" w:rsidRPr="001D6B20" w:rsidRDefault="008F3770" w:rsidP="008F3770">
      <w:pPr>
        <w:spacing w:line="480" w:lineRule="auto"/>
        <w:rPr>
          <w:rFonts w:ascii="Times New Roman" w:hAnsi="Times New Roman" w:cs="Times New Roman"/>
          <w:b/>
          <w:bCs/>
          <w:u w:val="single"/>
        </w:rPr>
      </w:pPr>
      <w:r w:rsidRPr="001D6B20">
        <w:rPr>
          <w:rFonts w:ascii="Times New Roman" w:hAnsi="Times New Roman" w:cs="Times New Roman"/>
          <w:b/>
          <w:bCs/>
          <w:u w:val="single"/>
        </w:rPr>
        <w:t xml:space="preserve">The </w:t>
      </w:r>
      <w:r>
        <w:rPr>
          <w:rFonts w:ascii="Times New Roman" w:hAnsi="Times New Roman" w:cs="Times New Roman"/>
          <w:b/>
          <w:bCs/>
          <w:u w:val="single"/>
        </w:rPr>
        <w:t>Deposition</w:t>
      </w:r>
      <w:r w:rsidRPr="001D6B20">
        <w:rPr>
          <w:rFonts w:ascii="Times New Roman" w:hAnsi="Times New Roman" w:cs="Times New Roman"/>
          <w:b/>
          <w:bCs/>
          <w:u w:val="single"/>
        </w:rPr>
        <w:t xml:space="preserve"> of King Richard II</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Henry IV, also known as Henry of Bolingbroke and Henry of Lancaster, was crowned King of England on October 13</w:t>
      </w:r>
      <w:r>
        <w:rPr>
          <w:rStyle w:val="FootnoteReference"/>
          <w:rFonts w:ascii="Times New Roman" w:hAnsi="Times New Roman" w:cs="Times New Roman"/>
        </w:rPr>
        <w:footnoteReference w:id="1"/>
      </w:r>
      <w:r>
        <w:rPr>
          <w:rFonts w:ascii="Times New Roman" w:hAnsi="Times New Roman" w:cs="Times New Roman"/>
        </w:rPr>
        <w:t>. 1399. His coronation followed the tumultuous reign of his cousin, King Richard II (1377-99), whom Henry had deposed and imprisoned in a bloodless coup. He was still wary of the possibility of his own overthrow</w:t>
      </w:r>
      <w:r>
        <w:rPr>
          <w:rStyle w:val="FootnoteReference"/>
          <w:rFonts w:ascii="Times New Roman" w:hAnsi="Times New Roman" w:cs="Times New Roman"/>
        </w:rPr>
        <w:footnoteReference w:id="2"/>
      </w:r>
      <w:r>
        <w:rPr>
          <w:rFonts w:ascii="Times New Roman" w:hAnsi="Times New Roman" w:cs="Times New Roman"/>
        </w:rPr>
        <w:t xml:space="preserve">. </w:t>
      </w:r>
      <w:r w:rsidRPr="001C6E3C">
        <w:rPr>
          <w:rFonts w:ascii="Times New Roman" w:hAnsi="Times New Roman" w:cs="Times New Roman"/>
        </w:rPr>
        <w:t>Therefore</w:t>
      </w:r>
      <w:r>
        <w:rPr>
          <w:rFonts w:ascii="Times New Roman" w:hAnsi="Times New Roman" w:cs="Times New Roman"/>
        </w:rPr>
        <w:t xml:space="preserve">, Henry needed to satisfy all possible arguments and emphasize his rightful </w:t>
      </w:r>
      <w:r w:rsidR="00631A92">
        <w:rPr>
          <w:rFonts w:ascii="Times New Roman" w:hAnsi="Times New Roman" w:cs="Times New Roman"/>
        </w:rPr>
        <w:t xml:space="preserve">ascension </w:t>
      </w:r>
      <w:r>
        <w:rPr>
          <w:rFonts w:ascii="Times New Roman" w:hAnsi="Times New Roman" w:cs="Times New Roman"/>
        </w:rPr>
        <w:t>a</w:t>
      </w:r>
      <w:r w:rsidR="00631A92">
        <w:rPr>
          <w:rFonts w:ascii="Times New Roman" w:hAnsi="Times New Roman" w:cs="Times New Roman"/>
        </w:rPr>
        <w:t>s</w:t>
      </w:r>
      <w:r>
        <w:rPr>
          <w:rFonts w:ascii="Times New Roman" w:hAnsi="Times New Roman" w:cs="Times New Roman"/>
        </w:rPr>
        <w:t xml:space="preserve"> king </w:t>
      </w:r>
      <w:r w:rsidR="00631A92">
        <w:rPr>
          <w:rFonts w:ascii="Times New Roman" w:hAnsi="Times New Roman" w:cs="Times New Roman"/>
        </w:rPr>
        <w:t>to all previous kings.</w:t>
      </w:r>
      <w:r>
        <w:rPr>
          <w:rStyle w:val="FootnoteReference"/>
          <w:rFonts w:ascii="Times New Roman" w:hAnsi="Times New Roman" w:cs="Times New Roman"/>
        </w:rPr>
        <w:footnoteReference w:id="3"/>
      </w:r>
      <w:r>
        <w:rPr>
          <w:rFonts w:ascii="Times New Roman" w:hAnsi="Times New Roman" w:cs="Times New Roman"/>
        </w:rPr>
        <w:t xml:space="preserve"> To accomplish such a task while maintaining order </w:t>
      </w:r>
      <w:r w:rsidR="00631A92">
        <w:rPr>
          <w:rFonts w:ascii="Times New Roman" w:hAnsi="Times New Roman" w:cs="Times New Roman"/>
        </w:rPr>
        <w:t>in</w:t>
      </w:r>
      <w:r>
        <w:rPr>
          <w:rFonts w:ascii="Times New Roman" w:hAnsi="Times New Roman" w:cs="Times New Roman"/>
        </w:rPr>
        <w:t xml:space="preserve"> the fragile kingdom of England, Henry needed to have a well-choreographed coronation, and have hosted a carefully curated selection of foods for his banquet. This meant that Henry</w:t>
      </w:r>
      <w:r w:rsidR="00631A92">
        <w:rPr>
          <w:rFonts w:ascii="Times New Roman" w:hAnsi="Times New Roman" w:cs="Times New Roman"/>
        </w:rPr>
        <w:t>’</w:t>
      </w:r>
      <w:r>
        <w:rPr>
          <w:rFonts w:ascii="Times New Roman" w:hAnsi="Times New Roman" w:cs="Times New Roman"/>
        </w:rPr>
        <w:t xml:space="preserve">s coronation and banquet were slightly unusual.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The prologue to Henry</w:t>
      </w:r>
      <w:r w:rsidR="00631A92">
        <w:rPr>
          <w:rFonts w:ascii="Times New Roman" w:hAnsi="Times New Roman" w:cs="Times New Roman"/>
        </w:rPr>
        <w:t>’</w:t>
      </w:r>
      <w:r>
        <w:rPr>
          <w:rFonts w:ascii="Times New Roman" w:hAnsi="Times New Roman" w:cs="Times New Roman"/>
        </w:rPr>
        <w:t xml:space="preserve">s succession begins roughly eighty years prior to Henry, with Edward II. Edward reigned during the Great Famine, between 1315 and 1322, which saw so many people die that </w:t>
      </w:r>
      <w:r w:rsidR="00631A92">
        <w:rPr>
          <w:rFonts w:ascii="Times New Roman" w:hAnsi="Times New Roman" w:cs="Times New Roman"/>
        </w:rPr>
        <w:t>there wasn’t enough people to bury the dead</w:t>
      </w:r>
      <w:r>
        <w:rPr>
          <w:rStyle w:val="FootnoteReference"/>
          <w:rFonts w:ascii="Times New Roman" w:hAnsi="Times New Roman" w:cs="Times New Roman"/>
        </w:rPr>
        <w:footnoteReference w:id="4"/>
      </w:r>
      <w:r>
        <w:rPr>
          <w:rFonts w:ascii="Times New Roman" w:hAnsi="Times New Roman" w:cs="Times New Roman"/>
        </w:rPr>
        <w:t xml:space="preserve"> In an attempt to ease the growing tension between the classes and diminish the unnecessary consumption of foods, Edward issued a proclamation intended to curtail the feasts that nobility had been enjoying. His proclamation details the new rule the nobility were to adhere to, and why they were to do so:</w:t>
      </w:r>
    </w:p>
    <w:p w:rsidR="008F3770" w:rsidRDefault="008F3770" w:rsidP="008F3770">
      <w:pPr>
        <w:spacing w:line="480" w:lineRule="auto"/>
        <w:ind w:left="1440" w:right="1440" w:firstLine="720"/>
        <w:rPr>
          <w:rFonts w:ascii="Times New Roman" w:hAnsi="Times New Roman" w:cs="Times New Roman"/>
        </w:rPr>
      </w:pPr>
      <w:r>
        <w:rPr>
          <w:rFonts w:ascii="Times New Roman" w:hAnsi="Times New Roman" w:cs="Times New Roman"/>
        </w:rPr>
        <w:t xml:space="preserve">…(Due to) outrageous and excessive multitude of meats and dishes, which the great men of the kingdom used </w:t>
      </w:r>
      <w:r>
        <w:rPr>
          <w:rFonts w:ascii="Times New Roman" w:hAnsi="Times New Roman" w:cs="Times New Roman"/>
        </w:rPr>
        <w:lastRenderedPageBreak/>
        <w:t>in their castles, and by persons of inferior rank imitating their example, beyond what their stations required, and their circumstances could afford, many great evils had come upon the kingdom, the health of the King’s subjects had been injured, their property consumed, and they had been reduced to poverty…(thus) the great men of the kingdom should have only two courses of flesh meats served up to the tables, each course consisting only of two kinds of flesh meat…</w:t>
      </w:r>
      <w:r>
        <w:rPr>
          <w:rStyle w:val="FootnoteReference"/>
          <w:rFonts w:ascii="Times New Roman" w:hAnsi="Times New Roman" w:cs="Times New Roman"/>
        </w:rPr>
        <w:footnoteReference w:id="5"/>
      </w:r>
    </w:p>
    <w:p w:rsidR="008F3770" w:rsidRPr="00B74F81"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However, King Richard II thought himself above such proclamations, as he believed himself king and therefore answerable only to himself and God. His subsequent usurpation was the outcome of that belief. Specifically, Richard </w:t>
      </w:r>
      <w:r w:rsidR="00631A92">
        <w:rPr>
          <w:rFonts w:ascii="Times New Roman" w:hAnsi="Times New Roman" w:cs="Times New Roman"/>
        </w:rPr>
        <w:t xml:space="preserve">II </w:t>
      </w:r>
      <w:r>
        <w:rPr>
          <w:rFonts w:ascii="Times New Roman" w:hAnsi="Times New Roman" w:cs="Times New Roman"/>
        </w:rPr>
        <w:t xml:space="preserve">was known for his expensive tastes and extravagant banquets. In </w:t>
      </w:r>
      <w:r w:rsidRPr="00B74F81">
        <w:rPr>
          <w:rFonts w:ascii="Times New Roman" w:hAnsi="Times New Roman" w:cs="Times New Roman"/>
          <w:i/>
        </w:rPr>
        <w:t>Antiquitates Culinariae</w:t>
      </w:r>
      <w:r w:rsidR="00631A92">
        <w:rPr>
          <w:rFonts w:ascii="Times New Roman" w:hAnsi="Times New Roman" w:cs="Times New Roman"/>
          <w:i/>
        </w:rPr>
        <w:t>,</w:t>
      </w:r>
      <w:r w:rsidRPr="00B74F81">
        <w:rPr>
          <w:rFonts w:ascii="Times New Roman" w:hAnsi="Times New Roman" w:cs="Times New Roman"/>
          <w:i/>
        </w:rPr>
        <w:t xml:space="preserve"> </w:t>
      </w:r>
      <w:r>
        <w:rPr>
          <w:rFonts w:ascii="Times New Roman" w:hAnsi="Times New Roman" w:cs="Times New Roman"/>
        </w:rPr>
        <w:t xml:space="preserve">Reverend Richard Warner </w:t>
      </w:r>
      <w:r w:rsidR="00631A92">
        <w:rPr>
          <w:rFonts w:ascii="Times New Roman" w:hAnsi="Times New Roman" w:cs="Times New Roman"/>
        </w:rPr>
        <w:t>reported</w:t>
      </w:r>
      <w:r>
        <w:rPr>
          <w:rFonts w:ascii="Times New Roman" w:hAnsi="Times New Roman" w:cs="Times New Roman"/>
        </w:rPr>
        <w:t xml:space="preserve"> that “Two thousand cooks and three hundred servitors were employed in his kitchen…twenty eight oxen, three hundred sheep, and an incredible number of fowls and all kinds of game were slaughtered every morning”</w:t>
      </w:r>
      <w:r>
        <w:rPr>
          <w:rStyle w:val="FootnoteReference"/>
          <w:rFonts w:ascii="Times New Roman" w:hAnsi="Times New Roman" w:cs="Times New Roman"/>
        </w:rPr>
        <w:footnoteReference w:id="6"/>
      </w:r>
      <w:r>
        <w:rPr>
          <w:rFonts w:ascii="Times New Roman" w:hAnsi="Times New Roman" w:cs="Times New Roman"/>
        </w:rPr>
        <w:t xml:space="preserve"> this endless frivolous consumption, coupled with rising taxes </w:t>
      </w:r>
      <w:r w:rsidR="00631A92">
        <w:rPr>
          <w:rFonts w:ascii="Times New Roman" w:hAnsi="Times New Roman" w:cs="Times New Roman"/>
        </w:rPr>
        <w:t>that were needed to pay for the</w:t>
      </w:r>
      <w:r>
        <w:rPr>
          <w:rFonts w:ascii="Times New Roman" w:hAnsi="Times New Roman" w:cs="Times New Roman"/>
        </w:rPr>
        <w:t xml:space="preserve"> 100 years’ war between England and France, as well as Richards general disinterest with the lower classes eventually caused Richard</w:t>
      </w:r>
      <w:r w:rsidR="00BE5EC5">
        <w:rPr>
          <w:rFonts w:ascii="Times New Roman" w:hAnsi="Times New Roman" w:cs="Times New Roman"/>
        </w:rPr>
        <w:t>’</w:t>
      </w:r>
      <w:r>
        <w:rPr>
          <w:rFonts w:ascii="Times New Roman" w:hAnsi="Times New Roman" w:cs="Times New Roman"/>
        </w:rPr>
        <w:t>s downfall and led to the Henry IV</w:t>
      </w:r>
      <w:r w:rsidR="00BE5EC5">
        <w:rPr>
          <w:rFonts w:ascii="Times New Roman" w:hAnsi="Times New Roman" w:cs="Times New Roman"/>
        </w:rPr>
        <w:t>’</w:t>
      </w:r>
      <w:r>
        <w:rPr>
          <w:rFonts w:ascii="Times New Roman" w:hAnsi="Times New Roman" w:cs="Times New Roman"/>
        </w:rPr>
        <w:t xml:space="preserve">s usurpation of the throne.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Therefore, when Henry took the throne, even though he had the support of the peasants, some of the nobility and the clergy, he needed to carefully navigate the political </w:t>
      </w:r>
      <w:r>
        <w:rPr>
          <w:rFonts w:ascii="Times New Roman" w:hAnsi="Times New Roman" w:cs="Times New Roman"/>
        </w:rPr>
        <w:lastRenderedPageBreak/>
        <w:t xml:space="preserve">miasma Richard II left behind, while ensuring that the fragile peace with the French was maintained. His goal at his coronation was to ensure the lower classes, nobility, and clergy knew he had been chosen by God to rule England, and would protect England by being a good king. In this way, he would receive the backing of the people, and secure the throne from those who would attempt to depose him. </w:t>
      </w:r>
    </w:p>
    <w:p w:rsidR="008F3770" w:rsidRDefault="008F3770" w:rsidP="008F3770">
      <w:pPr>
        <w:spacing w:line="480" w:lineRule="auto"/>
        <w:rPr>
          <w:rFonts w:ascii="Times New Roman" w:hAnsi="Times New Roman" w:cs="Times New Roman"/>
          <w:b/>
          <w:bCs/>
          <w:u w:val="single"/>
        </w:rPr>
      </w:pPr>
    </w:p>
    <w:p w:rsidR="008F3770" w:rsidRPr="001D6B20" w:rsidRDefault="008F3770" w:rsidP="008F3770">
      <w:pPr>
        <w:spacing w:line="480" w:lineRule="auto"/>
        <w:rPr>
          <w:rFonts w:ascii="Times New Roman" w:hAnsi="Times New Roman" w:cs="Times New Roman"/>
          <w:b/>
          <w:bCs/>
          <w:u w:val="single"/>
        </w:rPr>
      </w:pPr>
      <w:r>
        <w:rPr>
          <w:rFonts w:ascii="Times New Roman" w:hAnsi="Times New Roman" w:cs="Times New Roman"/>
          <w:b/>
          <w:bCs/>
          <w:u w:val="single"/>
        </w:rPr>
        <w:t>Henry IV ascends</w:t>
      </w:r>
      <w:r w:rsidRPr="001D6B20">
        <w:rPr>
          <w:rFonts w:ascii="Times New Roman" w:hAnsi="Times New Roman" w:cs="Times New Roman"/>
          <w:b/>
          <w:bCs/>
          <w:u w:val="single"/>
        </w:rPr>
        <w:t xml:space="preserve"> to the English Throne</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To accomplish a successful coronation, Henry chose to have </w:t>
      </w:r>
      <w:r w:rsidR="00BE5EC5">
        <w:rPr>
          <w:rFonts w:ascii="Times New Roman" w:hAnsi="Times New Roman" w:cs="Times New Roman"/>
        </w:rPr>
        <w:t>his coronation</w:t>
      </w:r>
      <w:r>
        <w:rPr>
          <w:rFonts w:ascii="Times New Roman" w:hAnsi="Times New Roman" w:cs="Times New Roman"/>
        </w:rPr>
        <w:t xml:space="preserve"> on </w:t>
      </w:r>
      <w:r w:rsidR="00BE5EC5">
        <w:rPr>
          <w:rFonts w:ascii="Times New Roman" w:hAnsi="Times New Roman" w:cs="Times New Roman"/>
        </w:rPr>
        <w:t>Sunday, October thirteenth. C</w:t>
      </w:r>
      <w:r>
        <w:rPr>
          <w:rFonts w:ascii="Times New Roman" w:hAnsi="Times New Roman" w:cs="Times New Roman"/>
        </w:rPr>
        <w:t xml:space="preserve">oronations were usually held on Sundays </w:t>
      </w:r>
      <w:r w:rsidR="00BE5EC5">
        <w:rPr>
          <w:rFonts w:ascii="Times New Roman" w:hAnsi="Times New Roman" w:cs="Times New Roman"/>
        </w:rPr>
        <w:t xml:space="preserve">because of their quasi-sacramental character. </w:t>
      </w:r>
      <w:r>
        <w:rPr>
          <w:rFonts w:ascii="Times New Roman" w:hAnsi="Times New Roman" w:cs="Times New Roman"/>
        </w:rPr>
        <w:t xml:space="preserve">The two reasons for being crowned on October 13, according to Chris Given-Wilson were, firstly because it was the </w:t>
      </w:r>
      <w:r w:rsidR="00BE5EC5">
        <w:rPr>
          <w:rFonts w:ascii="Times New Roman" w:hAnsi="Times New Roman" w:cs="Times New Roman"/>
        </w:rPr>
        <w:t>feast</w:t>
      </w:r>
      <w:r>
        <w:rPr>
          <w:rFonts w:ascii="Times New Roman" w:hAnsi="Times New Roman" w:cs="Times New Roman"/>
        </w:rPr>
        <w:t xml:space="preserve"> of Saint Edward the Confessor,</w:t>
      </w:r>
      <w:r>
        <w:rPr>
          <w:rStyle w:val="FootnoteReference"/>
          <w:rFonts w:ascii="Times New Roman" w:hAnsi="Times New Roman" w:cs="Times New Roman"/>
        </w:rPr>
        <w:footnoteReference w:id="7"/>
      </w:r>
      <w:r>
        <w:rPr>
          <w:rFonts w:ascii="Times New Roman" w:hAnsi="Times New Roman" w:cs="Times New Roman"/>
        </w:rPr>
        <w:t xml:space="preserve"> </w:t>
      </w:r>
      <w:r w:rsidR="00BE5EC5">
        <w:rPr>
          <w:rFonts w:ascii="Times New Roman" w:hAnsi="Times New Roman" w:cs="Times New Roman"/>
        </w:rPr>
        <w:t>who was the patron saint of England’s medieval Monarchs</w:t>
      </w:r>
      <w:r>
        <w:rPr>
          <w:rFonts w:ascii="Times New Roman" w:hAnsi="Times New Roman" w:cs="Times New Roman"/>
        </w:rPr>
        <w:t xml:space="preserve">. By using this holy day, Henry </w:t>
      </w:r>
      <w:r w:rsidR="00BE5EC5">
        <w:rPr>
          <w:rFonts w:ascii="Times New Roman" w:hAnsi="Times New Roman" w:cs="Times New Roman"/>
        </w:rPr>
        <w:t>was</w:t>
      </w:r>
      <w:r>
        <w:rPr>
          <w:rFonts w:ascii="Times New Roman" w:hAnsi="Times New Roman" w:cs="Times New Roman"/>
        </w:rPr>
        <w:t xml:space="preserve"> “(appropriating) the saint who had become the talisman of English monarchy.”</w:t>
      </w:r>
      <w:r>
        <w:rPr>
          <w:rStyle w:val="FootnoteReference"/>
          <w:rFonts w:ascii="Times New Roman" w:hAnsi="Times New Roman" w:cs="Times New Roman"/>
        </w:rPr>
        <w:footnoteReference w:id="8"/>
      </w:r>
      <w:r>
        <w:rPr>
          <w:rFonts w:ascii="Times New Roman" w:hAnsi="Times New Roman" w:cs="Times New Roman"/>
        </w:rPr>
        <w:t xml:space="preserve"> His choice of coronation day was also a political move against the French as it sent a message proving that the English crown was a reinstated power. Using the saints’ day is also a way of adding further religious power for Henry, as he in essence, takes on those saint-like qualities and uses them to set the tone for his reign. </w:t>
      </w:r>
      <w:r w:rsidR="00BE5EC5">
        <w:rPr>
          <w:rFonts w:ascii="Times New Roman" w:hAnsi="Times New Roman" w:cs="Times New Roman"/>
        </w:rPr>
        <w:t>The day also</w:t>
      </w:r>
      <w:r>
        <w:rPr>
          <w:rFonts w:ascii="Times New Roman" w:hAnsi="Times New Roman" w:cs="Times New Roman"/>
        </w:rPr>
        <w:t xml:space="preserve"> marked the anniversary of his exile from England</w:t>
      </w:r>
      <w:r w:rsidR="00BE5EC5">
        <w:rPr>
          <w:rFonts w:ascii="Times New Roman" w:hAnsi="Times New Roman" w:cs="Times New Roman"/>
        </w:rPr>
        <w:t xml:space="preserve"> by Richard II one year previously</w:t>
      </w:r>
      <w:r>
        <w:rPr>
          <w:rFonts w:ascii="Times New Roman" w:hAnsi="Times New Roman" w:cs="Times New Roman"/>
        </w:rPr>
        <w:t>.</w:t>
      </w:r>
      <w:r>
        <w:rPr>
          <w:rStyle w:val="FootnoteReference"/>
          <w:rFonts w:ascii="Times New Roman" w:hAnsi="Times New Roman" w:cs="Times New Roman"/>
        </w:rPr>
        <w:footnoteReference w:id="9"/>
      </w:r>
      <w:r>
        <w:rPr>
          <w:rFonts w:ascii="Times New Roman" w:hAnsi="Times New Roman" w:cs="Times New Roman"/>
        </w:rPr>
        <w:t xml:space="preserve"> Which Given-Wilson says may have been a lucky day for Henry.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The day before the coronation was a grand affair, Henry rode through London astride a white horse, dressed in gold and blue, and </w:t>
      </w:r>
      <w:r w:rsidR="00BE5EC5">
        <w:rPr>
          <w:rFonts w:ascii="Times New Roman" w:hAnsi="Times New Roman" w:cs="Times New Roman"/>
        </w:rPr>
        <w:t>wearing</w:t>
      </w:r>
      <w:r>
        <w:rPr>
          <w:rFonts w:ascii="Times New Roman" w:hAnsi="Times New Roman" w:cs="Times New Roman"/>
        </w:rPr>
        <w:t xml:space="preserve"> the badge of the king of France. With him </w:t>
      </w:r>
      <w:r w:rsidR="00BE5EC5">
        <w:rPr>
          <w:rFonts w:ascii="Times New Roman" w:hAnsi="Times New Roman" w:cs="Times New Roman"/>
        </w:rPr>
        <w:t>were</w:t>
      </w:r>
      <w:r>
        <w:rPr>
          <w:rFonts w:ascii="Times New Roman" w:hAnsi="Times New Roman" w:cs="Times New Roman"/>
        </w:rPr>
        <w:t xml:space="preserve"> “2,000 lords, ladies, knights, clerks and household servants, all </w:t>
      </w:r>
      <w:r>
        <w:rPr>
          <w:rFonts w:ascii="Times New Roman" w:hAnsi="Times New Roman" w:cs="Times New Roman"/>
        </w:rPr>
        <w:lastRenderedPageBreak/>
        <w:t>wearing newly made robes, and perhaps three times as many horses.”</w:t>
      </w:r>
      <w:r>
        <w:rPr>
          <w:rStyle w:val="FootnoteReference"/>
          <w:rFonts w:ascii="Times New Roman" w:hAnsi="Times New Roman" w:cs="Times New Roman"/>
        </w:rPr>
        <w:footnoteReference w:id="10"/>
      </w:r>
      <w:r>
        <w:rPr>
          <w:rFonts w:ascii="Times New Roman" w:hAnsi="Times New Roman" w:cs="Times New Roman"/>
        </w:rPr>
        <w:t xml:space="preserve">  The white horse was a symbol of purity, while the badge of the King of France was meant to be a reminder </w:t>
      </w:r>
      <w:r w:rsidR="00BE5EC5">
        <w:rPr>
          <w:rFonts w:ascii="Times New Roman" w:hAnsi="Times New Roman" w:cs="Times New Roman"/>
        </w:rPr>
        <w:t xml:space="preserve">of the Plantagenet claim by the Lancasters </w:t>
      </w:r>
      <w:r>
        <w:rPr>
          <w:rFonts w:ascii="Times New Roman" w:hAnsi="Times New Roman" w:cs="Times New Roman"/>
        </w:rPr>
        <w:t xml:space="preserve">to the French Throne. The </w:t>
      </w:r>
      <w:r w:rsidR="00BE5EC5">
        <w:rPr>
          <w:rFonts w:ascii="Times New Roman" w:hAnsi="Times New Roman" w:cs="Times New Roman"/>
        </w:rPr>
        <w:t>procession</w:t>
      </w:r>
      <w:r>
        <w:rPr>
          <w:rFonts w:ascii="Times New Roman" w:hAnsi="Times New Roman" w:cs="Times New Roman"/>
        </w:rPr>
        <w:t xml:space="preserve"> that </w:t>
      </w:r>
      <w:r w:rsidR="00BE5EC5">
        <w:rPr>
          <w:rFonts w:ascii="Times New Roman" w:hAnsi="Times New Roman" w:cs="Times New Roman"/>
        </w:rPr>
        <w:t>rode</w:t>
      </w:r>
      <w:r>
        <w:rPr>
          <w:rFonts w:ascii="Times New Roman" w:hAnsi="Times New Roman" w:cs="Times New Roman"/>
        </w:rPr>
        <w:t xml:space="preserve"> through London would have bolstered the confidence of the </w:t>
      </w:r>
      <w:r w:rsidR="00BE5EC5">
        <w:rPr>
          <w:rFonts w:ascii="Times New Roman" w:hAnsi="Times New Roman" w:cs="Times New Roman"/>
        </w:rPr>
        <w:t>onlookers</w:t>
      </w:r>
      <w:r>
        <w:rPr>
          <w:rFonts w:ascii="Times New Roman" w:hAnsi="Times New Roman" w:cs="Times New Roman"/>
        </w:rPr>
        <w:t xml:space="preserve"> and showed the power that was returning to England.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The following day, Henry </w:t>
      </w:r>
      <w:r w:rsidR="00BE5EC5">
        <w:rPr>
          <w:rFonts w:ascii="Times New Roman" w:hAnsi="Times New Roman" w:cs="Times New Roman"/>
        </w:rPr>
        <w:t>made his</w:t>
      </w:r>
      <w:r>
        <w:rPr>
          <w:rFonts w:ascii="Times New Roman" w:hAnsi="Times New Roman" w:cs="Times New Roman"/>
        </w:rPr>
        <w:t xml:space="preserve"> confession and heard three masses. Following those, he was purified with incense and holy water, and led to the </w:t>
      </w:r>
      <w:r w:rsidR="00BE5EC5">
        <w:rPr>
          <w:rFonts w:ascii="Times New Roman" w:hAnsi="Times New Roman" w:cs="Times New Roman"/>
        </w:rPr>
        <w:t xml:space="preserve">Westminster </w:t>
      </w:r>
      <w:r>
        <w:rPr>
          <w:rFonts w:ascii="Times New Roman" w:hAnsi="Times New Roman" w:cs="Times New Roman"/>
        </w:rPr>
        <w:t>abbey. Surrounding him were monks and the Bishop of London, carrying the holy sacrament and singing mass.</w:t>
      </w:r>
      <w:r>
        <w:rPr>
          <w:rStyle w:val="FootnoteReference"/>
          <w:rFonts w:ascii="Times New Roman" w:hAnsi="Times New Roman" w:cs="Times New Roman"/>
        </w:rPr>
        <w:footnoteReference w:id="11"/>
      </w:r>
      <w:r>
        <w:rPr>
          <w:rFonts w:ascii="Times New Roman" w:hAnsi="Times New Roman" w:cs="Times New Roman"/>
        </w:rPr>
        <w:t xml:space="preserve"> Prior to the actual crowning, Adam of Usk; a chronicler of the time, tells us that Henry, “created forty-two knights, including his four sons, the earls of Arundel and Stafford, and the son and heir of the earl of Warwick, together with whom, as well as the other leading men of the realm, he made his way in great state to Westminster.”</w:t>
      </w:r>
      <w:r>
        <w:rPr>
          <w:rStyle w:val="FootnoteReference"/>
          <w:rFonts w:ascii="Times New Roman" w:hAnsi="Times New Roman" w:cs="Times New Roman"/>
        </w:rPr>
        <w:footnoteReference w:id="12"/>
      </w:r>
      <w:r>
        <w:rPr>
          <w:rFonts w:ascii="Times New Roman" w:hAnsi="Times New Roman" w:cs="Times New Roman"/>
        </w:rPr>
        <w:t xml:space="preserve"> This installation of forty knights </w:t>
      </w:r>
      <w:r w:rsidR="00BE5EC5">
        <w:rPr>
          <w:rFonts w:ascii="Times New Roman" w:hAnsi="Times New Roman" w:cs="Times New Roman"/>
        </w:rPr>
        <w:t xml:space="preserve">shows that Henry was cementing alliances.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He also needed to ensure that his own reign would appear </w:t>
      </w:r>
      <w:r w:rsidR="00BE5EC5">
        <w:rPr>
          <w:rFonts w:ascii="Times New Roman" w:hAnsi="Times New Roman" w:cs="Times New Roman"/>
        </w:rPr>
        <w:t>ordained by God</w:t>
      </w:r>
      <w:r>
        <w:rPr>
          <w:rFonts w:ascii="Times New Roman" w:hAnsi="Times New Roman" w:cs="Times New Roman"/>
        </w:rPr>
        <w:t xml:space="preserve">, and all of these actions; attending mass, being purified, confessing, and receiving the holy sacrament, </w:t>
      </w:r>
      <w:r w:rsidR="00BE5EC5">
        <w:rPr>
          <w:rFonts w:ascii="Times New Roman" w:hAnsi="Times New Roman" w:cs="Times New Roman"/>
        </w:rPr>
        <w:t>were meant to demonstrate Henry’s spiritual fitness to rule.</w:t>
      </w:r>
      <w:r>
        <w:rPr>
          <w:rFonts w:ascii="Times New Roman" w:hAnsi="Times New Roman" w:cs="Times New Roman"/>
        </w:rPr>
        <w:t xml:space="preserve"> The entire process was </w:t>
      </w:r>
      <w:r w:rsidR="00BE5EC5">
        <w:rPr>
          <w:rFonts w:ascii="Times New Roman" w:hAnsi="Times New Roman" w:cs="Times New Roman"/>
        </w:rPr>
        <w:t>very</w:t>
      </w:r>
      <w:r>
        <w:rPr>
          <w:rFonts w:ascii="Times New Roman" w:hAnsi="Times New Roman" w:cs="Times New Roman"/>
        </w:rPr>
        <w:t xml:space="preserve"> important for beginning Henry</w:t>
      </w:r>
      <w:r w:rsidR="00631A92">
        <w:rPr>
          <w:rFonts w:ascii="Times New Roman" w:hAnsi="Times New Roman" w:cs="Times New Roman"/>
        </w:rPr>
        <w:t>’</w:t>
      </w:r>
      <w:r>
        <w:rPr>
          <w:rFonts w:ascii="Times New Roman" w:hAnsi="Times New Roman" w:cs="Times New Roman"/>
        </w:rPr>
        <w:t xml:space="preserve">s reign, as it would ensure that any questions about his claim to the throne by any of the classes could be denied due to his being accepted by God to lead the people. </w:t>
      </w:r>
    </w:p>
    <w:p w:rsidR="008F3770" w:rsidRDefault="008F3770" w:rsidP="008F3770">
      <w:pPr>
        <w:spacing w:line="480" w:lineRule="auto"/>
        <w:ind w:firstLine="720"/>
        <w:rPr>
          <w:rFonts w:ascii="Times New Roman" w:hAnsi="Times New Roman" w:cs="Times New Roman"/>
        </w:rPr>
      </w:pPr>
      <w:r w:rsidRPr="00617542">
        <w:rPr>
          <w:rFonts w:ascii="Times New Roman" w:hAnsi="Times New Roman" w:cs="Times New Roman"/>
        </w:rPr>
        <w:t>The events of the coronation (preserved in the Annal</w:t>
      </w:r>
      <w:r w:rsidR="00BE5EC5">
        <w:rPr>
          <w:rFonts w:ascii="Times New Roman" w:hAnsi="Times New Roman" w:cs="Times New Roman"/>
        </w:rPr>
        <w:t>e</w:t>
      </w:r>
      <w:r w:rsidRPr="00617542">
        <w:rPr>
          <w:rFonts w:ascii="Times New Roman" w:hAnsi="Times New Roman" w:cs="Times New Roman"/>
        </w:rPr>
        <w:t xml:space="preserve">s Ricardi Secundi, </w:t>
      </w:r>
      <w:r w:rsidR="00BE5EC5">
        <w:rPr>
          <w:rFonts w:ascii="Times New Roman" w:hAnsi="Times New Roman" w:cs="Times New Roman"/>
        </w:rPr>
        <w:t>[</w:t>
      </w:r>
      <w:r w:rsidRPr="00617542">
        <w:rPr>
          <w:rFonts w:ascii="Times New Roman" w:hAnsi="Times New Roman" w:cs="Times New Roman"/>
        </w:rPr>
        <w:t>297-331</w:t>
      </w:r>
      <w:r w:rsidR="00BE5EC5">
        <w:rPr>
          <w:rFonts w:ascii="Times New Roman" w:hAnsi="Times New Roman" w:cs="Times New Roman"/>
        </w:rPr>
        <w:t>]</w:t>
      </w:r>
      <w:r w:rsidRPr="00617542">
        <w:rPr>
          <w:rFonts w:ascii="Times New Roman" w:hAnsi="Times New Roman" w:cs="Times New Roman"/>
        </w:rPr>
        <w:t>)</w:t>
      </w:r>
      <w:r>
        <w:rPr>
          <w:rFonts w:ascii="Times New Roman" w:hAnsi="Times New Roman" w:cs="Times New Roman"/>
        </w:rPr>
        <w:t xml:space="preserve"> were unusual because, as </w:t>
      </w:r>
      <w:r w:rsidR="00BE5EC5">
        <w:rPr>
          <w:rFonts w:ascii="Times New Roman" w:hAnsi="Times New Roman" w:cs="Times New Roman"/>
        </w:rPr>
        <w:t>the character</w:t>
      </w:r>
      <w:r>
        <w:rPr>
          <w:rFonts w:ascii="Times New Roman" w:hAnsi="Times New Roman" w:cs="Times New Roman"/>
        </w:rPr>
        <w:t xml:space="preserve"> Thomas Walsingham </w:t>
      </w:r>
      <w:r w:rsidR="00BE5EC5">
        <w:rPr>
          <w:rFonts w:ascii="Times New Roman" w:hAnsi="Times New Roman" w:cs="Times New Roman"/>
        </w:rPr>
        <w:t>reported</w:t>
      </w:r>
      <w:r>
        <w:rPr>
          <w:rFonts w:ascii="Times New Roman" w:hAnsi="Times New Roman" w:cs="Times New Roman"/>
        </w:rPr>
        <w:t>, special oil was used that had been left by St. Thomas</w:t>
      </w:r>
      <w:r w:rsidR="00BE5EC5">
        <w:rPr>
          <w:rFonts w:ascii="Times New Roman" w:hAnsi="Times New Roman" w:cs="Times New Roman"/>
        </w:rPr>
        <w:t xml:space="preserve"> Becket</w:t>
      </w:r>
      <w:r>
        <w:rPr>
          <w:rFonts w:ascii="Times New Roman" w:hAnsi="Times New Roman" w:cs="Times New Roman"/>
        </w:rPr>
        <w:t xml:space="preserve">, accompanied by a prophecy made to </w:t>
      </w:r>
      <w:r>
        <w:rPr>
          <w:rFonts w:ascii="Times New Roman" w:hAnsi="Times New Roman" w:cs="Times New Roman"/>
        </w:rPr>
        <w:lastRenderedPageBreak/>
        <w:t>Thomas by the Blessed Virgin. It indicated that a future English king who wa</w:t>
      </w:r>
      <w:r w:rsidR="00BE5EC5">
        <w:rPr>
          <w:rFonts w:ascii="Times New Roman" w:hAnsi="Times New Roman" w:cs="Times New Roman"/>
        </w:rPr>
        <w:t>s anointed with the oil would “</w:t>
      </w:r>
      <w:r>
        <w:rPr>
          <w:rFonts w:ascii="Times New Roman" w:hAnsi="Times New Roman" w:cs="Times New Roman"/>
        </w:rPr>
        <w:t>recover Normandy and Aquitaine, and would drive the infidels from the Holy Land.”</w:t>
      </w:r>
      <w:r w:rsidRPr="009853FA">
        <w:rPr>
          <w:rStyle w:val="FootnoteReference"/>
          <w:rFonts w:ascii="Times New Roman" w:hAnsi="Times New Roman" w:cs="Times New Roman"/>
        </w:rPr>
        <w:t xml:space="preserve"> </w:t>
      </w:r>
      <w:r>
        <w:rPr>
          <w:rStyle w:val="FootnoteReference"/>
          <w:rFonts w:ascii="Times New Roman" w:hAnsi="Times New Roman" w:cs="Times New Roman"/>
        </w:rPr>
        <w:footnoteReference w:id="13"/>
      </w:r>
      <w:r>
        <w:rPr>
          <w:rFonts w:ascii="Times New Roman" w:hAnsi="Times New Roman" w:cs="Times New Roman"/>
        </w:rPr>
        <w:t xml:space="preserve">  According to Walsingham, </w:t>
      </w:r>
      <w:r w:rsidR="00BE5EC5">
        <w:rPr>
          <w:rFonts w:ascii="Times New Roman" w:hAnsi="Times New Roman" w:cs="Times New Roman"/>
        </w:rPr>
        <w:t>himself a monk</w:t>
      </w:r>
      <w:r>
        <w:rPr>
          <w:rFonts w:ascii="Times New Roman" w:hAnsi="Times New Roman" w:cs="Times New Roman"/>
        </w:rPr>
        <w:t xml:space="preserve"> the use of the oil </w:t>
      </w:r>
      <w:r w:rsidR="00BE5EC5">
        <w:rPr>
          <w:rFonts w:ascii="Times New Roman" w:hAnsi="Times New Roman" w:cs="Times New Roman"/>
        </w:rPr>
        <w:t xml:space="preserve">persuaded many of the English that </w:t>
      </w:r>
      <w:r>
        <w:rPr>
          <w:rFonts w:ascii="Times New Roman" w:hAnsi="Times New Roman" w:cs="Times New Roman"/>
        </w:rPr>
        <w:t>God had chosen Henry, and was therefore a rightful king.</w:t>
      </w:r>
      <w:r>
        <w:rPr>
          <w:rStyle w:val="FootnoteReference"/>
          <w:rFonts w:ascii="Times New Roman" w:hAnsi="Times New Roman" w:cs="Times New Roman"/>
        </w:rPr>
        <w:footnoteReference w:id="14"/>
      </w:r>
      <w:r>
        <w:rPr>
          <w:rFonts w:ascii="Times New Roman" w:hAnsi="Times New Roman" w:cs="Times New Roman"/>
        </w:rPr>
        <w:t xml:space="preserve"> These ceremonies therefore confirmed that,</w:t>
      </w:r>
    </w:p>
    <w:p w:rsidR="008F3770" w:rsidRDefault="008F3770" w:rsidP="008F3770">
      <w:pPr>
        <w:spacing w:line="480" w:lineRule="auto"/>
        <w:ind w:left="1440" w:right="1440" w:firstLine="720"/>
        <w:rPr>
          <w:rFonts w:ascii="Times New Roman" w:hAnsi="Times New Roman" w:cs="Times New Roman"/>
        </w:rPr>
      </w:pPr>
      <w:r>
        <w:rPr>
          <w:rFonts w:ascii="Times New Roman" w:hAnsi="Times New Roman" w:cs="Times New Roman"/>
        </w:rPr>
        <w:t xml:space="preserve">… (Henry </w:t>
      </w:r>
      <w:r w:rsidR="00BE5EC5">
        <w:rPr>
          <w:rFonts w:ascii="Times New Roman" w:hAnsi="Times New Roman" w:cs="Times New Roman"/>
        </w:rPr>
        <w:t>is</w:t>
      </w:r>
      <w:r>
        <w:rPr>
          <w:rFonts w:ascii="Times New Roman" w:hAnsi="Times New Roman" w:cs="Times New Roman"/>
        </w:rPr>
        <w:t>) descent through blood, the designation of his predecessor following his voluntary abdication, popular acclamation, divine favor as demonstrated by his virtually bloodless triumph, the explicit intervention of the Blessed Virgin Mary and the implicit sanction of England’s two most famous saints…For the future, Henry had stressed that, although he would uphold knightly values, he was not going to let the fact of his conquest lead him to abuse his powers… (He) would temper his justice with mercy…</w:t>
      </w:r>
      <w:r>
        <w:rPr>
          <w:rStyle w:val="FootnoteReference"/>
          <w:rFonts w:ascii="Times New Roman" w:hAnsi="Times New Roman" w:cs="Times New Roman"/>
        </w:rPr>
        <w:footnoteReference w:id="15"/>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 xml:space="preserve">Because Henry had claimed the throne through conquest, many of the supporters of Richard were afraid </w:t>
      </w:r>
      <w:r w:rsidR="00BE5EC5">
        <w:rPr>
          <w:rFonts w:ascii="Times New Roman" w:hAnsi="Times New Roman" w:cs="Times New Roman"/>
        </w:rPr>
        <w:t>that Henry would execute them. H</w:t>
      </w:r>
      <w:r>
        <w:rPr>
          <w:rFonts w:ascii="Times New Roman" w:hAnsi="Times New Roman" w:cs="Times New Roman"/>
        </w:rPr>
        <w:t xml:space="preserve">e had already executed three of </w:t>
      </w:r>
      <w:r w:rsidR="004A1145">
        <w:rPr>
          <w:rFonts w:ascii="Times New Roman" w:hAnsi="Times New Roman" w:cs="Times New Roman"/>
        </w:rPr>
        <w:t>Richards</w:t>
      </w:r>
      <w:r>
        <w:rPr>
          <w:rFonts w:ascii="Times New Roman" w:hAnsi="Times New Roman" w:cs="Times New Roman"/>
        </w:rPr>
        <w:t xml:space="preserve"> most vocal supporters: Le Scrope, Bussy and Green.</w:t>
      </w:r>
      <w:r>
        <w:rPr>
          <w:rStyle w:val="FootnoteReference"/>
          <w:rFonts w:ascii="Times New Roman" w:hAnsi="Times New Roman" w:cs="Times New Roman"/>
        </w:rPr>
        <w:footnoteReference w:id="16"/>
      </w:r>
      <w:r>
        <w:rPr>
          <w:rFonts w:ascii="Times New Roman" w:hAnsi="Times New Roman" w:cs="Times New Roman"/>
        </w:rPr>
        <w:t xml:space="preserve"> They were pacified then, when Henry assured </w:t>
      </w:r>
      <w:r w:rsidR="004A1145">
        <w:rPr>
          <w:rFonts w:ascii="Times New Roman" w:hAnsi="Times New Roman" w:cs="Times New Roman"/>
        </w:rPr>
        <w:t>Richard’s previous supporters</w:t>
      </w:r>
      <w:r>
        <w:rPr>
          <w:rFonts w:ascii="Times New Roman" w:hAnsi="Times New Roman" w:cs="Times New Roman"/>
        </w:rPr>
        <w:t xml:space="preserve"> that only those who had “acted contrary to the good purpose and the common profit of the realm”</w:t>
      </w:r>
      <w:r>
        <w:rPr>
          <w:rStyle w:val="FootnoteReference"/>
          <w:rFonts w:ascii="Times New Roman" w:hAnsi="Times New Roman" w:cs="Times New Roman"/>
        </w:rPr>
        <w:footnoteReference w:id="17"/>
      </w:r>
      <w:r>
        <w:rPr>
          <w:rFonts w:ascii="Times New Roman" w:hAnsi="Times New Roman" w:cs="Times New Roman"/>
        </w:rPr>
        <w:t xml:space="preserve"> would be in danger. </w:t>
      </w:r>
      <w:r>
        <w:rPr>
          <w:rFonts w:ascii="Times New Roman" w:hAnsi="Times New Roman" w:cs="Times New Roman"/>
        </w:rPr>
        <w:lastRenderedPageBreak/>
        <w:t>Henry is very clever in this way; if he had immediately ordered them executed he would have tipped the fragile balance of English nobility, and plunged the country into further chaos. But, by</w:t>
      </w:r>
      <w:r w:rsidR="004A1145">
        <w:rPr>
          <w:rFonts w:ascii="Times New Roman" w:hAnsi="Times New Roman" w:cs="Times New Roman"/>
        </w:rPr>
        <w:t xml:space="preserve"> stating that they were safe, Henry thus persuaded them to become loyal to him</w:t>
      </w:r>
      <w:r>
        <w:rPr>
          <w:rFonts w:ascii="Times New Roman" w:hAnsi="Times New Roman" w:cs="Times New Roman"/>
        </w:rPr>
        <w:t xml:space="preserve"> instead of Richard, and helped to stabilize the country.  </w:t>
      </w:r>
    </w:p>
    <w:p w:rsidR="008F3770" w:rsidRDefault="008F3770" w:rsidP="008F3770">
      <w:pPr>
        <w:spacing w:line="480" w:lineRule="auto"/>
        <w:ind w:firstLine="720"/>
        <w:rPr>
          <w:rFonts w:ascii="Times New Roman" w:hAnsi="Times New Roman" w:cs="Times New Roman"/>
        </w:rPr>
      </w:pPr>
      <w:r>
        <w:rPr>
          <w:rFonts w:ascii="Times New Roman" w:hAnsi="Times New Roman" w:cs="Times New Roman"/>
        </w:rPr>
        <w:t>However, Henry had to prove his power and control almost im</w:t>
      </w:r>
      <w:r w:rsidR="004A1145">
        <w:rPr>
          <w:rFonts w:ascii="Times New Roman" w:hAnsi="Times New Roman" w:cs="Times New Roman"/>
        </w:rPr>
        <w:t xml:space="preserve">mediately after the coronation. </w:t>
      </w:r>
      <w:r>
        <w:rPr>
          <w:rFonts w:ascii="Times New Roman" w:hAnsi="Times New Roman" w:cs="Times New Roman"/>
        </w:rPr>
        <w:t>Adam of U</w:t>
      </w:r>
      <w:r w:rsidR="004A1145">
        <w:rPr>
          <w:rFonts w:ascii="Times New Roman" w:hAnsi="Times New Roman" w:cs="Times New Roman"/>
        </w:rPr>
        <w:t xml:space="preserve">sk tells us that </w:t>
      </w:r>
      <w:r>
        <w:rPr>
          <w:rFonts w:ascii="Times New Roman" w:hAnsi="Times New Roman" w:cs="Times New Roman"/>
        </w:rPr>
        <w:t>the kings champion Sir Thomas Dymoke rode into the banquet hall in full armor regalia and announced to all in attendance</w:t>
      </w:r>
    </w:p>
    <w:p w:rsidR="008F3770" w:rsidRDefault="008F3770" w:rsidP="008F3770">
      <w:pPr>
        <w:spacing w:line="480" w:lineRule="auto"/>
        <w:rPr>
          <w:rFonts w:ascii="Times New Roman" w:hAnsi="Times New Roman" w:cs="Times New Roman"/>
        </w:rPr>
      </w:pPr>
      <w:r>
        <w:rPr>
          <w:rFonts w:ascii="Times New Roman" w:hAnsi="Times New Roman" w:cs="Times New Roman"/>
        </w:rPr>
        <w:t>“… (That) if there was any person who wished to say that his liege lord the king of England…had not lawfully been crowned king of England, he was ready to prove with his body…that he (King Henry IV) had been.”</w:t>
      </w:r>
      <w:r>
        <w:rPr>
          <w:rStyle w:val="FootnoteReference"/>
          <w:rFonts w:ascii="Times New Roman" w:hAnsi="Times New Roman" w:cs="Times New Roman"/>
        </w:rPr>
        <w:footnoteReference w:id="18"/>
      </w:r>
      <w:r>
        <w:rPr>
          <w:rFonts w:ascii="Times New Roman" w:hAnsi="Times New Roman" w:cs="Times New Roman"/>
        </w:rPr>
        <w:t xml:space="preserve"> To which Henry replied, that he was more than prepared to relieve Sir Thomas of that duty, and respond himself.</w:t>
      </w:r>
      <w:r>
        <w:rPr>
          <w:rStyle w:val="FootnoteReference"/>
          <w:rFonts w:ascii="Times New Roman" w:hAnsi="Times New Roman" w:cs="Times New Roman"/>
        </w:rPr>
        <w:footnoteReference w:id="19"/>
      </w:r>
      <w:r>
        <w:rPr>
          <w:rFonts w:ascii="Times New Roman" w:hAnsi="Times New Roman" w:cs="Times New Roman"/>
        </w:rPr>
        <w:t xml:space="preserve"> It was a tradition for the kings’ champion to challenge any opponents at the banquet, but it was also important for Henry show his power by telling Sir Thomas to stand down. </w:t>
      </w:r>
    </w:p>
    <w:p w:rsidR="004A1145" w:rsidRPr="001D6B20" w:rsidRDefault="004A1145" w:rsidP="004A1145">
      <w:pPr>
        <w:spacing w:line="480" w:lineRule="auto"/>
        <w:rPr>
          <w:rFonts w:ascii="Times New Roman" w:hAnsi="Times New Roman" w:cs="Times New Roman"/>
          <w:b/>
          <w:bCs/>
          <w:u w:val="single"/>
        </w:rPr>
      </w:pPr>
      <w:r>
        <w:rPr>
          <w:rFonts w:ascii="Times New Roman" w:hAnsi="Times New Roman" w:cs="Times New Roman"/>
          <w:b/>
          <w:bCs/>
          <w:u w:val="single"/>
        </w:rPr>
        <w:t>Attendance and Seating at the Banquet</w:t>
      </w:r>
    </w:p>
    <w:p w:rsidR="004A1145" w:rsidRDefault="004A1145" w:rsidP="004A1145">
      <w:pPr>
        <w:spacing w:line="480" w:lineRule="auto"/>
        <w:ind w:firstLine="720"/>
        <w:rPr>
          <w:rFonts w:ascii="Times New Roman" w:hAnsi="Times New Roman" w:cs="Times New Roman"/>
        </w:rPr>
      </w:pPr>
      <w:r>
        <w:rPr>
          <w:rFonts w:ascii="Times New Roman" w:hAnsi="Times New Roman" w:cs="Times New Roman"/>
          <w:bCs/>
        </w:rPr>
        <w:t>Medieval England was known for its class division and stratification;</w:t>
      </w:r>
      <w:r>
        <w:rPr>
          <w:rStyle w:val="FootnoteReference"/>
          <w:rFonts w:ascii="Times New Roman" w:hAnsi="Times New Roman" w:cs="Times New Roman"/>
          <w:bCs/>
        </w:rPr>
        <w:footnoteReference w:id="20"/>
      </w:r>
      <w:r>
        <w:rPr>
          <w:rFonts w:ascii="Times New Roman" w:hAnsi="Times New Roman" w:cs="Times New Roman"/>
          <w:bCs/>
        </w:rPr>
        <w:t xml:space="preserve"> therefore, the guest list to the coronation and banquet would have been very exclusive. It was designed by custom, but among those whom Henry invited were </w:t>
      </w:r>
      <w:r>
        <w:rPr>
          <w:rFonts w:ascii="Times New Roman" w:hAnsi="Times New Roman" w:cs="Times New Roman"/>
        </w:rPr>
        <w:t>Thomas Beauchamp the Earl of Warwick, Lord Chaberlain, Marshal the Earl of Westmoreland, Sir Thomas Erpingham, and multiple others.</w:t>
      </w:r>
      <w:r>
        <w:rPr>
          <w:rStyle w:val="FootnoteReference"/>
          <w:rFonts w:ascii="Times New Roman" w:hAnsi="Times New Roman" w:cs="Times New Roman"/>
        </w:rPr>
        <w:footnoteReference w:id="21"/>
      </w:r>
      <w:r>
        <w:rPr>
          <w:rFonts w:ascii="Times New Roman" w:hAnsi="Times New Roman" w:cs="Times New Roman"/>
        </w:rPr>
        <w:t xml:space="preserve"> Henry would have also invited members of the church, barons, dukes, aldermen and the mayor. By inviting these people, Henry is honoring and </w:t>
      </w:r>
      <w:r>
        <w:rPr>
          <w:rFonts w:ascii="Times New Roman" w:hAnsi="Times New Roman" w:cs="Times New Roman"/>
        </w:rPr>
        <w:lastRenderedPageBreak/>
        <w:t xml:space="preserve">thanking them for their support of his claim to the throne. He also affirmed their status, such as the mayor and aldermen, who may have worried they would soon be replaced. Many of the most important guests would have had roles to play at the banquet, </w:t>
      </w:r>
    </w:p>
    <w:p w:rsidR="004A1145" w:rsidRDefault="004A1145" w:rsidP="004A1145">
      <w:pPr>
        <w:spacing w:line="480" w:lineRule="auto"/>
        <w:ind w:left="1440" w:right="1440" w:firstLine="720"/>
        <w:rPr>
          <w:rFonts w:ascii="Times New Roman" w:hAnsi="Times New Roman" w:cs="Times New Roman"/>
        </w:rPr>
      </w:pPr>
      <w:r>
        <w:rPr>
          <w:rFonts w:ascii="Times New Roman" w:hAnsi="Times New Roman" w:cs="Times New Roman"/>
        </w:rPr>
        <w:t>…The Earl of Arundel acted as butler, the earl of Oxford as ewerer, Lord Grey of Ruthin as naperer, Thomas Erpingham as chamberlain, John Lord Latimer as almoner, William Venour as waferer and Edmund de la Chaumbre as lardiner; William d’Argentan carried the king’s golden goblet and the mayor of London poured his wine. The duke of Aumale, Surrey and Exeter and the earls of Somerset and Warwick helped to carve and serve the king’s food</w:t>
      </w:r>
      <w:r>
        <w:rPr>
          <w:rStyle w:val="FootnoteReference"/>
          <w:rFonts w:ascii="Times New Roman" w:hAnsi="Times New Roman" w:cs="Times New Roman"/>
        </w:rPr>
        <w:footnoteReference w:id="22"/>
      </w:r>
    </w:p>
    <w:p w:rsidR="004A1145" w:rsidRDefault="004A1145" w:rsidP="004A1145">
      <w:pPr>
        <w:spacing w:line="480" w:lineRule="auto"/>
        <w:ind w:firstLine="720"/>
        <w:rPr>
          <w:rFonts w:ascii="Times New Roman" w:hAnsi="Times New Roman" w:cs="Times New Roman"/>
        </w:rPr>
      </w:pPr>
      <w:r>
        <w:rPr>
          <w:rFonts w:ascii="Times New Roman" w:hAnsi="Times New Roman" w:cs="Times New Roman"/>
        </w:rPr>
        <w:t>There were also practical reasons for these assigned roles; they ensured that Henry’s banquet ran smoothly, as the assignments were predetermined,</w:t>
      </w:r>
      <w:r>
        <w:rPr>
          <w:rStyle w:val="FootnoteReference"/>
          <w:rFonts w:ascii="Times New Roman" w:hAnsi="Times New Roman" w:cs="Times New Roman"/>
        </w:rPr>
        <w:footnoteReference w:id="23"/>
      </w:r>
      <w:r>
        <w:rPr>
          <w:rFonts w:ascii="Times New Roman" w:hAnsi="Times New Roman" w:cs="Times New Roman"/>
        </w:rPr>
        <w:t xml:space="preserve"> and that he survived the night, it would have tarnished the honor of the noble man had Henry not survived the banquet. To have a servant or someone similarly unknown, act as butler or cupbearer could very well have ended in death for Henry, as Richard’s supporters were still an active threat. </w:t>
      </w:r>
    </w:p>
    <w:p w:rsidR="004A1145" w:rsidRDefault="004A1145" w:rsidP="004A1145">
      <w:pPr>
        <w:spacing w:line="480" w:lineRule="auto"/>
        <w:ind w:firstLine="720"/>
        <w:rPr>
          <w:rFonts w:ascii="Times New Roman" w:hAnsi="Times New Roman" w:cs="Times New Roman"/>
        </w:rPr>
      </w:pPr>
      <w:r>
        <w:rPr>
          <w:rFonts w:ascii="Times New Roman" w:hAnsi="Times New Roman" w:cs="Times New Roman"/>
        </w:rPr>
        <w:t>The seating arrangement of such an array of nobility was a political chessboard. It was, and still is, incredibly important to not insult a guest by placing them at a spot lower than their perceived standing, or indeed higher, as Margaret Visser tells us. The simple placement of guests is an incredibly political act.</w:t>
      </w:r>
      <w:r>
        <w:rPr>
          <w:rStyle w:val="FootnoteReference"/>
          <w:rFonts w:ascii="Times New Roman" w:hAnsi="Times New Roman" w:cs="Times New Roman"/>
        </w:rPr>
        <w:footnoteReference w:id="24"/>
      </w:r>
      <w:r>
        <w:rPr>
          <w:rFonts w:ascii="Times New Roman" w:hAnsi="Times New Roman" w:cs="Times New Roman"/>
        </w:rPr>
        <w:t xml:space="preserve"> Henry organized the banquet hall so that he and the prelates, important members of the church, were on a </w:t>
      </w:r>
      <w:r w:rsidR="00D82F4C">
        <w:rPr>
          <w:rFonts w:ascii="Times New Roman" w:hAnsi="Times New Roman" w:cs="Times New Roman"/>
        </w:rPr>
        <w:t>dais</w:t>
      </w:r>
      <w:r>
        <w:rPr>
          <w:rFonts w:ascii="Times New Roman" w:hAnsi="Times New Roman" w:cs="Times New Roman"/>
        </w:rPr>
        <w:t xml:space="preserve"> above the rest </w:t>
      </w:r>
      <w:r>
        <w:rPr>
          <w:rFonts w:ascii="Times New Roman" w:hAnsi="Times New Roman" w:cs="Times New Roman"/>
        </w:rPr>
        <w:lastRenderedPageBreak/>
        <w:t>of the dinner guests. This seatin</w:t>
      </w:r>
      <w:r w:rsidR="00D82F4C">
        <w:rPr>
          <w:rFonts w:ascii="Times New Roman" w:hAnsi="Times New Roman" w:cs="Times New Roman"/>
        </w:rPr>
        <w:t>g arrangement placed</w:t>
      </w:r>
      <w:r>
        <w:rPr>
          <w:rFonts w:ascii="Times New Roman" w:hAnsi="Times New Roman" w:cs="Times New Roman"/>
        </w:rPr>
        <w:t xml:space="preserve"> Henry and the prelates as the focal point for the banquet. Additionally, Henry</w:t>
      </w:r>
      <w:r w:rsidR="00D82F4C">
        <w:rPr>
          <w:rFonts w:ascii="Times New Roman" w:hAnsi="Times New Roman" w:cs="Times New Roman"/>
        </w:rPr>
        <w:t>’</w:t>
      </w:r>
      <w:r>
        <w:rPr>
          <w:rFonts w:ascii="Times New Roman" w:hAnsi="Times New Roman" w:cs="Times New Roman"/>
        </w:rPr>
        <w:t>s eldest son stood behind him, armed with the Lancaster sword, while “…the earl of Westmoreland and Lord Furnivall held the scepter and staff.”</w:t>
      </w:r>
      <w:r>
        <w:rPr>
          <w:rStyle w:val="FootnoteReference"/>
          <w:rFonts w:ascii="Times New Roman" w:hAnsi="Times New Roman" w:cs="Times New Roman"/>
        </w:rPr>
        <w:footnoteReference w:id="25"/>
      </w:r>
      <w:r>
        <w:rPr>
          <w:rFonts w:ascii="Times New Roman" w:hAnsi="Times New Roman" w:cs="Times New Roman"/>
        </w:rPr>
        <w:t xml:space="preserve"> With Henry seated between the prelates and backed by his own sword, scepter and staff, Henry would have appeared an intimidating figure, both politically and religiously. </w:t>
      </w:r>
    </w:p>
    <w:p w:rsidR="00D82F4C" w:rsidRDefault="00D82F4C" w:rsidP="00D82F4C">
      <w:pPr>
        <w:spacing w:line="480" w:lineRule="auto"/>
        <w:ind w:firstLine="720"/>
        <w:rPr>
          <w:rFonts w:ascii="Times New Roman" w:hAnsi="Times New Roman" w:cs="Times New Roman"/>
        </w:rPr>
      </w:pPr>
      <w:r>
        <w:rPr>
          <w:rFonts w:ascii="Times New Roman" w:hAnsi="Times New Roman" w:cs="Times New Roman"/>
        </w:rPr>
        <w:t xml:space="preserve">The prelates would have had a place of honor next to Henry because of the religiosity of the affair. Because Henry was now in charge of the country, both politically and religiously, he was to ensure that the country would remain in Gods grace, and it had been the church officials who had elevated him to that position. To have them sit at a lower table would have been an insult not only to the officials, but also to the church. For everyone else attending the banquet, seating was arranged by importance or status, with“…Barons of the Cinque Ports and the mayor and aldermen of London occupying tables just below the king’s, and further tables reserved for the dukes and earls of the realm and for the newly created knights.” </w:t>
      </w:r>
      <w:r>
        <w:rPr>
          <w:rStyle w:val="FootnoteReference"/>
          <w:rFonts w:ascii="Times New Roman" w:hAnsi="Times New Roman" w:cs="Times New Roman"/>
        </w:rPr>
        <w:footnoteReference w:id="26"/>
      </w:r>
    </w:p>
    <w:p w:rsidR="00D82F4C" w:rsidRPr="00D22137" w:rsidRDefault="00D82F4C" w:rsidP="00D82F4C">
      <w:pPr>
        <w:spacing w:line="480" w:lineRule="auto"/>
        <w:ind w:firstLine="720"/>
        <w:rPr>
          <w:rFonts w:ascii="Times New Roman" w:hAnsi="Times New Roman" w:cs="Times New Roman"/>
          <w:bCs/>
        </w:rPr>
      </w:pPr>
      <w:r>
        <w:rPr>
          <w:rFonts w:ascii="Times New Roman" w:hAnsi="Times New Roman" w:cs="Times New Roman"/>
          <w:bCs/>
        </w:rPr>
        <w:t>Silverware at the banquet would have been a knife, the smaller sword and the ancient symbol of masculinity.</w:t>
      </w:r>
      <w:r>
        <w:rPr>
          <w:rStyle w:val="FootnoteReference"/>
          <w:rFonts w:ascii="Times New Roman" w:hAnsi="Times New Roman" w:cs="Times New Roman"/>
          <w:bCs/>
        </w:rPr>
        <w:footnoteReference w:id="27"/>
      </w:r>
      <w:r>
        <w:rPr>
          <w:rFonts w:ascii="Times New Roman" w:hAnsi="Times New Roman" w:cs="Times New Roman"/>
          <w:bCs/>
        </w:rPr>
        <w:t xml:space="preserve"> Which carried over to the knife- that people would carry on their person.</w:t>
      </w:r>
      <w:r w:rsidRPr="0071295C">
        <w:rPr>
          <w:rFonts w:ascii="Times New Roman" w:hAnsi="Times New Roman" w:cs="Times New Roman"/>
          <w:bCs/>
        </w:rPr>
        <w:t xml:space="preserve"> </w:t>
      </w:r>
      <w:r>
        <w:rPr>
          <w:rFonts w:ascii="Times New Roman" w:hAnsi="Times New Roman" w:cs="Times New Roman"/>
          <w:bCs/>
        </w:rPr>
        <w:t xml:space="preserve">Violence, with knives being as readily available as they were, would have been a possibility for the new King, so by putting the new knights at the further tables, Henry would have spaced those loyal to him well around the room, and prevented himself from being attacked. Those in attendance of the banquet used special knives, only for the purpose of eating, as Visser tells us. However, only the nobility would have been </w:t>
      </w:r>
      <w:r>
        <w:rPr>
          <w:rFonts w:ascii="Times New Roman" w:hAnsi="Times New Roman" w:cs="Times New Roman"/>
          <w:bCs/>
        </w:rPr>
        <w:lastRenderedPageBreak/>
        <w:t>able to afford such a luxury.</w:t>
      </w:r>
      <w:r>
        <w:rPr>
          <w:rStyle w:val="FootnoteReference"/>
          <w:rFonts w:ascii="Times New Roman" w:hAnsi="Times New Roman" w:cs="Times New Roman"/>
          <w:bCs/>
        </w:rPr>
        <w:footnoteReference w:id="28"/>
      </w:r>
      <w:r w:rsidRPr="00A76B7E">
        <w:rPr>
          <w:rFonts w:ascii="Times New Roman" w:hAnsi="Times New Roman" w:cs="Times New Roman"/>
          <w:bCs/>
        </w:rPr>
        <w:t xml:space="preserve"> </w:t>
      </w:r>
      <w:r>
        <w:rPr>
          <w:rFonts w:ascii="Times New Roman" w:hAnsi="Times New Roman" w:cs="Times New Roman"/>
          <w:bCs/>
        </w:rPr>
        <w:t>Forks, spoons, bowls, bread, and fingers were the mediums that brought the food to the mouth.</w:t>
      </w:r>
      <w:r>
        <w:rPr>
          <w:rStyle w:val="FootnoteReference"/>
          <w:rFonts w:ascii="Times New Roman" w:hAnsi="Times New Roman" w:cs="Times New Roman"/>
          <w:bCs/>
        </w:rPr>
        <w:footnoteReference w:id="29"/>
      </w:r>
      <w:r>
        <w:rPr>
          <w:rFonts w:ascii="Times New Roman" w:hAnsi="Times New Roman" w:cs="Times New Roman"/>
          <w:bCs/>
        </w:rPr>
        <w:t xml:space="preserve"> This is also where the phrase “upper crust society” comes from: the upper crust of the bread was for nobility, while the lower crust and left overs went to the lower classes. With so much meat at the table, the ewers (hand washers) would have battled greasy fingers throughout the night. </w:t>
      </w:r>
    </w:p>
    <w:p w:rsidR="00D82F4C" w:rsidRDefault="00D82F4C" w:rsidP="00D82F4C">
      <w:pPr>
        <w:spacing w:line="480" w:lineRule="auto"/>
        <w:ind w:firstLine="720"/>
        <w:rPr>
          <w:rFonts w:ascii="Times New Roman" w:hAnsi="Times New Roman" w:cs="Times New Roman"/>
        </w:rPr>
      </w:pPr>
      <w:r>
        <w:rPr>
          <w:rFonts w:ascii="Times New Roman" w:hAnsi="Times New Roman" w:cs="Times New Roman"/>
        </w:rPr>
        <w:t>It should be noted that no women are mentioned at all throughout the banquet. Henry had previously been married to Mary de Bohun,</w:t>
      </w:r>
      <w:r>
        <w:rPr>
          <w:rStyle w:val="FootnoteReference"/>
          <w:rFonts w:ascii="Times New Roman" w:hAnsi="Times New Roman" w:cs="Times New Roman"/>
        </w:rPr>
        <w:footnoteReference w:id="30"/>
      </w:r>
      <w:r>
        <w:rPr>
          <w:rFonts w:ascii="Times New Roman" w:hAnsi="Times New Roman" w:cs="Times New Roman"/>
        </w:rPr>
        <w:t xml:space="preserve"> who had died in 1394, five years prior to the deposition, but with whom he had produced six children, (four sons and two daughters). The presence of Henry’s eldest son is confirmed, but there is never any mention his daughters Blanche or Philippa,</w:t>
      </w:r>
      <w:r>
        <w:rPr>
          <w:rStyle w:val="FootnoteReference"/>
          <w:rFonts w:ascii="Times New Roman" w:hAnsi="Times New Roman" w:cs="Times New Roman"/>
        </w:rPr>
        <w:footnoteReference w:id="31"/>
      </w:r>
      <w:r>
        <w:rPr>
          <w:rFonts w:ascii="Times New Roman" w:hAnsi="Times New Roman" w:cs="Times New Roman"/>
        </w:rPr>
        <w:t xml:space="preserve"> who would have been quite young. It is possible women were in attendance, as they were a part of the coronation “…2,000 lords, ladies…” </w:t>
      </w:r>
      <w:r>
        <w:rPr>
          <w:rStyle w:val="FootnoteReference"/>
          <w:rFonts w:ascii="Times New Roman" w:hAnsi="Times New Roman" w:cs="Times New Roman"/>
        </w:rPr>
        <w:footnoteReference w:id="32"/>
      </w:r>
      <w:r>
        <w:rPr>
          <w:rFonts w:ascii="Times New Roman" w:hAnsi="Times New Roman" w:cs="Times New Roman"/>
        </w:rPr>
        <w:t xml:space="preserve"> and if they had been in attendance at the banquet, then would have likely sat next to their husbands, but no source cites their presence or seating arrangements. </w:t>
      </w:r>
    </w:p>
    <w:p w:rsidR="00D82F4C" w:rsidRPr="001C6E3C" w:rsidRDefault="00D82F4C" w:rsidP="00D82F4C">
      <w:pPr>
        <w:spacing w:line="480" w:lineRule="auto"/>
        <w:ind w:firstLine="720"/>
        <w:rPr>
          <w:rFonts w:ascii="Times New Roman" w:hAnsi="Times New Roman" w:cs="Times New Roman"/>
        </w:rPr>
      </w:pPr>
      <w:r>
        <w:rPr>
          <w:rFonts w:ascii="Times New Roman" w:hAnsi="Times New Roman" w:cs="Times New Roman"/>
        </w:rPr>
        <w:t xml:space="preserve">The banquet was designed to impress the guests, with its display of wealth: three soteltes, one for each course, the head of a boar, peacocks, venison, pork, and birds. It also installed the idea of Lancastrian permanency, that Henry IV was now king of England, and with him came the Lancasters. The banquet also honored the noblemen who had helped Henry take the throne as was previously said, each person was given a specific job. </w:t>
      </w:r>
    </w:p>
    <w:p w:rsidR="0051390A" w:rsidRDefault="0051390A" w:rsidP="00D82F4C">
      <w:pPr>
        <w:spacing w:line="480" w:lineRule="auto"/>
        <w:rPr>
          <w:rFonts w:ascii="Times New Roman" w:hAnsi="Times New Roman" w:cs="Times New Roman"/>
          <w:b/>
          <w:bCs/>
          <w:u w:val="single"/>
        </w:rPr>
      </w:pPr>
    </w:p>
    <w:p w:rsidR="0051390A" w:rsidRDefault="0051390A" w:rsidP="00D82F4C">
      <w:pPr>
        <w:spacing w:line="480" w:lineRule="auto"/>
        <w:rPr>
          <w:rFonts w:ascii="Times New Roman" w:hAnsi="Times New Roman" w:cs="Times New Roman"/>
          <w:b/>
          <w:bCs/>
          <w:u w:val="single"/>
        </w:rPr>
      </w:pPr>
    </w:p>
    <w:p w:rsidR="00D82F4C" w:rsidRPr="00E8319D" w:rsidRDefault="00D82F4C" w:rsidP="00D82F4C">
      <w:pPr>
        <w:spacing w:line="480" w:lineRule="auto"/>
        <w:rPr>
          <w:rFonts w:ascii="Times New Roman" w:hAnsi="Times New Roman" w:cs="Times New Roman"/>
          <w:b/>
          <w:bCs/>
          <w:u w:val="single"/>
        </w:rPr>
      </w:pPr>
      <w:r>
        <w:rPr>
          <w:rFonts w:ascii="Times New Roman" w:hAnsi="Times New Roman" w:cs="Times New Roman"/>
          <w:b/>
          <w:bCs/>
          <w:u w:val="single"/>
        </w:rPr>
        <w:lastRenderedPageBreak/>
        <w:t>The All Important Menu</w:t>
      </w:r>
    </w:p>
    <w:p w:rsidR="00D82F4C" w:rsidRDefault="00D82F4C" w:rsidP="00D82F4C">
      <w:pPr>
        <w:spacing w:line="480" w:lineRule="auto"/>
        <w:ind w:firstLine="720"/>
        <w:rPr>
          <w:rFonts w:ascii="Times New Roman" w:hAnsi="Times New Roman" w:cs="Times New Roman"/>
        </w:rPr>
      </w:pPr>
      <w:r>
        <w:rPr>
          <w:rFonts w:ascii="Times New Roman" w:hAnsi="Times New Roman" w:cs="Times New Roman"/>
        </w:rPr>
        <w:t>The menu of King Henry’s coronation banquet is from a roll preserved in the British Manuscripts Library, which has been digitized and translated from French into English. Henrys banquet, held in the Great Hall at Westminster, consisted of a three-course meal, each with its own delicacies.</w:t>
      </w:r>
      <w:r>
        <w:rPr>
          <w:rStyle w:val="FootnoteReference"/>
          <w:rFonts w:ascii="Times New Roman" w:hAnsi="Times New Roman" w:cs="Times New Roman"/>
        </w:rPr>
        <w:footnoteReference w:id="33"/>
      </w:r>
      <w:r>
        <w:rPr>
          <w:rFonts w:ascii="Times New Roman" w:hAnsi="Times New Roman" w:cs="Times New Roman"/>
        </w:rPr>
        <w:t xml:space="preserve"> However, Reay Tannahill informs us in </w:t>
      </w:r>
      <w:r w:rsidRPr="000729E8">
        <w:rPr>
          <w:rFonts w:ascii="Times New Roman" w:hAnsi="Times New Roman" w:cs="Times New Roman"/>
          <w:i/>
        </w:rPr>
        <w:t>Food in History</w:t>
      </w:r>
      <w:r>
        <w:rPr>
          <w:rFonts w:ascii="Times New Roman" w:hAnsi="Times New Roman" w:cs="Times New Roman"/>
        </w:rPr>
        <w:t>, that during the fourteenth and fifteenth century a course “…was a more or less haphazard assortment, its only real consistency that it offered a wide choice within itself…”</w:t>
      </w:r>
      <w:r>
        <w:rPr>
          <w:rStyle w:val="FootnoteReference"/>
          <w:rFonts w:ascii="Times New Roman" w:hAnsi="Times New Roman" w:cs="Times New Roman"/>
        </w:rPr>
        <w:footnoteReference w:id="34"/>
      </w:r>
      <w:r>
        <w:rPr>
          <w:rFonts w:ascii="Times New Roman" w:hAnsi="Times New Roman" w:cs="Times New Roman"/>
        </w:rPr>
        <w:t xml:space="preserve"> Therefore, none of the courses Henry had provided were meant to guide a guest through a detailed culinary journey, containing a beginning with an appetizer and ending with dessert, but were meant more to entertain a guest with a vast array of options for them to pick and choose, or disregard entirely. </w:t>
      </w:r>
    </w:p>
    <w:p w:rsidR="00D82F4C" w:rsidRDefault="00D82F4C" w:rsidP="00D82F4C">
      <w:pPr>
        <w:spacing w:line="480" w:lineRule="auto"/>
        <w:ind w:firstLine="720"/>
        <w:rPr>
          <w:rFonts w:ascii="Times New Roman" w:hAnsi="Times New Roman" w:cs="Times New Roman"/>
        </w:rPr>
      </w:pPr>
      <w:r>
        <w:rPr>
          <w:rFonts w:ascii="Times New Roman" w:hAnsi="Times New Roman" w:cs="Times New Roman"/>
        </w:rPr>
        <w:t>The foods presented at the banquet were dressed up everyday foods. Typically, roasted meats and soups would have been on a noble mans table. But, as Edward II had declared, no more than two kinds of “flesh meats”</w:t>
      </w:r>
      <w:r>
        <w:rPr>
          <w:rStyle w:val="FootnoteReference"/>
          <w:rFonts w:ascii="Times New Roman" w:hAnsi="Times New Roman" w:cs="Times New Roman"/>
        </w:rPr>
        <w:footnoteReference w:id="35"/>
      </w:r>
      <w:r>
        <w:rPr>
          <w:rFonts w:ascii="Times New Roman" w:hAnsi="Times New Roman" w:cs="Times New Roman"/>
        </w:rPr>
        <w:t xml:space="preserve"> were acceptable at any course, and furthermore, only two flesh meat courses were allowed. Henrys banquet flies in the face of that proclamation, with serving venison, pork, and a variety of birds at each meal. The dishes were elegantly spiced and flavored for the banquet. The head of a wild boar would be the only thing that was inherently special. The boar would have been hunted by the king prior to the banquet, and then dressed up with garlands and spiced with ginger.</w:t>
      </w:r>
      <w:r>
        <w:rPr>
          <w:rStyle w:val="FootnoteReference"/>
          <w:rFonts w:ascii="Times New Roman" w:hAnsi="Times New Roman" w:cs="Times New Roman"/>
        </w:rPr>
        <w:footnoteReference w:id="36"/>
      </w:r>
      <w:r>
        <w:rPr>
          <w:rFonts w:ascii="Times New Roman" w:hAnsi="Times New Roman" w:cs="Times New Roman"/>
        </w:rPr>
        <w:t xml:space="preserve"> The foods presented on the menu are very class specific. A peasant would likely not eat any of these foods more than once or twice a year, baring chicken. Even then, the chicken </w:t>
      </w:r>
      <w:r>
        <w:rPr>
          <w:rFonts w:ascii="Times New Roman" w:hAnsi="Times New Roman" w:cs="Times New Roman"/>
        </w:rPr>
        <w:lastRenderedPageBreak/>
        <w:t xml:space="preserve">would not be a young plump creature; it would have been old and have stopped producing eggs.  </w:t>
      </w:r>
    </w:p>
    <w:p w:rsidR="00D82F4C" w:rsidRDefault="00D82F4C" w:rsidP="00D82F4C">
      <w:pPr>
        <w:spacing w:line="480" w:lineRule="auto"/>
        <w:ind w:firstLine="720"/>
        <w:rPr>
          <w:rFonts w:ascii="Times New Roman" w:hAnsi="Times New Roman" w:cs="Times New Roman"/>
        </w:rPr>
      </w:pPr>
      <w:r>
        <w:rPr>
          <w:rFonts w:ascii="Times New Roman" w:hAnsi="Times New Roman" w:cs="Times New Roman"/>
        </w:rPr>
        <w:t>Each course was presented with a “sotelte”. A sotelte, now known as a subtlety, is a sugar sculpture that was carved into decorative objects to reflect the occasion.</w:t>
      </w:r>
      <w:r>
        <w:rPr>
          <w:rStyle w:val="FootnoteReference"/>
          <w:rFonts w:ascii="Times New Roman" w:hAnsi="Times New Roman" w:cs="Times New Roman"/>
        </w:rPr>
        <w:footnoteReference w:id="37"/>
      </w:r>
      <w:r>
        <w:rPr>
          <w:rFonts w:ascii="Times New Roman" w:hAnsi="Times New Roman" w:cs="Times New Roman"/>
        </w:rPr>
        <w:t xml:space="preserve"> They were used to recognize social and economic significance,</w:t>
      </w:r>
      <w:r>
        <w:rPr>
          <w:rStyle w:val="FootnoteReference"/>
          <w:rFonts w:ascii="Times New Roman" w:hAnsi="Times New Roman" w:cs="Times New Roman"/>
        </w:rPr>
        <w:footnoteReference w:id="38"/>
      </w:r>
      <w:r>
        <w:rPr>
          <w:rFonts w:ascii="Times New Roman" w:hAnsi="Times New Roman" w:cs="Times New Roman"/>
        </w:rPr>
        <w:t xml:space="preserve"> as only the very wealthy could afford sugar simply meant for viewing and not eating. They were carved to represent religious symbols, such as angels, saints, and other holy images. Given that the coronation and banquet were both religious affairs, the absence of the subtleties would have been immediately apparent. Aside from the wide selection of foods available at Henrys banquet, these subtleties were perhaps the most glamorous item available. </w:t>
      </w:r>
    </w:p>
    <w:p w:rsidR="00763D5E" w:rsidRDefault="00763D5E" w:rsidP="00763D5E">
      <w:pPr>
        <w:spacing w:line="480" w:lineRule="auto"/>
        <w:ind w:firstLine="720"/>
        <w:rPr>
          <w:rFonts w:ascii="Times New Roman" w:hAnsi="Times New Roman" w:cs="Times New Roman"/>
        </w:rPr>
      </w:pPr>
      <w:r>
        <w:rPr>
          <w:rFonts w:ascii="Times New Roman" w:hAnsi="Times New Roman" w:cs="Times New Roman"/>
        </w:rPr>
        <w:t>The serving of so much meat not only displayed the wealth of the King, it was also a representation of masculinity and power.</w:t>
      </w:r>
      <w:r>
        <w:rPr>
          <w:rStyle w:val="FootnoteReference"/>
          <w:rFonts w:ascii="Times New Roman" w:hAnsi="Times New Roman" w:cs="Times New Roman"/>
        </w:rPr>
        <w:footnoteReference w:id="39"/>
      </w:r>
      <w:r>
        <w:rPr>
          <w:rFonts w:ascii="Times New Roman" w:hAnsi="Times New Roman" w:cs="Times New Roman"/>
        </w:rPr>
        <w:t xml:space="preserve"> If Henry were to have served only vegetables or soups, his reign would have been off to a shaky, feminine start. Margaret Visser, in </w:t>
      </w:r>
      <w:r>
        <w:rPr>
          <w:rFonts w:ascii="Times New Roman" w:hAnsi="Times New Roman" w:cs="Times New Roman"/>
          <w:i/>
        </w:rPr>
        <w:t>Much Depends on Dinner</w:t>
      </w:r>
      <w:r>
        <w:rPr>
          <w:rFonts w:ascii="Times New Roman" w:hAnsi="Times New Roman" w:cs="Times New Roman"/>
        </w:rPr>
        <w:t>, argues that meat can be scaled from least to most masculine: fish is considered the lowest and least masculine meat, while wild game tops the scale as the manliest because of its red color and difficulty in killing.</w:t>
      </w:r>
      <w:r>
        <w:rPr>
          <w:rStyle w:val="FootnoteReference"/>
          <w:rFonts w:ascii="Times New Roman" w:hAnsi="Times New Roman" w:cs="Times New Roman"/>
        </w:rPr>
        <w:footnoteReference w:id="40"/>
      </w:r>
      <w:r>
        <w:rPr>
          <w:rFonts w:ascii="Times New Roman" w:hAnsi="Times New Roman" w:cs="Times New Roman"/>
        </w:rPr>
        <w:t xml:space="preserve"> All three courses have several options of red meat. This is, on Henry’s part, a way to emphasize his power over England, while proving his masculinity. The coronation banquet also served a few dishes of fish and vegetarian options, which would have been for the pious diner who ate no meat.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lastRenderedPageBreak/>
        <w:t>No food at a medieval banquet could be properly eaten without the presence of the carver. During Henry’s banquet, it was the Earl of Somerset.</w:t>
      </w:r>
      <w:r>
        <w:rPr>
          <w:rStyle w:val="FootnoteReference"/>
          <w:rFonts w:ascii="Times New Roman" w:hAnsi="Times New Roman" w:cs="Times New Roman"/>
        </w:rPr>
        <w:footnoteReference w:id="41"/>
      </w:r>
      <w:r>
        <w:rPr>
          <w:rFonts w:ascii="Times New Roman" w:hAnsi="Times New Roman" w:cs="Times New Roman"/>
        </w:rPr>
        <w:t xml:space="preserve"> June Di Schino writes that the carver was:</w:t>
      </w:r>
    </w:p>
    <w:p w:rsidR="00865274" w:rsidRDefault="00865274" w:rsidP="00865274">
      <w:pPr>
        <w:spacing w:line="480" w:lineRule="auto"/>
        <w:ind w:left="1440" w:right="1440" w:firstLine="720"/>
        <w:rPr>
          <w:rFonts w:ascii="Times New Roman" w:hAnsi="Times New Roman" w:cs="Times New Roman"/>
        </w:rPr>
      </w:pPr>
      <w:r>
        <w:rPr>
          <w:rFonts w:ascii="Times New Roman" w:hAnsi="Times New Roman" w:cs="Times New Roman"/>
        </w:rPr>
        <w:t>…An extraordinarily theatrical figure who performed an acrobatic act with a formidable range of knives. He would dexterously slice, cut and chop all manner of foods in the air – a suckling pig, an artichoke, and a pike, even an egg. If he carved on a plate, he would be instantly recognized as second-rate…</w:t>
      </w:r>
      <w:r>
        <w:rPr>
          <w:rStyle w:val="FootnoteReference"/>
          <w:rFonts w:ascii="Times New Roman" w:hAnsi="Times New Roman" w:cs="Times New Roman"/>
        </w:rPr>
        <w:footnoteReference w:id="42"/>
      </w:r>
    </w:p>
    <w:p w:rsidR="00865274" w:rsidRDefault="00865274" w:rsidP="00865274">
      <w:pPr>
        <w:spacing w:line="480" w:lineRule="auto"/>
        <w:rPr>
          <w:rFonts w:ascii="Times New Roman" w:hAnsi="Times New Roman" w:cs="Times New Roman"/>
        </w:rPr>
      </w:pPr>
      <w:r>
        <w:rPr>
          <w:rFonts w:ascii="Times New Roman" w:hAnsi="Times New Roman" w:cs="Times New Roman"/>
        </w:rPr>
        <w:t>Margaret Visser concurs, adding that the meat would then fall gracefully onto a plate in an attractive pattern, salt was then added before the dish was presented to the dinner guests.</w:t>
      </w:r>
      <w:r>
        <w:rPr>
          <w:rStyle w:val="FootnoteReference"/>
          <w:rFonts w:ascii="Times New Roman" w:hAnsi="Times New Roman" w:cs="Times New Roman"/>
        </w:rPr>
        <w:footnoteReference w:id="43"/>
      </w:r>
      <w:r>
        <w:rPr>
          <w:rFonts w:ascii="Times New Roman" w:hAnsi="Times New Roman" w:cs="Times New Roman"/>
        </w:rPr>
        <w:t xml:space="preserve"> Having no carver present at the banquet would have been a social faux pas on Henry’s part.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The first course was full of show-stopping meats and game, designed to impress the guests with their variety of stuffed, roasted, and boiled meat. Henry had the banquet tables adorned with pork, cygnets (young swans), capons (castrated roosters), pheasants, heron, and sturgeon.</w:t>
      </w:r>
      <w:r>
        <w:rPr>
          <w:rStyle w:val="FootnoteReference"/>
          <w:rFonts w:ascii="Times New Roman" w:hAnsi="Times New Roman" w:cs="Times New Roman"/>
        </w:rPr>
        <w:footnoteReference w:id="44"/>
      </w:r>
      <w:r>
        <w:rPr>
          <w:rFonts w:ascii="Times New Roman" w:hAnsi="Times New Roman" w:cs="Times New Roman"/>
        </w:rPr>
        <w:t xml:space="preserve"> Each dish would have been cooked in it its own selection of spices, such as ground pepper, saffron, ginger, salt, cinnamon and cloves.</w:t>
      </w:r>
      <w:r>
        <w:rPr>
          <w:rStyle w:val="FootnoteReference"/>
          <w:rFonts w:ascii="Times New Roman" w:hAnsi="Times New Roman" w:cs="Times New Roman"/>
        </w:rPr>
        <w:footnoteReference w:id="45"/>
      </w:r>
      <w:r>
        <w:rPr>
          <w:rFonts w:ascii="Times New Roman" w:hAnsi="Times New Roman" w:cs="Times New Roman"/>
        </w:rPr>
        <w:t xml:space="preserve"> The roasted boars </w:t>
      </w:r>
      <w:r>
        <w:rPr>
          <w:rFonts w:ascii="Times New Roman" w:hAnsi="Times New Roman" w:cs="Times New Roman"/>
        </w:rPr>
        <w:lastRenderedPageBreak/>
        <w:t xml:space="preserve">head would have been a centerpiece, </w:t>
      </w:r>
      <w:r w:rsidR="0012169B">
        <w:rPr>
          <w:rFonts w:ascii="Times New Roman" w:hAnsi="Times New Roman" w:cs="Times New Roman"/>
        </w:rPr>
        <w:t>probably dotted with lardons of pork fat</w:t>
      </w:r>
      <w:r>
        <w:rPr>
          <w:rFonts w:ascii="Times New Roman" w:hAnsi="Times New Roman" w:cs="Times New Roman"/>
        </w:rPr>
        <w:t xml:space="preserve"> </w:t>
      </w:r>
      <w:r w:rsidR="0012169B">
        <w:rPr>
          <w:rFonts w:ascii="Times New Roman" w:hAnsi="Times New Roman" w:cs="Times New Roman"/>
        </w:rPr>
        <w:t>sticking out all over, so as</w:t>
      </w:r>
      <w:r>
        <w:rPr>
          <w:rFonts w:ascii="Times New Roman" w:hAnsi="Times New Roman" w:cs="Times New Roman"/>
        </w:rPr>
        <w:t xml:space="preserve"> to resemble chain mail.”</w:t>
      </w:r>
      <w:r>
        <w:rPr>
          <w:rStyle w:val="FootnoteReference"/>
          <w:rFonts w:ascii="Times New Roman" w:hAnsi="Times New Roman" w:cs="Times New Roman"/>
        </w:rPr>
        <w:footnoteReference w:id="46"/>
      </w:r>
      <w:r>
        <w:rPr>
          <w:rFonts w:ascii="Times New Roman" w:hAnsi="Times New Roman" w:cs="Times New Roman"/>
        </w:rPr>
        <w:t xml:space="preserve">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The only dish served at the first course not packed with meat, was the “Crustade Lumbarde”</w:t>
      </w:r>
      <w:r>
        <w:rPr>
          <w:rStyle w:val="FootnoteReference"/>
          <w:rFonts w:ascii="Times New Roman" w:hAnsi="Times New Roman" w:cs="Times New Roman"/>
        </w:rPr>
        <w:footnoteReference w:id="47"/>
      </w:r>
      <w:r>
        <w:rPr>
          <w:rFonts w:ascii="Times New Roman" w:hAnsi="Times New Roman" w:cs="Times New Roman"/>
        </w:rPr>
        <w:t xml:space="preserve"> Which still contained protein: marrow and eggs. The Crustade Lumbarde was tart filled with dates, prunes, parsley, cream, bone marrow and eggs.</w:t>
      </w:r>
      <w:r>
        <w:rPr>
          <w:rStyle w:val="FootnoteReference"/>
          <w:rFonts w:ascii="Times New Roman" w:hAnsi="Times New Roman" w:cs="Times New Roman"/>
        </w:rPr>
        <w:footnoteReference w:id="48"/>
      </w:r>
      <w:r>
        <w:rPr>
          <w:rFonts w:ascii="Times New Roman" w:hAnsi="Times New Roman" w:cs="Times New Roman"/>
        </w:rPr>
        <w:t xml:space="preserve"> Seasoned with salt and sugar, it was most likely a palate cleanser between the protein leaden dishes being passed around.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The following course was more varied in its presentation of meat, though still protein centric. It contained venison, meatballs, peacocks (presented with the feathers on so to display its grandeur), cranes, rabbit, fried strips of meat, bittern (a variety of heron), and pullet (a young hen). Accompanying this course was a “Gely,”</w:t>
      </w:r>
      <w:r>
        <w:rPr>
          <w:rStyle w:val="FootnoteReference"/>
          <w:rFonts w:ascii="Times New Roman" w:hAnsi="Times New Roman" w:cs="Times New Roman"/>
        </w:rPr>
        <w:footnoteReference w:id="49"/>
      </w:r>
      <w:r>
        <w:rPr>
          <w:rFonts w:ascii="Times New Roman" w:hAnsi="Times New Roman" w:cs="Times New Roman"/>
        </w:rPr>
        <w:t xml:space="preserve"> essentially meat that was boiled, and then presented in its jellied juices, and a “Graunt Tartez.”</w:t>
      </w:r>
      <w:r>
        <w:rPr>
          <w:rStyle w:val="FootnoteReference"/>
          <w:rFonts w:ascii="Times New Roman" w:hAnsi="Times New Roman" w:cs="Times New Roman"/>
        </w:rPr>
        <w:footnoteReference w:id="50"/>
      </w:r>
      <w:r>
        <w:rPr>
          <w:rFonts w:ascii="Times New Roman" w:hAnsi="Times New Roman" w:cs="Times New Roman"/>
        </w:rPr>
        <w:t xml:space="preserve"> The Graunt Tartez was a tart, typically made of meat or fish, and as stated by Constance Hieatt and Sharon Butler in </w:t>
      </w:r>
      <w:r>
        <w:rPr>
          <w:rFonts w:ascii="Times New Roman" w:hAnsi="Times New Roman" w:cs="Times New Roman"/>
          <w:i/>
        </w:rPr>
        <w:t>Curye on Inglysch</w:t>
      </w:r>
      <w:r>
        <w:rPr>
          <w:rFonts w:ascii="Times New Roman" w:hAnsi="Times New Roman" w:cs="Times New Roman"/>
        </w:rPr>
        <w:t>, it would have been stuffed with dried fruit, or fresh fruits that were in season.</w:t>
      </w:r>
      <w:r>
        <w:rPr>
          <w:rStyle w:val="FootnoteReference"/>
          <w:rFonts w:ascii="Times New Roman" w:hAnsi="Times New Roman" w:cs="Times New Roman"/>
        </w:rPr>
        <w:footnoteReference w:id="51"/>
      </w:r>
      <w:r>
        <w:rPr>
          <w:rFonts w:ascii="Times New Roman" w:hAnsi="Times New Roman" w:cs="Times New Roman"/>
        </w:rPr>
        <w:t xml:space="preserve"> Finally, the second course also contained a “Leche Lumbarde”</w:t>
      </w:r>
      <w:r>
        <w:rPr>
          <w:rStyle w:val="FootnoteReference"/>
          <w:rFonts w:ascii="Times New Roman" w:hAnsi="Times New Roman" w:cs="Times New Roman"/>
        </w:rPr>
        <w:footnoteReference w:id="52"/>
      </w:r>
      <w:r>
        <w:rPr>
          <w:rFonts w:ascii="Times New Roman" w:hAnsi="Times New Roman" w:cs="Times New Roman"/>
        </w:rPr>
        <w:t xml:space="preserve"> It was a sweetmeat made from “…dates stewed in wine, pounded, then mixed with wine and sugar to a stiff paste…then placed on a board. Slices of a stiff paste made from bread crumbs, ginger and cinnamon were added and a syrup of aromatic wine </w:t>
      </w:r>
      <w:r>
        <w:rPr>
          <w:rFonts w:ascii="Times New Roman" w:hAnsi="Times New Roman" w:cs="Times New Roman"/>
        </w:rPr>
        <w:lastRenderedPageBreak/>
        <w:t xml:space="preserve">or spiced honey poured over.” </w:t>
      </w:r>
      <w:r>
        <w:rPr>
          <w:rStyle w:val="FootnoteReference"/>
          <w:rFonts w:ascii="Times New Roman" w:hAnsi="Times New Roman" w:cs="Times New Roman"/>
        </w:rPr>
        <w:footnoteReference w:id="53"/>
      </w:r>
      <w:r>
        <w:rPr>
          <w:rFonts w:ascii="Times New Roman" w:hAnsi="Times New Roman" w:cs="Times New Roman"/>
        </w:rPr>
        <w:t xml:space="preserve"> Similar to the tart in the first course, this tart would have also been useful as a palate cleanser.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The third course had the most dessert like options, but maintained the strong presence of meat with the most varied choice of fowl. Among the dishes was a white soup, preserved quinces (which taste similar to a pear and apple), herons, cranes, partridges, pigeons, quails, plover (a small bird), as well as minced meat, meatballs, and rabbits.</w:t>
      </w:r>
      <w:r>
        <w:rPr>
          <w:rStyle w:val="FootnoteReference"/>
          <w:rFonts w:ascii="Times New Roman" w:hAnsi="Times New Roman" w:cs="Times New Roman"/>
        </w:rPr>
        <w:footnoteReference w:id="54"/>
      </w:r>
      <w:r>
        <w:rPr>
          <w:rFonts w:ascii="Times New Roman" w:hAnsi="Times New Roman" w:cs="Times New Roman"/>
        </w:rPr>
        <w:t xml:space="preserve"> The dessert options were the preserved quinces, which were possibly a precursor to marmalade.</w:t>
      </w:r>
      <w:r>
        <w:rPr>
          <w:rStyle w:val="FootnoteReference"/>
          <w:rFonts w:ascii="Times New Roman" w:hAnsi="Times New Roman" w:cs="Times New Roman"/>
        </w:rPr>
        <w:footnoteReference w:id="55"/>
      </w:r>
      <w:r>
        <w:rPr>
          <w:rFonts w:ascii="Times New Roman" w:hAnsi="Times New Roman" w:cs="Times New Roman"/>
        </w:rPr>
        <w:t xml:space="preserve"> Fritters made with eggs, saffron, ale, salt and apples, and then fried and sprinkled with sugar.</w:t>
      </w:r>
      <w:r>
        <w:rPr>
          <w:rStyle w:val="FootnoteReference"/>
          <w:rFonts w:ascii="Times New Roman" w:hAnsi="Times New Roman" w:cs="Times New Roman"/>
        </w:rPr>
        <w:footnoteReference w:id="56"/>
      </w:r>
      <w:r>
        <w:rPr>
          <w:rFonts w:ascii="Times New Roman" w:hAnsi="Times New Roman" w:cs="Times New Roman"/>
        </w:rPr>
        <w:t xml:space="preserve"> Sweet custard tarts and “…a mixture of yolks of eggs, sugar, ground ginger, raisings and minced dates in fine pastry cases, either baked or fired in fresh fat.”</w:t>
      </w:r>
      <w:r>
        <w:rPr>
          <w:rStyle w:val="FootnoteReference"/>
          <w:rFonts w:ascii="Times New Roman" w:hAnsi="Times New Roman" w:cs="Times New Roman"/>
        </w:rPr>
        <w:footnoteReference w:id="57"/>
      </w:r>
      <w:r w:rsidRPr="0022223F">
        <w:rPr>
          <w:rFonts w:ascii="Times New Roman" w:hAnsi="Times New Roman" w:cs="Times New Roman"/>
        </w:rPr>
        <w:t xml:space="preserve"> </w:t>
      </w:r>
      <w:r>
        <w:rPr>
          <w:rFonts w:ascii="Times New Roman" w:hAnsi="Times New Roman" w:cs="Times New Roman"/>
        </w:rPr>
        <w:t xml:space="preserve">Doucettys were a type of sweet custard tarts sometimes filled with pork, almond milk, or cream and then peppered with sugar, honey, saffron, or spices. </w:t>
      </w:r>
      <w:r>
        <w:rPr>
          <w:rStyle w:val="FootnoteReference"/>
          <w:rFonts w:ascii="Times New Roman" w:hAnsi="Times New Roman" w:cs="Times New Roman"/>
        </w:rPr>
        <w:footnoteReference w:id="58"/>
      </w:r>
      <w:r>
        <w:rPr>
          <w:rFonts w:ascii="Times New Roman" w:hAnsi="Times New Roman" w:cs="Times New Roman"/>
        </w:rPr>
        <w:t xml:space="preserve"> The real difficulty here was avoiding a soggy bottom and leaking from the pastry-something even modern chefs have difficulty mastering. </w:t>
      </w:r>
    </w:p>
    <w:p w:rsidR="00865274" w:rsidRDefault="0012169B" w:rsidP="00865274">
      <w:pPr>
        <w:spacing w:line="480" w:lineRule="auto"/>
        <w:ind w:firstLine="720"/>
        <w:rPr>
          <w:rFonts w:ascii="Times New Roman" w:hAnsi="Times New Roman" w:cs="Times New Roman"/>
        </w:rPr>
      </w:pPr>
      <w:r>
        <w:rPr>
          <w:rFonts w:ascii="Times New Roman" w:hAnsi="Times New Roman" w:cs="Times New Roman"/>
        </w:rPr>
        <w:t>Finally, each course ended</w:t>
      </w:r>
      <w:r w:rsidR="00865274">
        <w:rPr>
          <w:rFonts w:ascii="Times New Roman" w:hAnsi="Times New Roman" w:cs="Times New Roman"/>
        </w:rPr>
        <w:t xml:space="preserve"> with a “sotelte”. </w:t>
      </w:r>
      <w:r>
        <w:rPr>
          <w:rFonts w:ascii="Times New Roman" w:hAnsi="Times New Roman" w:cs="Times New Roman"/>
        </w:rPr>
        <w:t>This was a grand edible centerpiece, often</w:t>
      </w:r>
      <w:r w:rsidR="00865274">
        <w:rPr>
          <w:rFonts w:ascii="Times New Roman" w:hAnsi="Times New Roman" w:cs="Times New Roman"/>
        </w:rPr>
        <w:t xml:space="preserve"> a sugar sculpture that was </w:t>
      </w:r>
      <w:r>
        <w:rPr>
          <w:rFonts w:ascii="Times New Roman" w:hAnsi="Times New Roman" w:cs="Times New Roman"/>
        </w:rPr>
        <w:t>molded</w:t>
      </w:r>
      <w:r w:rsidR="00865274">
        <w:rPr>
          <w:rFonts w:ascii="Times New Roman" w:hAnsi="Times New Roman" w:cs="Times New Roman"/>
        </w:rPr>
        <w:t xml:space="preserve"> into decorative objects to reflect the occasion.</w:t>
      </w:r>
      <w:r w:rsidR="00865274">
        <w:rPr>
          <w:rStyle w:val="FootnoteReference"/>
          <w:rFonts w:ascii="Times New Roman" w:hAnsi="Times New Roman" w:cs="Times New Roman"/>
        </w:rPr>
        <w:footnoteReference w:id="59"/>
      </w:r>
      <w:r w:rsidR="00865274">
        <w:rPr>
          <w:rFonts w:ascii="Times New Roman" w:hAnsi="Times New Roman" w:cs="Times New Roman"/>
        </w:rPr>
        <w:t xml:space="preserve"> They were used to recognize social and economic significance,</w:t>
      </w:r>
      <w:r w:rsidR="00865274">
        <w:rPr>
          <w:rStyle w:val="FootnoteReference"/>
          <w:rFonts w:ascii="Times New Roman" w:hAnsi="Times New Roman" w:cs="Times New Roman"/>
        </w:rPr>
        <w:footnoteReference w:id="60"/>
      </w:r>
      <w:r w:rsidR="00865274">
        <w:rPr>
          <w:rFonts w:ascii="Times New Roman" w:hAnsi="Times New Roman" w:cs="Times New Roman"/>
        </w:rPr>
        <w:t xml:space="preserve"> as only the very wealthy could afford sugar simply meant for viewing and not eating. They were carved to represent religious symbols, such as angels, saints, and other holy images. Given that the </w:t>
      </w:r>
      <w:r w:rsidR="00865274">
        <w:rPr>
          <w:rFonts w:ascii="Times New Roman" w:hAnsi="Times New Roman" w:cs="Times New Roman"/>
        </w:rPr>
        <w:lastRenderedPageBreak/>
        <w:t xml:space="preserve">coronation and banquet were both religious affairs, the absence of the subtleties would have been immediately apparent. Aside from the wide selection of foods available at Henrys banquet, these subtleties were perhaps the most glamorous item available.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On the menu are two items that have caused some debate; one is “egle.” Janet Laurence argues that egle may have been eagle</w:t>
      </w:r>
      <w:r>
        <w:rPr>
          <w:rStyle w:val="FootnoteReference"/>
          <w:rFonts w:ascii="Times New Roman" w:hAnsi="Times New Roman" w:cs="Times New Roman"/>
        </w:rPr>
        <w:footnoteReference w:id="61"/>
      </w:r>
      <w:r>
        <w:rPr>
          <w:rFonts w:ascii="Times New Roman" w:hAnsi="Times New Roman" w:cs="Times New Roman"/>
        </w:rPr>
        <w:t xml:space="preserve">. However, she adds, hunting birds such as an eagle would have no doubt been more useful alive than on the dinner table, she goes on to argue that it is possible that the sotelte may have been carved into the shape of an eagle. This seems to go against the religious iconography of the soteltes. Egle is also not at the end of the menu with the sotelte, which would imply that it was something meant to be eaten.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 xml:space="preserve">The second is “pottys of lylye,” which could mean pots of lily. It can be argued that the pots of lilies were a white soup or sauce, and perhaps a precursor to the béchamel. Béchamel is typically a very delicate tasting white sauce, and therefore pots of lilies would have been both a poetic name and it wouldn’t be to far a stretch. Contrarily, pots of lilies may have been lily water, similar to rose water. Then it would have been something added to the sweet dishes to give it a gently perfumed taste, or as it is an item on the menu, guests may have drank it. The last possible reason is that it was meant exactly as it sounds. Pots filled with lilies around the banquet hall, not meant for consumption, but sharing the same reason as the soteltes, something meant to beautify the occasion. </w:t>
      </w:r>
    </w:p>
    <w:p w:rsidR="00865274" w:rsidRPr="0012169B" w:rsidRDefault="00865274" w:rsidP="0012169B">
      <w:pPr>
        <w:spacing w:line="480" w:lineRule="auto"/>
        <w:ind w:firstLine="720"/>
        <w:rPr>
          <w:rFonts w:ascii="Times New Roman" w:hAnsi="Times New Roman" w:cs="Times New Roman"/>
        </w:rPr>
      </w:pPr>
      <w:r>
        <w:rPr>
          <w:rFonts w:ascii="Times New Roman" w:hAnsi="Times New Roman" w:cs="Times New Roman"/>
        </w:rPr>
        <w:t xml:space="preserve">The beverage of choice, found at all three courses was wine. At Henrys banquet, it would have been “…sweetened with honey, thickened with rice flour, spiced and </w:t>
      </w:r>
      <w:r>
        <w:rPr>
          <w:rFonts w:ascii="Times New Roman" w:hAnsi="Times New Roman" w:cs="Times New Roman"/>
        </w:rPr>
        <w:lastRenderedPageBreak/>
        <w:t>colored red with mulberries or Saunders.”</w:t>
      </w:r>
      <w:r>
        <w:rPr>
          <w:rStyle w:val="FootnoteReference"/>
          <w:rFonts w:ascii="Times New Roman" w:hAnsi="Times New Roman" w:cs="Times New Roman"/>
        </w:rPr>
        <w:footnoteReference w:id="62"/>
      </w:r>
      <w:r>
        <w:rPr>
          <w:rFonts w:ascii="Times New Roman" w:hAnsi="Times New Roman" w:cs="Times New Roman"/>
        </w:rPr>
        <w:t xml:space="preserve"> Medieval nobility had access to other drinks; such as mead, beer, and spirits, however wine was chosen because it created a distinction between the upper classes and the lower classes, and it had an air of sophistication.</w:t>
      </w:r>
      <w:r>
        <w:rPr>
          <w:rStyle w:val="FootnoteReference"/>
          <w:rFonts w:ascii="Times New Roman" w:hAnsi="Times New Roman" w:cs="Times New Roman"/>
        </w:rPr>
        <w:footnoteReference w:id="63"/>
      </w:r>
      <w:r>
        <w:rPr>
          <w:rFonts w:ascii="Times New Roman" w:hAnsi="Times New Roman" w:cs="Times New Roman"/>
        </w:rPr>
        <w:t xml:space="preserve"> According to humoral theory, the guide to all ailments in the medieval ages, it was contested whether or not wine was a hot, cold, moist or dry medicine. Regardless, it was agreed upon that wine was “believed to keep the humours in balance, especially when it came to temperature and humidity.”</w:t>
      </w:r>
      <w:r>
        <w:rPr>
          <w:rStyle w:val="FootnoteReference"/>
          <w:rFonts w:ascii="Times New Roman" w:hAnsi="Times New Roman" w:cs="Times New Roman"/>
        </w:rPr>
        <w:footnoteReference w:id="64"/>
      </w:r>
      <w:r>
        <w:rPr>
          <w:rFonts w:ascii="Times New Roman" w:hAnsi="Times New Roman" w:cs="Times New Roman"/>
        </w:rPr>
        <w:t xml:space="preserve"> Wine was seen to raise the spirits, ease digestion, assist appetite, and color the complexion. </w:t>
      </w:r>
      <w:r>
        <w:rPr>
          <w:rStyle w:val="FootnoteReference"/>
          <w:rFonts w:ascii="Times New Roman" w:hAnsi="Times New Roman" w:cs="Times New Roman"/>
        </w:rPr>
        <w:footnoteReference w:id="65"/>
      </w:r>
      <w:r>
        <w:rPr>
          <w:rFonts w:ascii="Times New Roman" w:hAnsi="Times New Roman" w:cs="Times New Roman"/>
        </w:rPr>
        <w:t xml:space="preserve"> It then becomes obvious that Henry would want to choose a beverage that was widely celebrated for its health benefits and prestige. Ale was also likely have been available, as “without bread and wine and ale, no one at a feast will be at ease.”</w:t>
      </w:r>
      <w:r>
        <w:rPr>
          <w:rStyle w:val="FootnoteReference"/>
          <w:rFonts w:ascii="Times New Roman" w:hAnsi="Times New Roman" w:cs="Times New Roman"/>
        </w:rPr>
        <w:footnoteReference w:id="66"/>
      </w:r>
      <w:r w:rsidR="0012169B">
        <w:rPr>
          <w:rFonts w:ascii="Times New Roman" w:hAnsi="Times New Roman" w:cs="Times New Roman"/>
        </w:rPr>
        <w:t xml:space="preserve"> W</w:t>
      </w:r>
      <w:r>
        <w:rPr>
          <w:rFonts w:ascii="Times New Roman" w:hAnsi="Times New Roman" w:cs="Times New Roman"/>
        </w:rPr>
        <w:t>ine</w:t>
      </w:r>
      <w:r w:rsidR="0012169B">
        <w:rPr>
          <w:rFonts w:ascii="Times New Roman" w:hAnsi="Times New Roman" w:cs="Times New Roman"/>
        </w:rPr>
        <w:t>,</w:t>
      </w:r>
      <w:r>
        <w:rPr>
          <w:rFonts w:ascii="Times New Roman" w:hAnsi="Times New Roman" w:cs="Times New Roman"/>
        </w:rPr>
        <w:t xml:space="preserve"> </w:t>
      </w:r>
      <w:r w:rsidR="0012169B">
        <w:rPr>
          <w:rFonts w:ascii="Times New Roman" w:hAnsi="Times New Roman" w:cs="Times New Roman"/>
        </w:rPr>
        <w:t>however</w:t>
      </w:r>
      <w:r>
        <w:rPr>
          <w:rFonts w:ascii="Times New Roman" w:hAnsi="Times New Roman" w:cs="Times New Roman"/>
        </w:rPr>
        <w:t xml:space="preserve"> have been the more desired drink. </w:t>
      </w:r>
    </w:p>
    <w:p w:rsidR="00865274" w:rsidRPr="00BE33AD" w:rsidRDefault="00865274" w:rsidP="00865274">
      <w:pPr>
        <w:spacing w:line="480" w:lineRule="auto"/>
        <w:rPr>
          <w:rFonts w:ascii="Times New Roman" w:hAnsi="Times New Roman" w:cs="Times New Roman"/>
          <w:b/>
          <w:bCs/>
          <w:u w:val="single"/>
        </w:rPr>
      </w:pPr>
      <w:r>
        <w:rPr>
          <w:rFonts w:ascii="Times New Roman" w:hAnsi="Times New Roman" w:cs="Times New Roman"/>
          <w:b/>
          <w:bCs/>
          <w:u w:val="single"/>
        </w:rPr>
        <w:t>Dinner Deconstructed</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 xml:space="preserve">The </w:t>
      </w:r>
      <w:r w:rsidR="0012169B">
        <w:rPr>
          <w:rFonts w:ascii="Times New Roman" w:hAnsi="Times New Roman" w:cs="Times New Roman"/>
        </w:rPr>
        <w:t>serving</w:t>
      </w:r>
      <w:r>
        <w:rPr>
          <w:rFonts w:ascii="Times New Roman" w:hAnsi="Times New Roman" w:cs="Times New Roman"/>
        </w:rPr>
        <w:t xml:space="preserve"> of so much meat</w:t>
      </w:r>
      <w:r w:rsidR="0012169B">
        <w:rPr>
          <w:rFonts w:ascii="Times New Roman" w:hAnsi="Times New Roman" w:cs="Times New Roman"/>
        </w:rPr>
        <w:t xml:space="preserve"> not only displayed the wealth</w:t>
      </w:r>
      <w:r>
        <w:rPr>
          <w:rFonts w:ascii="Times New Roman" w:hAnsi="Times New Roman" w:cs="Times New Roman"/>
        </w:rPr>
        <w:t xml:space="preserve"> of the Lancastrians, however, it </w:t>
      </w:r>
      <w:r w:rsidR="0012169B">
        <w:rPr>
          <w:rFonts w:ascii="Times New Roman" w:hAnsi="Times New Roman" w:cs="Times New Roman"/>
        </w:rPr>
        <w:t>was also</w:t>
      </w:r>
      <w:r>
        <w:rPr>
          <w:rFonts w:ascii="Times New Roman" w:hAnsi="Times New Roman" w:cs="Times New Roman"/>
        </w:rPr>
        <w:t xml:space="preserve"> a representation of masculinity and power.</w:t>
      </w:r>
      <w:r>
        <w:rPr>
          <w:rStyle w:val="FootnoteReference"/>
          <w:rFonts w:ascii="Times New Roman" w:hAnsi="Times New Roman" w:cs="Times New Roman"/>
        </w:rPr>
        <w:footnoteReference w:id="67"/>
      </w:r>
      <w:r>
        <w:rPr>
          <w:rFonts w:ascii="Times New Roman" w:hAnsi="Times New Roman" w:cs="Times New Roman"/>
        </w:rPr>
        <w:t xml:space="preserve"> If Henry were to have served only vegetables or soups, his reign would have been off to a shaky, feminine start. Margaret Visser, in </w:t>
      </w:r>
      <w:r>
        <w:rPr>
          <w:rFonts w:ascii="Times New Roman" w:hAnsi="Times New Roman" w:cs="Times New Roman"/>
          <w:i/>
        </w:rPr>
        <w:t>Much Depends on Dinner</w:t>
      </w:r>
      <w:r>
        <w:rPr>
          <w:rFonts w:ascii="Times New Roman" w:hAnsi="Times New Roman" w:cs="Times New Roman"/>
        </w:rPr>
        <w:t>, argues that meat can be scaled from least to most masculine: fish is considered the lowest and least masculine meat, while beef tops the scale as the manliest because of its red color.</w:t>
      </w:r>
      <w:r>
        <w:rPr>
          <w:rStyle w:val="FootnoteReference"/>
          <w:rFonts w:ascii="Times New Roman" w:hAnsi="Times New Roman" w:cs="Times New Roman"/>
        </w:rPr>
        <w:footnoteReference w:id="68"/>
      </w:r>
      <w:r>
        <w:rPr>
          <w:rFonts w:ascii="Times New Roman" w:hAnsi="Times New Roman" w:cs="Times New Roman"/>
        </w:rPr>
        <w:t xml:space="preserve"> Henrys coronation banquet serves very few dishes of fish, and those that have fish are typically hidden within tarts. In </w:t>
      </w:r>
      <w:r>
        <w:rPr>
          <w:rFonts w:ascii="Times New Roman" w:hAnsi="Times New Roman" w:cs="Times New Roman"/>
        </w:rPr>
        <w:lastRenderedPageBreak/>
        <w:t xml:space="preserve">contrast, all three courses have several options of red meat. This is, on Henrys part, a way to emphasize his power over England, while proving his masculinity. </w:t>
      </w:r>
    </w:p>
    <w:p w:rsidR="0012169B" w:rsidRDefault="00865274" w:rsidP="00865274">
      <w:pPr>
        <w:spacing w:line="480" w:lineRule="auto"/>
        <w:ind w:firstLine="720"/>
        <w:rPr>
          <w:rFonts w:ascii="Times New Roman" w:hAnsi="Times New Roman" w:cs="Times New Roman"/>
        </w:rPr>
      </w:pPr>
      <w:r>
        <w:rPr>
          <w:rFonts w:ascii="Times New Roman" w:hAnsi="Times New Roman" w:cs="Times New Roman"/>
        </w:rPr>
        <w:t>The fruits that Henry chose to grace the tables with would have been delicacies; they also would have been another way of proving the influence Henry had. Quinces were particularly desired because of their flavor</w:t>
      </w:r>
      <w:r w:rsidRPr="00BE33AD">
        <w:rPr>
          <w:rFonts w:ascii="Times New Roman" w:hAnsi="Times New Roman" w:cs="Times New Roman"/>
        </w:rPr>
        <w:t xml:space="preserve"> </w:t>
      </w:r>
      <w:r>
        <w:rPr>
          <w:rFonts w:ascii="Times New Roman" w:hAnsi="Times New Roman" w:cs="Times New Roman"/>
        </w:rPr>
        <w:t>and the ornamental quality of their blossoms, and therefore they were presented preserved as their own dish. But common fruits such as dates, raisins, and apples would have been mixed into other foods to produce the fritters, tarts, and to sweeten meats. Fruit at Henrys banquet would have been rare, not only because of the inherent masculinity of meat, but also because of the date chosen for Henrys coronation. October</w:t>
      </w:r>
      <w:r w:rsidR="0012169B">
        <w:rPr>
          <w:rFonts w:ascii="Times New Roman" w:hAnsi="Times New Roman" w:cs="Times New Roman"/>
        </w:rPr>
        <w:t xml:space="preserve"> is known for it’s apples, pears, grapes and nuts,</w:t>
      </w:r>
      <w:r>
        <w:rPr>
          <w:rFonts w:ascii="Times New Roman" w:hAnsi="Times New Roman" w:cs="Times New Roman"/>
        </w:rPr>
        <w:t xml:space="preserve"> hardy</w:t>
      </w:r>
      <w:r w:rsidR="0012169B">
        <w:rPr>
          <w:rFonts w:ascii="Times New Roman" w:hAnsi="Times New Roman" w:cs="Times New Roman"/>
        </w:rPr>
        <w:t xml:space="preserve"> fruits designed to thrive in the Fall</w:t>
      </w:r>
      <w:r>
        <w:rPr>
          <w:rFonts w:ascii="Times New Roman" w:hAnsi="Times New Roman" w:cs="Times New Roman"/>
        </w:rPr>
        <w:t>. Fruit would have also been used as a way of naturally sweetening the foods</w:t>
      </w:r>
      <w:r w:rsidR="0012169B">
        <w:rPr>
          <w:rFonts w:ascii="Times New Roman" w:hAnsi="Times New Roman" w:cs="Times New Roman"/>
        </w:rPr>
        <w:t>.</w:t>
      </w:r>
    </w:p>
    <w:p w:rsidR="00865274" w:rsidRPr="00AD713A" w:rsidRDefault="00865274" w:rsidP="00865274">
      <w:pPr>
        <w:spacing w:line="480" w:lineRule="auto"/>
        <w:ind w:firstLine="720"/>
        <w:rPr>
          <w:rFonts w:ascii="Times New Roman" w:hAnsi="Times New Roman" w:cs="Times New Roman"/>
          <w:bCs/>
        </w:rPr>
      </w:pPr>
      <w:r>
        <w:rPr>
          <w:rFonts w:ascii="Times New Roman" w:hAnsi="Times New Roman" w:cs="Times New Roman"/>
          <w:bCs/>
        </w:rPr>
        <w:t>Much of the meats that were butchered in preparation for the banquet had to be salted or brined,</w:t>
      </w:r>
      <w:r>
        <w:rPr>
          <w:rStyle w:val="FootnoteReference"/>
          <w:rFonts w:ascii="Times New Roman" w:hAnsi="Times New Roman" w:cs="Times New Roman"/>
          <w:bCs/>
        </w:rPr>
        <w:footnoteReference w:id="69"/>
      </w:r>
      <w:r>
        <w:rPr>
          <w:rFonts w:ascii="Times New Roman" w:hAnsi="Times New Roman" w:cs="Times New Roman"/>
          <w:bCs/>
        </w:rPr>
        <w:t xml:space="preserve"> and the few vegetables and soups that are on the menu, were cooked with salt to add flavor. Some of the dishes on the menu are served without sauce intentionally, and then the guest added salt to their tasting.</w:t>
      </w:r>
      <w:r>
        <w:rPr>
          <w:rStyle w:val="FootnoteReference"/>
          <w:rFonts w:ascii="Times New Roman" w:hAnsi="Times New Roman" w:cs="Times New Roman"/>
          <w:bCs/>
        </w:rPr>
        <w:footnoteReference w:id="70"/>
      </w:r>
      <w:r>
        <w:rPr>
          <w:rFonts w:ascii="Times New Roman" w:hAnsi="Times New Roman" w:cs="Times New Roman"/>
          <w:bCs/>
        </w:rPr>
        <w:t xml:space="preserve"> But not only was salt useful prior to the banquet, but during it as well. Its proper usage was entrusted a pantler (servant in charge of the bread and pantry of the medieval household) who was also required to taste the salt before the meal.</w:t>
      </w:r>
      <w:r>
        <w:rPr>
          <w:rStyle w:val="FootnoteReference"/>
          <w:rFonts w:ascii="Times New Roman" w:hAnsi="Times New Roman" w:cs="Times New Roman"/>
          <w:bCs/>
        </w:rPr>
        <w:footnoteReference w:id="71"/>
      </w:r>
      <w:r>
        <w:rPr>
          <w:rFonts w:ascii="Times New Roman" w:hAnsi="Times New Roman" w:cs="Times New Roman"/>
          <w:bCs/>
        </w:rPr>
        <w:t xml:space="preserve"> Salt would have been a commodity for the English, as salt mines and farms were hard to come by and expensive, not only to mine but also to transport. So the fact that so much salt was used points again towards the wealth of the Lancasters, and that England now had access to that wealth. </w:t>
      </w:r>
    </w:p>
    <w:p w:rsidR="00865274" w:rsidRPr="0012169B" w:rsidRDefault="00865274" w:rsidP="0012169B">
      <w:pPr>
        <w:spacing w:line="480" w:lineRule="auto"/>
        <w:ind w:firstLine="720"/>
        <w:rPr>
          <w:rFonts w:ascii="Times New Roman" w:hAnsi="Times New Roman" w:cs="Times New Roman"/>
        </w:rPr>
      </w:pPr>
      <w:r>
        <w:rPr>
          <w:rFonts w:ascii="Times New Roman" w:hAnsi="Times New Roman" w:cs="Times New Roman"/>
        </w:rPr>
        <w:lastRenderedPageBreak/>
        <w:t xml:space="preserve">Finally, access to such carnivorous fare would require fuel for the duration of the cook time and basting oil (in this case lard). Lard would have been easy to come by, seeing as it is animal fat. Consistent temperature would have been difficult to maintain without a lot of fuel though. Poultry, generally considered to need the most attention in cooking, needs to be heated to at least 165 degrees Fahrenheit to be considered safe to eat, and a whole bird must be heated to 180 degrees. Master cooks of the fourteenth century may not have been able to identify the exact temperature of the bird, but knowing when it was cooked and safe to eat was essential. The number of slow cooked meats allows us to confirm that England was a well-forested area, and that acquiring fuel was not an issue for nobility in medieval England. </w:t>
      </w:r>
    </w:p>
    <w:p w:rsidR="00865274" w:rsidRDefault="00865274" w:rsidP="00865274">
      <w:pPr>
        <w:spacing w:line="480" w:lineRule="auto"/>
        <w:rPr>
          <w:rFonts w:ascii="Times New Roman" w:hAnsi="Times New Roman" w:cs="Times New Roman"/>
          <w:b/>
          <w:u w:val="single"/>
        </w:rPr>
      </w:pPr>
      <w:r>
        <w:rPr>
          <w:rFonts w:ascii="Times New Roman" w:hAnsi="Times New Roman" w:cs="Times New Roman"/>
          <w:b/>
          <w:u w:val="single"/>
        </w:rPr>
        <w:t>A Comparison</w:t>
      </w:r>
    </w:p>
    <w:p w:rsidR="00865274" w:rsidRDefault="00865274" w:rsidP="00865274">
      <w:pPr>
        <w:spacing w:line="480" w:lineRule="auto"/>
        <w:rPr>
          <w:rFonts w:ascii="Times New Roman" w:hAnsi="Times New Roman" w:cs="Times New Roman"/>
        </w:rPr>
      </w:pPr>
      <w:r>
        <w:rPr>
          <w:rFonts w:ascii="Times New Roman" w:hAnsi="Times New Roman" w:cs="Times New Roman"/>
        </w:rPr>
        <w:tab/>
        <w:t>While no grocery list or quantity for Henrys coronation exists, the quantities and menus of food for other banquets are available. One contemporary banquet was that for the Duke of Lancaster and Richard II, hosted at the Bishops place in London in 1387, twelve years prior to Henrys coronation:</w:t>
      </w:r>
    </w:p>
    <w:p w:rsidR="00865274" w:rsidRDefault="00865274" w:rsidP="00865274">
      <w:pPr>
        <w:spacing w:line="480" w:lineRule="auto"/>
        <w:ind w:left="1440" w:right="1440"/>
        <w:rPr>
          <w:rFonts w:ascii="Times New Roman" w:hAnsi="Times New Roman" w:cs="Times New Roman"/>
        </w:rPr>
      </w:pPr>
      <w:r>
        <w:rPr>
          <w:rFonts w:ascii="Times New Roman" w:hAnsi="Times New Roman" w:cs="Times New Roman"/>
        </w:rPr>
        <w:t>…111 pigs, 50 swans, 210 geese, eight dozen rabbits, three bushels of apples (one bushel today is 40 pounds)</w:t>
      </w:r>
      <w:r>
        <w:rPr>
          <w:rStyle w:val="FootnoteReference"/>
          <w:rFonts w:ascii="Times New Roman" w:hAnsi="Times New Roman" w:cs="Times New Roman"/>
        </w:rPr>
        <w:footnoteReference w:id="72"/>
      </w:r>
      <w:r>
        <w:rPr>
          <w:rFonts w:ascii="Times New Roman" w:hAnsi="Times New Roman" w:cs="Times New Roman"/>
        </w:rPr>
        <w:t xml:space="preserve"> 12 thousand eggs</w:t>
      </w:r>
      <w:r>
        <w:rPr>
          <w:rStyle w:val="FootnoteReference"/>
          <w:rFonts w:ascii="Times New Roman" w:hAnsi="Times New Roman" w:cs="Times New Roman"/>
        </w:rPr>
        <w:footnoteReference w:id="73"/>
      </w:r>
      <w:r>
        <w:rPr>
          <w:rFonts w:ascii="Times New Roman" w:hAnsi="Times New Roman" w:cs="Times New Roman"/>
        </w:rPr>
        <w:t xml:space="preserve"> (However) Archbishop Neville’s installation feast (contained) 2000 each of geese, pigs and chickens, 100 dozen quails, 4000 each of wild ducks, </w:t>
      </w:r>
      <w:r>
        <w:rPr>
          <w:rFonts w:ascii="Times New Roman" w:hAnsi="Times New Roman" w:cs="Times New Roman"/>
        </w:rPr>
        <w:lastRenderedPageBreak/>
        <w:t>pigeons and rabbits, 4000 cold tarts, 1500 hot pasties of venison, and much, much more.</w:t>
      </w:r>
      <w:r>
        <w:rPr>
          <w:rStyle w:val="FootnoteReference"/>
          <w:rFonts w:ascii="Times New Roman" w:hAnsi="Times New Roman" w:cs="Times New Roman"/>
        </w:rPr>
        <w:footnoteReference w:id="74"/>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Comparatively, Henrys coronation feast seems to be a paltry affair, only one head of a wild boar, and no mention of the quantity of pigs or birds. One possible reason for this is that England had not fully recovered from the famine, which officially ended in 1322.</w:t>
      </w:r>
      <w:r>
        <w:rPr>
          <w:rStyle w:val="FootnoteReference"/>
          <w:rFonts w:ascii="Times New Roman" w:hAnsi="Times New Roman" w:cs="Times New Roman"/>
        </w:rPr>
        <w:footnoteReference w:id="75"/>
      </w:r>
      <w:r>
        <w:rPr>
          <w:rFonts w:ascii="Times New Roman" w:hAnsi="Times New Roman" w:cs="Times New Roman"/>
        </w:rPr>
        <w:t xml:space="preserve"> Again, Richard further exacerbated tensions between himself and the public because of his unnecessarily grand feasts, “which saw ten thousand visitors daily to attend his court”</w:t>
      </w:r>
      <w:r>
        <w:rPr>
          <w:rStyle w:val="FootnoteReference"/>
          <w:rFonts w:ascii="Times New Roman" w:hAnsi="Times New Roman" w:cs="Times New Roman"/>
        </w:rPr>
        <w:footnoteReference w:id="76"/>
      </w:r>
      <w:r>
        <w:rPr>
          <w:rFonts w:ascii="Times New Roman" w:hAnsi="Times New Roman" w:cs="Times New Roman"/>
        </w:rPr>
        <w:t xml:space="preserve"> Whom he was then honor bound to feed, and it would not unseemly for them to receive peasant fare. For Henry to match the lavish feasts that Richard and the Duke of Lancasters had enjoyed, he would have put unnecessary strain on the English farmers, and Henry wanted to avoid that at all costs. Yet, Henrys feast was still a grand event. Similar feasts in the thirteenth century included the head of a boar, venison, cranes, kids (baby goats), swans, hens, pigs, and a variety of birds.</w:t>
      </w:r>
      <w:r>
        <w:rPr>
          <w:rStyle w:val="FootnoteReference"/>
          <w:rFonts w:ascii="Times New Roman" w:hAnsi="Times New Roman" w:cs="Times New Roman"/>
        </w:rPr>
        <w:footnoteReference w:id="77"/>
      </w:r>
      <w:r>
        <w:rPr>
          <w:rFonts w:ascii="Times New Roman" w:hAnsi="Times New Roman" w:cs="Times New Roman"/>
        </w:rPr>
        <w:t xml:space="preserve"> Arguably, a coronation was the most important public event that that took place in medieval society, and while Henrys banquet was a step down from Richard II expensive courtly lifestyle, it was a more than acceptable coronation banquet.</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The coronation banquet of Henry V, who followed Henry IV, appears to be an incredibly different banquet, when in reality it was not. The biggest reason for this is that Henry V was crowned on April 9, 1413</w:t>
      </w:r>
      <w:r>
        <w:rPr>
          <w:rStyle w:val="FootnoteReference"/>
          <w:rFonts w:ascii="Times New Roman" w:hAnsi="Times New Roman" w:cs="Times New Roman"/>
        </w:rPr>
        <w:footnoteReference w:id="78"/>
      </w:r>
      <w:r>
        <w:rPr>
          <w:rFonts w:ascii="Times New Roman" w:hAnsi="Times New Roman" w:cs="Times New Roman"/>
        </w:rPr>
        <w:t xml:space="preserve"> on a “fish” day during lent, where the only available meat on Fridays was fish. Henry V deviated from the usual Sunday coronation because the realm needed a king and Henry IV had just passed away. Even though every </w:t>
      </w:r>
      <w:r>
        <w:rPr>
          <w:rFonts w:ascii="Times New Roman" w:hAnsi="Times New Roman" w:cs="Times New Roman"/>
        </w:rPr>
        <w:lastRenderedPageBreak/>
        <w:t>course was made up of trout, halibut, lamprey, salmon, sole, or some other combination of fish</w:t>
      </w:r>
      <w:r>
        <w:rPr>
          <w:rStyle w:val="FootnoteReference"/>
          <w:rFonts w:ascii="Times New Roman" w:hAnsi="Times New Roman" w:cs="Times New Roman"/>
        </w:rPr>
        <w:footnoteReference w:id="79"/>
      </w:r>
      <w:r>
        <w:rPr>
          <w:rFonts w:ascii="Times New Roman" w:hAnsi="Times New Roman" w:cs="Times New Roman"/>
        </w:rPr>
        <w:t xml:space="preserve">, Henry V was still considered a strong king. With so much fish being the only meat, it should have presented him as weaker, but the situation must be taken into account. If Henry V had a banquet filled with red meat, it would have been directly against the religious tradition, and painted him as a flawed king, incapable of protecting his people. Therefore, Henry IV and Henry V had similar banquets. Both showcased the power they had, Henry IV with his red meats and Henry V with his array of options of fish. </w:t>
      </w:r>
    </w:p>
    <w:p w:rsidR="00865274" w:rsidRDefault="00865274" w:rsidP="00865274">
      <w:pPr>
        <w:spacing w:line="480" w:lineRule="auto"/>
        <w:ind w:firstLine="720"/>
        <w:rPr>
          <w:rFonts w:ascii="Times New Roman" w:hAnsi="Times New Roman" w:cs="Times New Roman"/>
        </w:rPr>
      </w:pPr>
      <w:r>
        <w:rPr>
          <w:rFonts w:ascii="Times New Roman" w:hAnsi="Times New Roman" w:cs="Times New Roman"/>
        </w:rPr>
        <w:t>A divergent banquet from those looked at so far, would be Henry IVs wedding banquet to Joan of Navarre. Chris Given-Wilson states that the wedding to place in 1402,</w:t>
      </w:r>
      <w:r>
        <w:rPr>
          <w:rStyle w:val="FootnoteReference"/>
          <w:rFonts w:ascii="Times New Roman" w:hAnsi="Times New Roman" w:cs="Times New Roman"/>
        </w:rPr>
        <w:footnoteReference w:id="80"/>
      </w:r>
      <w:r>
        <w:rPr>
          <w:rFonts w:ascii="Times New Roman" w:hAnsi="Times New Roman" w:cs="Times New Roman"/>
        </w:rPr>
        <w:t xml:space="preserve"> but 1404,</w:t>
      </w:r>
      <w:r>
        <w:rPr>
          <w:rStyle w:val="FootnoteReference"/>
          <w:rFonts w:ascii="Times New Roman" w:hAnsi="Times New Roman" w:cs="Times New Roman"/>
        </w:rPr>
        <w:footnoteReference w:id="81"/>
      </w:r>
      <w:r>
        <w:rPr>
          <w:rFonts w:ascii="Times New Roman" w:hAnsi="Times New Roman" w:cs="Times New Roman"/>
        </w:rPr>
        <w:t xml:space="preserve"> Janet Laurence argues, was the real year. Regardless of the date, this banquet is one in which women were assuredly present, and one in which the primary reason for the banquet was a celebration. The previous banquets had all been attempts at proving power and showing nobility or wealth. Henrys wedding banquet is different because one, the existence of so many birds and fish on the menu. There is much less focus on large red meats and much more focus on the intricately cooked and designed foods, such as crème of almond, jellies, and minced pies.</w:t>
      </w:r>
      <w:r>
        <w:rPr>
          <w:rStyle w:val="FootnoteReference"/>
          <w:rFonts w:ascii="Times New Roman" w:hAnsi="Times New Roman" w:cs="Times New Roman"/>
        </w:rPr>
        <w:footnoteReference w:id="82"/>
      </w:r>
      <w:r>
        <w:rPr>
          <w:rFonts w:ascii="Times New Roman" w:hAnsi="Times New Roman" w:cs="Times New Roman"/>
        </w:rPr>
        <w:t xml:space="preserve"> Soteltes are also found at each course as a show of finery. Women were typically in control of the kitchen in medieval society, and even when they were nobility they were then in charge of the staff of the kitchen and foods produced. This could be the reason that the wedding banquet differed so greatly from the coronation banquet. As previously stated, Henry wasn’t married at the </w:t>
      </w:r>
      <w:r>
        <w:rPr>
          <w:rFonts w:ascii="Times New Roman" w:hAnsi="Times New Roman" w:cs="Times New Roman"/>
        </w:rPr>
        <w:lastRenderedPageBreak/>
        <w:t>time of the coronation banquet, and it is likely he then would have had some part in planning it. Joan of Navarre would have been in charge of the wedding banquet and therefore, is likely the reason the banquets differ so greatly. It seems whenever women are in charge of a banquet attention is placed on every food, and when men are in charge of a banquet, attention is focused on the meat.</w:t>
      </w:r>
      <w:r>
        <w:rPr>
          <w:rStyle w:val="FootnoteReference"/>
          <w:rFonts w:ascii="Times New Roman" w:hAnsi="Times New Roman" w:cs="Times New Roman"/>
        </w:rPr>
        <w:footnoteReference w:id="83"/>
      </w:r>
      <w:r>
        <w:rPr>
          <w:rFonts w:ascii="Times New Roman" w:hAnsi="Times New Roman" w:cs="Times New Roman"/>
        </w:rPr>
        <w:t xml:space="preserve">  </w:t>
      </w:r>
    </w:p>
    <w:p w:rsidR="0051390A" w:rsidRPr="00865274" w:rsidRDefault="0051390A" w:rsidP="00865274">
      <w:pPr>
        <w:spacing w:line="480" w:lineRule="auto"/>
        <w:rPr>
          <w:rFonts w:ascii="Times New Roman" w:hAnsi="Times New Roman" w:cs="Times New Roman"/>
        </w:rPr>
      </w:pPr>
      <w:r>
        <w:rPr>
          <w:rFonts w:ascii="Times New Roman" w:hAnsi="Times New Roman" w:cs="Times New Roman"/>
          <w:b/>
          <w:u w:val="single"/>
        </w:rPr>
        <w:t>A Conclusion</w:t>
      </w:r>
    </w:p>
    <w:p w:rsidR="0051390A" w:rsidRPr="0012169B" w:rsidRDefault="0051390A" w:rsidP="0012169B">
      <w:pPr>
        <w:spacing w:line="480" w:lineRule="auto"/>
        <w:ind w:firstLine="720"/>
        <w:rPr>
          <w:rFonts w:ascii="Times New Roman" w:hAnsi="Times New Roman" w:cs="Times New Roman"/>
        </w:rPr>
      </w:pPr>
      <w:r>
        <w:rPr>
          <w:rFonts w:ascii="Times New Roman" w:hAnsi="Times New Roman" w:cs="Times New Roman"/>
        </w:rPr>
        <w:t>Because of the political environment in which Henry IV ascended the English throne, his coronation and banquet were somewhat unusual. He adhered to tradition in being crowned on a Sunday, as well as receiving the sacrament, giving confession, and attending mass. However, he chose Edward the Confessor’s day to be crowned for the added religious power, and the oil he was anointed with was part of a prophecy, and not the same oil that had crowned King Richard. It was intended to give him the spiritual right to claim back parts of France and to free the holy land, as well as declare himself the true king because of his proper bloodline. The banquet was unusual because Henry was widowed, and he therefore would have been in charge of planning it to a degree. Regardless, it worked as intended; it showed the Lancastrian power, wealth, and social standing. Henry had access to the money required to hire so many cooks and servants, as well as the fuel and ingredients.  He showed his power and social standing by not only usurping the former king, but also doing it bloodlessly.</w:t>
      </w:r>
      <w:r>
        <w:rPr>
          <w:rStyle w:val="FootnoteReference"/>
          <w:rFonts w:ascii="Times New Roman" w:hAnsi="Times New Roman" w:cs="Times New Roman"/>
        </w:rPr>
        <w:footnoteReference w:id="84"/>
      </w:r>
      <w:r>
        <w:rPr>
          <w:rFonts w:ascii="Times New Roman" w:hAnsi="Times New Roman" w:cs="Times New Roman"/>
        </w:rPr>
        <w:t xml:space="preserve"> Both the banquet and the coronation were a deliberate form of religious and political propaganda. Designed to sway the country’s opinion on who should be the king of England, and the final outcome was that Henry IV was declared the right and true king. </w:t>
      </w:r>
    </w:p>
    <w:p w:rsidR="00763D5E" w:rsidRPr="00763D5E" w:rsidRDefault="00763D5E" w:rsidP="00763D5E">
      <w:pPr>
        <w:tabs>
          <w:tab w:val="left" w:pos="720"/>
          <w:tab w:val="left" w:pos="2020"/>
        </w:tabs>
        <w:rPr>
          <w:rFonts w:ascii="Times New Roman" w:hAnsi="Times New Roman" w:cs="Times New Roman"/>
          <w:b/>
          <w:sz w:val="20"/>
        </w:rPr>
      </w:pPr>
      <w:r w:rsidRPr="00763D5E">
        <w:rPr>
          <w:rFonts w:ascii="Times New Roman" w:hAnsi="Times New Roman" w:cs="Times New Roman"/>
          <w:b/>
          <w:sz w:val="20"/>
          <w:u w:val="single"/>
        </w:rPr>
        <w:lastRenderedPageBreak/>
        <w:t xml:space="preserve">Bibliography: </w:t>
      </w:r>
    </w:p>
    <w:p w:rsidR="00763D5E" w:rsidRPr="00763D5E" w:rsidRDefault="00763D5E" w:rsidP="00763D5E">
      <w:pPr>
        <w:rPr>
          <w:rFonts w:ascii="Times New Roman" w:hAnsi="Times New Roman" w:cs="Times New Roman"/>
          <w:sz w:val="20"/>
        </w:rPr>
      </w:pPr>
    </w:p>
    <w:p w:rsidR="00763D5E" w:rsidRPr="00763D5E" w:rsidRDefault="00763D5E" w:rsidP="00763D5E">
      <w:pPr>
        <w:ind w:left="720" w:hanging="720"/>
        <w:rPr>
          <w:sz w:val="20"/>
        </w:rPr>
      </w:pPr>
      <w:r w:rsidRPr="00763D5E">
        <w:rPr>
          <w:sz w:val="20"/>
        </w:rPr>
        <w:t xml:space="preserve">Aberth, John. </w:t>
      </w:r>
      <w:r w:rsidRPr="00763D5E">
        <w:rPr>
          <w:i/>
          <w:sz w:val="20"/>
        </w:rPr>
        <w:t xml:space="preserve">From the Brink of the Apocalypse, </w:t>
      </w:r>
      <w:r w:rsidRPr="00763D5E">
        <w:rPr>
          <w:sz w:val="20"/>
        </w:rPr>
        <w:t>New York: Routledge, 2001.</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Austin, Thomas. Ed. </w:t>
      </w:r>
      <w:r w:rsidRPr="00763D5E">
        <w:rPr>
          <w:i/>
          <w:sz w:val="20"/>
        </w:rPr>
        <w:t>Two Fifteenth Century Cookery Books</w:t>
      </w:r>
      <w:r w:rsidRPr="00763D5E">
        <w:rPr>
          <w:sz w:val="20"/>
        </w:rPr>
        <w:t>. London: Oxford University Press, 1964.</w:t>
      </w:r>
    </w:p>
    <w:p w:rsidR="00763D5E" w:rsidRPr="00763D5E" w:rsidRDefault="00763D5E" w:rsidP="00763D5E">
      <w:pPr>
        <w:ind w:left="720" w:hanging="720"/>
        <w:rPr>
          <w:rFonts w:ascii="Times New Roman" w:hAnsi="Times New Roman" w:cs="Times New Roman"/>
          <w:sz w:val="20"/>
        </w:rPr>
      </w:pPr>
    </w:p>
    <w:p w:rsidR="00763D5E" w:rsidRPr="00763D5E" w:rsidRDefault="00763D5E" w:rsidP="00763D5E">
      <w:pPr>
        <w:ind w:left="720" w:hanging="720"/>
        <w:rPr>
          <w:sz w:val="20"/>
        </w:rPr>
      </w:pPr>
      <w:r w:rsidRPr="00763D5E">
        <w:rPr>
          <w:sz w:val="20"/>
        </w:rPr>
        <w:t>Di Schino, June. “The Significance and Symbolism of Sugar Sculpture at Italian Court Banquets.”</w:t>
      </w:r>
      <w:r w:rsidRPr="00763D5E">
        <w:rPr>
          <w:i/>
          <w:iCs/>
          <w:sz w:val="20"/>
        </w:rPr>
        <w:t xml:space="preserve"> Food and Material Culture Proceedings of the Oxford Symposium on Food and Cookery</w:t>
      </w:r>
      <w:r w:rsidRPr="00763D5E">
        <w:rPr>
          <w:sz w:val="20"/>
        </w:rPr>
        <w:t xml:space="preserve">. Great Britain: Prospect Books, 2014. </w:t>
      </w:r>
    </w:p>
    <w:p w:rsidR="00763D5E" w:rsidRPr="00763D5E" w:rsidRDefault="00763D5E" w:rsidP="00763D5E">
      <w:pPr>
        <w:ind w:left="720" w:hanging="720"/>
        <w:rPr>
          <w:rFonts w:ascii="Times New Roman" w:hAnsi="Times New Roman" w:cs="Times New Roman"/>
          <w:sz w:val="20"/>
        </w:rPr>
      </w:pPr>
    </w:p>
    <w:p w:rsidR="00763D5E" w:rsidRPr="00763D5E" w:rsidRDefault="00763D5E" w:rsidP="00763D5E">
      <w:pPr>
        <w:ind w:left="720" w:hanging="720"/>
        <w:rPr>
          <w:rFonts w:ascii="Times New Roman" w:hAnsi="Times New Roman" w:cs="Times New Roman"/>
          <w:sz w:val="20"/>
        </w:rPr>
      </w:pPr>
      <w:r w:rsidRPr="00763D5E">
        <w:rPr>
          <w:rFonts w:ascii="Times New Roman" w:hAnsi="Times New Roman" w:cs="Times New Roman"/>
          <w:sz w:val="20"/>
        </w:rPr>
        <w:t xml:space="preserve">Given-Wilson, Chris. “Annals Ricardi Secundi, 297-331” </w:t>
      </w:r>
      <w:r w:rsidRPr="00763D5E">
        <w:rPr>
          <w:rFonts w:ascii="Times New Roman" w:hAnsi="Times New Roman" w:cs="Times New Roman"/>
          <w:i/>
          <w:sz w:val="20"/>
        </w:rPr>
        <w:t>Chronicles of the Revolution</w:t>
      </w:r>
      <w:r w:rsidRPr="00763D5E">
        <w:rPr>
          <w:rFonts w:ascii="Times New Roman" w:hAnsi="Times New Roman" w:cs="Times New Roman"/>
          <w:sz w:val="20"/>
        </w:rPr>
        <w:t xml:space="preserve">. Manchester: Manchester University Press, 1993. </w:t>
      </w:r>
    </w:p>
    <w:p w:rsidR="00763D5E" w:rsidRPr="00763D5E" w:rsidRDefault="00763D5E" w:rsidP="00763D5E">
      <w:pPr>
        <w:rPr>
          <w:rFonts w:ascii="Times New Roman" w:hAnsi="Times New Roman" w:cs="Times New Roman"/>
          <w:sz w:val="20"/>
        </w:rPr>
      </w:pPr>
    </w:p>
    <w:p w:rsidR="00763D5E" w:rsidRPr="00763D5E" w:rsidRDefault="00763D5E" w:rsidP="00763D5E">
      <w:pPr>
        <w:ind w:left="720" w:hanging="720"/>
        <w:rPr>
          <w:rFonts w:ascii="Times New Roman" w:hAnsi="Times New Roman" w:cs="Times New Roman"/>
          <w:sz w:val="20"/>
        </w:rPr>
      </w:pPr>
      <w:r w:rsidRPr="00763D5E">
        <w:rPr>
          <w:sz w:val="20"/>
        </w:rPr>
        <w:t xml:space="preserve">Given-Wilson, Chris. Ed., </w:t>
      </w:r>
      <w:r w:rsidRPr="00763D5E">
        <w:rPr>
          <w:i/>
          <w:sz w:val="20"/>
        </w:rPr>
        <w:t xml:space="preserve">The Chronicle of Adam Usk </w:t>
      </w:r>
      <w:r w:rsidRPr="00763D5E">
        <w:rPr>
          <w:sz w:val="20"/>
        </w:rPr>
        <w:t>New York: Oxford University Press, 1997.</w:t>
      </w:r>
    </w:p>
    <w:p w:rsidR="00763D5E" w:rsidRPr="00763D5E" w:rsidRDefault="00763D5E" w:rsidP="00763D5E">
      <w:pPr>
        <w:rPr>
          <w:rFonts w:ascii="Times New Roman" w:hAnsi="Times New Roman" w:cs="Times New Roman"/>
          <w:sz w:val="20"/>
        </w:rPr>
      </w:pPr>
    </w:p>
    <w:p w:rsidR="00763D5E" w:rsidRPr="00763D5E" w:rsidRDefault="00763D5E" w:rsidP="00763D5E">
      <w:pPr>
        <w:rPr>
          <w:rFonts w:ascii="Times New Roman" w:hAnsi="Times New Roman" w:cs="Times New Roman"/>
          <w:sz w:val="20"/>
        </w:rPr>
      </w:pPr>
      <w:r w:rsidRPr="00763D5E">
        <w:rPr>
          <w:rFonts w:ascii="Times New Roman" w:hAnsi="Times New Roman" w:cs="Times New Roman"/>
          <w:sz w:val="20"/>
        </w:rPr>
        <w:t xml:space="preserve">Given-Wilson, Chris. </w:t>
      </w:r>
      <w:r w:rsidRPr="00763D5E">
        <w:rPr>
          <w:rFonts w:ascii="Times New Roman" w:hAnsi="Times New Roman" w:cs="Times New Roman"/>
          <w:i/>
          <w:sz w:val="20"/>
        </w:rPr>
        <w:t xml:space="preserve">Henry IV. </w:t>
      </w:r>
      <w:r w:rsidRPr="00763D5E">
        <w:rPr>
          <w:rFonts w:ascii="Times New Roman" w:hAnsi="Times New Roman" w:cs="Times New Roman"/>
          <w:sz w:val="20"/>
        </w:rPr>
        <w:t>New Haven, London: Yale University Press. 2016.</w:t>
      </w:r>
    </w:p>
    <w:p w:rsidR="00763D5E" w:rsidRPr="00763D5E" w:rsidRDefault="00763D5E" w:rsidP="00763D5E">
      <w:pPr>
        <w:pStyle w:val="EndnoteText"/>
        <w:ind w:left="720" w:hanging="720"/>
        <w:rPr>
          <w:sz w:val="20"/>
        </w:rPr>
      </w:pPr>
    </w:p>
    <w:p w:rsidR="00763D5E" w:rsidRPr="00763D5E" w:rsidRDefault="00763D5E" w:rsidP="00763D5E">
      <w:pPr>
        <w:pStyle w:val="EndnoteText"/>
        <w:ind w:left="720" w:hanging="720"/>
        <w:rPr>
          <w:sz w:val="20"/>
        </w:rPr>
      </w:pPr>
      <w:r w:rsidRPr="00763D5E">
        <w:rPr>
          <w:sz w:val="20"/>
        </w:rPr>
        <w:t xml:space="preserve">Hieatt, Constance B. and Butler, Sharon. </w:t>
      </w:r>
      <w:r w:rsidRPr="00763D5E">
        <w:rPr>
          <w:i/>
          <w:sz w:val="20"/>
        </w:rPr>
        <w:t>Curye on Inglysch</w:t>
      </w:r>
      <w:r w:rsidRPr="00763D5E">
        <w:rPr>
          <w:sz w:val="20"/>
        </w:rPr>
        <w:t>. London: Oxford University Press, 1985.</w:t>
      </w:r>
    </w:p>
    <w:p w:rsidR="00763D5E" w:rsidRPr="00763D5E" w:rsidRDefault="00763D5E" w:rsidP="00763D5E">
      <w:pPr>
        <w:pStyle w:val="EndnoteText"/>
        <w:ind w:left="720" w:hanging="720"/>
        <w:rPr>
          <w:sz w:val="20"/>
        </w:rPr>
      </w:pPr>
    </w:p>
    <w:p w:rsidR="00763D5E" w:rsidRPr="00763D5E" w:rsidRDefault="00763D5E" w:rsidP="00763D5E">
      <w:pPr>
        <w:pStyle w:val="EndnoteText"/>
        <w:ind w:left="720" w:hanging="720"/>
        <w:rPr>
          <w:sz w:val="20"/>
        </w:rPr>
      </w:pPr>
      <w:r w:rsidRPr="00763D5E">
        <w:rPr>
          <w:sz w:val="20"/>
        </w:rPr>
        <w:t xml:space="preserve">Laurence, Janet. Ed. Walker, Harlan. “Royal Feasts” </w:t>
      </w:r>
      <w:r w:rsidRPr="00763D5E">
        <w:rPr>
          <w:i/>
          <w:sz w:val="20"/>
        </w:rPr>
        <w:t>Oxford Symposium on Food &amp; Cookery, 1990: Feasting and Fasting: Proceedings</w:t>
      </w:r>
      <w:r w:rsidRPr="00763D5E">
        <w:rPr>
          <w:sz w:val="20"/>
        </w:rPr>
        <w:t xml:space="preserve">. London: Prospect Books, 1990. Pp. 138-148. </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Nichols, John. </w:t>
      </w:r>
      <w:r w:rsidRPr="00763D5E">
        <w:rPr>
          <w:i/>
          <w:sz w:val="20"/>
        </w:rPr>
        <w:t>Ordinances and Regulations for the Government of the Royal Household</w:t>
      </w:r>
      <w:r w:rsidRPr="00763D5E">
        <w:rPr>
          <w:sz w:val="20"/>
        </w:rPr>
        <w:t>. London: Society of Antiquaries, 1790.</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Rowlett, Russ “U.S. Commercial Bushel Sizes” 2001. </w:t>
      </w:r>
      <w:hyperlink r:id="rId8" w:history="1">
        <w:r w:rsidRPr="00763D5E">
          <w:rPr>
            <w:rStyle w:val="Hyperlink"/>
            <w:sz w:val="20"/>
          </w:rPr>
          <w:t>https://www.unc.edu/~rowlett/units/scales/bushels.html</w:t>
        </w:r>
      </w:hyperlink>
      <w:r w:rsidRPr="00763D5E">
        <w:rPr>
          <w:sz w:val="20"/>
        </w:rPr>
        <w:t xml:space="preserve"> Accessed 11/04/2017.</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Shaw, David Gary. </w:t>
      </w:r>
      <w:r w:rsidRPr="00763D5E">
        <w:rPr>
          <w:i/>
          <w:sz w:val="20"/>
        </w:rPr>
        <w:t>Necessary Conjunctions: The Social Self in Medieval England</w:t>
      </w:r>
      <w:r w:rsidRPr="00763D5E">
        <w:rPr>
          <w:sz w:val="20"/>
        </w:rPr>
        <w:t>. New York: Palgrave Macmillan. 2005.</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Stephenson, C. and Marcham, F. G. Trans. </w:t>
      </w:r>
      <w:r w:rsidRPr="00763D5E">
        <w:rPr>
          <w:i/>
          <w:sz w:val="20"/>
        </w:rPr>
        <w:t>Rotuli Parliamentorum</w:t>
      </w:r>
      <w:r w:rsidRPr="00763D5E">
        <w:rPr>
          <w:sz w:val="20"/>
        </w:rPr>
        <w:t>. Volume III. 1767. Pp. 250-5, and 415-34.</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Tannahill Reay. </w:t>
      </w:r>
      <w:r w:rsidRPr="00763D5E">
        <w:rPr>
          <w:i/>
          <w:sz w:val="20"/>
        </w:rPr>
        <w:t>Food in History</w:t>
      </w:r>
      <w:r w:rsidRPr="00763D5E">
        <w:rPr>
          <w:sz w:val="20"/>
        </w:rPr>
        <w:t>. New York: Three Rivers Press, 1988.</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Varriano, John. </w:t>
      </w:r>
      <w:r w:rsidRPr="00763D5E">
        <w:rPr>
          <w:i/>
          <w:sz w:val="20"/>
        </w:rPr>
        <w:t>Wine: A Cultural History</w:t>
      </w:r>
      <w:r w:rsidRPr="00763D5E">
        <w:rPr>
          <w:sz w:val="20"/>
        </w:rPr>
        <w:t>. London: Reaktion Books Ltd. 2010.</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Visser, Margaret. </w:t>
      </w:r>
      <w:r w:rsidRPr="00763D5E">
        <w:rPr>
          <w:i/>
          <w:sz w:val="20"/>
        </w:rPr>
        <w:t>Much Depends on Dinner</w:t>
      </w:r>
      <w:r w:rsidRPr="00763D5E">
        <w:rPr>
          <w:sz w:val="20"/>
        </w:rPr>
        <w:t>, New York: Grove Press. 1986.</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Visser, Margaret. </w:t>
      </w:r>
      <w:r w:rsidRPr="00763D5E">
        <w:rPr>
          <w:i/>
          <w:sz w:val="20"/>
        </w:rPr>
        <w:t>The Rituals of Dinner</w:t>
      </w:r>
      <w:r w:rsidRPr="00763D5E">
        <w:rPr>
          <w:sz w:val="20"/>
        </w:rPr>
        <w:t>. New York: Open Road Integrated Media. 2015.</w:t>
      </w:r>
    </w:p>
    <w:p w:rsidR="00763D5E" w:rsidRPr="00763D5E" w:rsidRDefault="00763D5E" w:rsidP="00763D5E">
      <w:pPr>
        <w:ind w:left="720" w:hanging="720"/>
        <w:rPr>
          <w:sz w:val="20"/>
        </w:rPr>
      </w:pPr>
    </w:p>
    <w:p w:rsidR="00763D5E" w:rsidRPr="00763D5E" w:rsidRDefault="00763D5E" w:rsidP="00763D5E">
      <w:pPr>
        <w:ind w:left="720" w:hanging="720"/>
        <w:rPr>
          <w:sz w:val="20"/>
        </w:rPr>
      </w:pPr>
      <w:r w:rsidRPr="00763D5E">
        <w:rPr>
          <w:sz w:val="20"/>
        </w:rPr>
        <w:t xml:space="preserve">Warner, Reverend Richard. </w:t>
      </w:r>
      <w:r w:rsidRPr="00763D5E">
        <w:rPr>
          <w:i/>
          <w:sz w:val="20"/>
        </w:rPr>
        <w:t>Antiquitates Culinariae</w:t>
      </w:r>
      <w:r w:rsidRPr="00763D5E">
        <w:rPr>
          <w:sz w:val="20"/>
        </w:rPr>
        <w:t>. London: Prospect Books, 1970.</w:t>
      </w:r>
    </w:p>
    <w:p w:rsidR="00763D5E" w:rsidRPr="00763D5E" w:rsidRDefault="00763D5E" w:rsidP="00763D5E">
      <w:pPr>
        <w:ind w:left="720" w:hanging="720"/>
        <w:rPr>
          <w:sz w:val="20"/>
        </w:rPr>
      </w:pPr>
    </w:p>
    <w:p w:rsidR="00763D5E" w:rsidRPr="00763D5E" w:rsidRDefault="00763D5E" w:rsidP="00763D5E">
      <w:pPr>
        <w:pStyle w:val="EndnoteText"/>
        <w:ind w:left="720" w:hanging="720"/>
        <w:rPr>
          <w:sz w:val="20"/>
        </w:rPr>
      </w:pPr>
      <w:r w:rsidRPr="00763D5E">
        <w:rPr>
          <w:sz w:val="20"/>
        </w:rPr>
        <w:t xml:space="preserve">Woolgar, C.M. Ed., D. Serjeanston Ed., and T. Waldron Ed., </w:t>
      </w:r>
      <w:r w:rsidRPr="00763D5E">
        <w:rPr>
          <w:i/>
          <w:sz w:val="20"/>
        </w:rPr>
        <w:t xml:space="preserve">Food in Medieval England: Diet and Nutrition. </w:t>
      </w:r>
      <w:r w:rsidRPr="00763D5E">
        <w:rPr>
          <w:sz w:val="20"/>
        </w:rPr>
        <w:t>London: Oxford University Press, 2009.</w:t>
      </w:r>
    </w:p>
    <w:p w:rsidR="00E03139" w:rsidRDefault="00E03139"/>
    <w:sectPr w:rsidR="00E03139" w:rsidSect="00E0313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2FCE" w:rsidRDefault="005D2FCE" w:rsidP="008F3770">
      <w:r>
        <w:separator/>
      </w:r>
    </w:p>
  </w:endnote>
  <w:endnote w:type="continuationSeparator" w:id="0">
    <w:p w:rsidR="005D2FCE" w:rsidRDefault="005D2FCE" w:rsidP="008F37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2FCE" w:rsidRDefault="005D2FCE" w:rsidP="008F3770">
      <w:r>
        <w:separator/>
      </w:r>
    </w:p>
  </w:footnote>
  <w:footnote w:type="continuationSeparator" w:id="0">
    <w:p w:rsidR="005D2FCE" w:rsidRDefault="005D2FCE" w:rsidP="008F3770">
      <w:r>
        <w:continuationSeparator/>
      </w:r>
    </w:p>
  </w:footnote>
  <w:footnote w:id="1">
    <w:p w:rsidR="00865274" w:rsidRPr="00013F62" w:rsidRDefault="00865274" w:rsidP="008F3770">
      <w:pPr>
        <w:pStyle w:val="FootnoteText"/>
      </w:pPr>
      <w:r>
        <w:rPr>
          <w:rStyle w:val="FootnoteReference"/>
        </w:rPr>
        <w:footnoteRef/>
      </w:r>
      <w:r>
        <w:t xml:space="preserve"> Chris Given-Wilson, </w:t>
      </w:r>
      <w:r>
        <w:rPr>
          <w:i/>
        </w:rPr>
        <w:t xml:space="preserve">Henry IV. </w:t>
      </w:r>
      <w:r>
        <w:t>New Haven, London: Yale University Press, 2016. P 147</w:t>
      </w:r>
    </w:p>
  </w:footnote>
  <w:footnote w:id="2">
    <w:p w:rsidR="00865274" w:rsidRDefault="00865274" w:rsidP="008F3770">
      <w:pPr>
        <w:pStyle w:val="FootnoteText"/>
      </w:pPr>
      <w:r>
        <w:rPr>
          <w:rStyle w:val="FootnoteReference"/>
        </w:rPr>
        <w:footnoteRef/>
      </w:r>
      <w:r>
        <w:t xml:space="preserve"> Ibid P. 157</w:t>
      </w:r>
    </w:p>
  </w:footnote>
  <w:footnote w:id="3">
    <w:p w:rsidR="00865274" w:rsidRDefault="00865274" w:rsidP="008F3770">
      <w:pPr>
        <w:pStyle w:val="FootnoteText"/>
      </w:pPr>
      <w:r>
        <w:rPr>
          <w:rStyle w:val="FootnoteReference"/>
        </w:rPr>
        <w:footnoteRef/>
      </w:r>
      <w:r>
        <w:t xml:space="preserve"> Ibid P. 154</w:t>
      </w:r>
    </w:p>
  </w:footnote>
  <w:footnote w:id="4">
    <w:p w:rsidR="00865274" w:rsidRDefault="00865274" w:rsidP="008F3770">
      <w:pPr>
        <w:pStyle w:val="FootnoteText"/>
      </w:pPr>
      <w:r>
        <w:rPr>
          <w:rStyle w:val="FootnoteReference"/>
        </w:rPr>
        <w:footnoteRef/>
      </w:r>
      <w:r>
        <w:t xml:space="preserve"> John Aberth, </w:t>
      </w:r>
      <w:r>
        <w:rPr>
          <w:i/>
        </w:rPr>
        <w:t xml:space="preserve">From the Brink of the </w:t>
      </w:r>
      <w:r w:rsidRPr="00F63F12">
        <w:rPr>
          <w:i/>
        </w:rPr>
        <w:t>Apocalypse</w:t>
      </w:r>
      <w:r>
        <w:rPr>
          <w:i/>
        </w:rPr>
        <w:t xml:space="preserve">, </w:t>
      </w:r>
      <w:r>
        <w:t>New York: Routledge, 2001. P 14</w:t>
      </w:r>
    </w:p>
  </w:footnote>
  <w:footnote w:id="5">
    <w:p w:rsidR="00865274" w:rsidRPr="00547E87" w:rsidRDefault="00865274" w:rsidP="008F3770">
      <w:pPr>
        <w:pStyle w:val="FootnoteText"/>
      </w:pPr>
      <w:r>
        <w:rPr>
          <w:rStyle w:val="FootnoteReference"/>
        </w:rPr>
        <w:footnoteRef/>
      </w:r>
      <w:r>
        <w:t xml:space="preserve"> John Nichols, </w:t>
      </w:r>
      <w:r>
        <w:rPr>
          <w:i/>
        </w:rPr>
        <w:t>Ordinances and Regulations for the Government of the Royal Household</w:t>
      </w:r>
      <w:r>
        <w:t>. London: Society of Antiquaries, 1790. P. Viii</w:t>
      </w:r>
    </w:p>
  </w:footnote>
  <w:footnote w:id="6">
    <w:p w:rsidR="00865274" w:rsidRPr="00B74F81" w:rsidRDefault="00865274" w:rsidP="008F3770">
      <w:pPr>
        <w:pStyle w:val="FootnoteText"/>
      </w:pPr>
      <w:r>
        <w:rPr>
          <w:rStyle w:val="FootnoteReference"/>
        </w:rPr>
        <w:footnoteRef/>
      </w:r>
      <w:r>
        <w:t xml:space="preserve"> Reverend Richard Warner, </w:t>
      </w:r>
      <w:r>
        <w:rPr>
          <w:i/>
        </w:rPr>
        <w:t>Antiquitates Culinariae</w:t>
      </w:r>
      <w:r>
        <w:t>. London: Prospect Books, 1970. P. 93</w:t>
      </w:r>
    </w:p>
  </w:footnote>
  <w:footnote w:id="7">
    <w:p w:rsidR="00865274" w:rsidRDefault="00865274" w:rsidP="008F3770">
      <w:pPr>
        <w:pStyle w:val="FootnoteText"/>
      </w:pPr>
      <w:r>
        <w:rPr>
          <w:rStyle w:val="FootnoteReference"/>
        </w:rPr>
        <w:footnoteRef/>
      </w:r>
      <w:r>
        <w:t xml:space="preserve"> Given-Wilson, </w:t>
      </w:r>
      <w:r>
        <w:rPr>
          <w:i/>
        </w:rPr>
        <w:t xml:space="preserve">Henry IV </w:t>
      </w:r>
      <w:r>
        <w:t>P. 147</w:t>
      </w:r>
    </w:p>
  </w:footnote>
  <w:footnote w:id="8">
    <w:p w:rsidR="00865274" w:rsidRDefault="00865274" w:rsidP="008F3770">
      <w:pPr>
        <w:pStyle w:val="FootnoteText"/>
      </w:pPr>
      <w:r>
        <w:rPr>
          <w:rStyle w:val="FootnoteReference"/>
        </w:rPr>
        <w:footnoteRef/>
      </w:r>
      <w:r>
        <w:t xml:space="preserve"> Ibid P. 147 </w:t>
      </w:r>
    </w:p>
  </w:footnote>
  <w:footnote w:id="9">
    <w:p w:rsidR="00865274" w:rsidRDefault="00865274" w:rsidP="008F3770">
      <w:pPr>
        <w:pStyle w:val="FootnoteText"/>
      </w:pPr>
      <w:r>
        <w:rPr>
          <w:rStyle w:val="FootnoteReference"/>
        </w:rPr>
        <w:footnoteRef/>
      </w:r>
      <w:r>
        <w:t xml:space="preserve"> Ibid</w:t>
      </w:r>
      <w:r>
        <w:rPr>
          <w:i/>
        </w:rPr>
        <w:t xml:space="preserve"> </w:t>
      </w:r>
      <w:r>
        <w:t>P. 147</w:t>
      </w:r>
    </w:p>
  </w:footnote>
  <w:footnote w:id="10">
    <w:p w:rsidR="00865274" w:rsidRDefault="00865274" w:rsidP="008F3770">
      <w:pPr>
        <w:pStyle w:val="FootnoteText"/>
      </w:pPr>
      <w:r>
        <w:rPr>
          <w:rStyle w:val="FootnoteReference"/>
        </w:rPr>
        <w:footnoteRef/>
      </w:r>
      <w:r>
        <w:t xml:space="preserve"> Ibid P. 147</w:t>
      </w:r>
    </w:p>
  </w:footnote>
  <w:footnote w:id="11">
    <w:p w:rsidR="00865274" w:rsidRDefault="00865274" w:rsidP="008F3770">
      <w:pPr>
        <w:pStyle w:val="FootnoteText"/>
      </w:pPr>
      <w:r>
        <w:rPr>
          <w:rStyle w:val="FootnoteReference"/>
        </w:rPr>
        <w:footnoteRef/>
      </w:r>
      <w:r>
        <w:t xml:space="preserve"> Given-Wilson, </w:t>
      </w:r>
      <w:r>
        <w:rPr>
          <w:i/>
        </w:rPr>
        <w:t xml:space="preserve">Henry IV </w:t>
      </w:r>
      <w:r>
        <w:t>P. 147</w:t>
      </w:r>
    </w:p>
  </w:footnote>
  <w:footnote w:id="12">
    <w:p w:rsidR="00865274" w:rsidRDefault="00865274" w:rsidP="008F3770">
      <w:pPr>
        <w:pStyle w:val="FootnoteText"/>
      </w:pPr>
      <w:r>
        <w:rPr>
          <w:rStyle w:val="FootnoteReference"/>
        </w:rPr>
        <w:footnoteRef/>
      </w:r>
      <w:r>
        <w:t xml:space="preserve"> Chris Given-Wilson Ed., </w:t>
      </w:r>
      <w:r>
        <w:rPr>
          <w:i/>
        </w:rPr>
        <w:t xml:space="preserve">The Chronicle of Adam </w:t>
      </w:r>
      <w:r w:rsidRPr="00B75434">
        <w:rPr>
          <w:i/>
        </w:rPr>
        <w:t>Usk</w:t>
      </w:r>
      <w:r>
        <w:rPr>
          <w:i/>
        </w:rPr>
        <w:t xml:space="preserve"> </w:t>
      </w:r>
      <w:r>
        <w:t xml:space="preserve">New York: Oxford University Press, 1997, P. </w:t>
      </w:r>
      <w:r w:rsidRPr="00B75434">
        <w:t>71</w:t>
      </w:r>
    </w:p>
  </w:footnote>
  <w:footnote w:id="13">
    <w:p w:rsidR="00865274" w:rsidRPr="00EF789B" w:rsidRDefault="00865274" w:rsidP="008F3770">
      <w:pPr>
        <w:pStyle w:val="FootnoteText"/>
      </w:pPr>
      <w:r>
        <w:rPr>
          <w:rStyle w:val="FootnoteReference"/>
        </w:rPr>
        <w:footnoteRef/>
      </w:r>
      <w:r>
        <w:t xml:space="preserve"> Chris Given-Wilson, </w:t>
      </w:r>
      <w:r>
        <w:rPr>
          <w:i/>
        </w:rPr>
        <w:t>Chronicles of the Revolution</w:t>
      </w:r>
      <w:r>
        <w:t>. Manchester: Manchester University Press, 1993. Pp. 200-202</w:t>
      </w:r>
    </w:p>
  </w:footnote>
  <w:footnote w:id="14">
    <w:p w:rsidR="00865274" w:rsidRDefault="00865274" w:rsidP="008F3770">
      <w:pPr>
        <w:pStyle w:val="FootnoteText"/>
      </w:pPr>
      <w:r>
        <w:rPr>
          <w:rStyle w:val="FootnoteReference"/>
        </w:rPr>
        <w:footnoteRef/>
      </w:r>
      <w:r>
        <w:t xml:space="preserve"> Ibid P. 202</w:t>
      </w:r>
    </w:p>
  </w:footnote>
  <w:footnote w:id="15">
    <w:p w:rsidR="00865274" w:rsidRDefault="00865274" w:rsidP="008F3770">
      <w:pPr>
        <w:pStyle w:val="FootnoteText"/>
      </w:pPr>
      <w:r>
        <w:rPr>
          <w:rStyle w:val="FootnoteReference"/>
        </w:rPr>
        <w:footnoteRef/>
      </w:r>
      <w:r>
        <w:t xml:space="preserve"> Given-Wilson, </w:t>
      </w:r>
      <w:r>
        <w:rPr>
          <w:i/>
        </w:rPr>
        <w:t xml:space="preserve">Henry IV </w:t>
      </w:r>
      <w:r>
        <w:t>P. 154</w:t>
      </w:r>
    </w:p>
  </w:footnote>
  <w:footnote w:id="16">
    <w:p w:rsidR="00865274" w:rsidRDefault="00865274" w:rsidP="008F3770">
      <w:pPr>
        <w:pStyle w:val="FootnoteText"/>
      </w:pPr>
      <w:r>
        <w:rPr>
          <w:rStyle w:val="FootnoteReference"/>
        </w:rPr>
        <w:footnoteRef/>
      </w:r>
      <w:r>
        <w:t xml:space="preserve"> Ibid P. 147</w:t>
      </w:r>
    </w:p>
  </w:footnote>
  <w:footnote w:id="17">
    <w:p w:rsidR="00865274" w:rsidRDefault="00865274" w:rsidP="008F3770">
      <w:pPr>
        <w:pStyle w:val="FootnoteText"/>
      </w:pPr>
      <w:r>
        <w:rPr>
          <w:rStyle w:val="FootnoteReference"/>
        </w:rPr>
        <w:footnoteRef/>
      </w:r>
      <w:r>
        <w:t xml:space="preserve"> Ibid P. 147</w:t>
      </w:r>
    </w:p>
  </w:footnote>
  <w:footnote w:id="18">
    <w:p w:rsidR="00865274" w:rsidRDefault="00865274" w:rsidP="008F3770">
      <w:pPr>
        <w:pStyle w:val="FootnoteText"/>
      </w:pPr>
      <w:r>
        <w:rPr>
          <w:rStyle w:val="FootnoteReference"/>
        </w:rPr>
        <w:footnoteRef/>
      </w:r>
      <w:r>
        <w:t xml:space="preserve"> Chris Given-Wilson Ed., </w:t>
      </w:r>
      <w:r>
        <w:rPr>
          <w:i/>
        </w:rPr>
        <w:t xml:space="preserve">The Chronicle of Adam </w:t>
      </w:r>
      <w:r w:rsidRPr="00B75434">
        <w:rPr>
          <w:i/>
        </w:rPr>
        <w:t>Usk</w:t>
      </w:r>
      <w:r>
        <w:rPr>
          <w:i/>
        </w:rPr>
        <w:t xml:space="preserve"> </w:t>
      </w:r>
      <w:r>
        <w:t>P. 73</w:t>
      </w:r>
    </w:p>
  </w:footnote>
  <w:footnote w:id="19">
    <w:p w:rsidR="00865274" w:rsidRDefault="00865274" w:rsidP="008F3770">
      <w:pPr>
        <w:pStyle w:val="FootnoteText"/>
      </w:pPr>
      <w:r>
        <w:rPr>
          <w:rStyle w:val="FootnoteReference"/>
        </w:rPr>
        <w:footnoteRef/>
      </w:r>
      <w:r>
        <w:t xml:space="preserve"> Ibid P. 73</w:t>
      </w:r>
    </w:p>
  </w:footnote>
  <w:footnote w:id="20">
    <w:p w:rsidR="00865274" w:rsidRPr="00E8073D" w:rsidRDefault="00865274" w:rsidP="004A1145">
      <w:pPr>
        <w:pStyle w:val="FootnoteText"/>
      </w:pPr>
      <w:r>
        <w:rPr>
          <w:rStyle w:val="FootnoteReference"/>
        </w:rPr>
        <w:footnoteRef/>
      </w:r>
      <w:r>
        <w:t xml:space="preserve"> David Gary Shaw, </w:t>
      </w:r>
      <w:r>
        <w:rPr>
          <w:i/>
        </w:rPr>
        <w:t>Necessary Conjunctions: The Social Self in Medieval England</w:t>
      </w:r>
      <w:r>
        <w:t xml:space="preserve">. New York: Palgrave Macmillan, 2005. 36. </w:t>
      </w:r>
    </w:p>
  </w:footnote>
  <w:footnote w:id="21">
    <w:p w:rsidR="00865274" w:rsidRPr="008022D4" w:rsidRDefault="00865274" w:rsidP="004A1145">
      <w:pPr>
        <w:pStyle w:val="FootnoteText"/>
      </w:pPr>
      <w:r>
        <w:rPr>
          <w:rStyle w:val="FootnoteReference"/>
        </w:rPr>
        <w:footnoteRef/>
      </w:r>
      <w:r>
        <w:t xml:space="preserve"> </w:t>
      </w:r>
      <w:r w:rsidRPr="005307AD">
        <w:t xml:space="preserve">Laurence, Janet. Ed. Walker, Harlan. “Royal Feasts” </w:t>
      </w:r>
      <w:r w:rsidRPr="005307AD">
        <w:rPr>
          <w:i/>
        </w:rPr>
        <w:t>Oxford Symposium on Food &amp; Cookery, 1990: Feasting and Fasting: Proceedings</w:t>
      </w:r>
      <w:r w:rsidRPr="005307AD">
        <w:t xml:space="preserve">. London: Prospect Books, 1990. </w:t>
      </w:r>
      <w:r>
        <w:t>Pp. 138-148</w:t>
      </w:r>
    </w:p>
  </w:footnote>
  <w:footnote w:id="22">
    <w:p w:rsidR="00865274" w:rsidRDefault="00865274" w:rsidP="004A1145">
      <w:pPr>
        <w:pStyle w:val="FootnoteText"/>
      </w:pPr>
      <w:r>
        <w:rPr>
          <w:rStyle w:val="FootnoteReference"/>
        </w:rPr>
        <w:footnoteRef/>
      </w:r>
      <w:r>
        <w:t xml:space="preserve"> Given-Wilson, </w:t>
      </w:r>
      <w:r>
        <w:rPr>
          <w:i/>
        </w:rPr>
        <w:t xml:space="preserve">Henry IV </w:t>
      </w:r>
      <w:r>
        <w:t>Pp. 152-153</w:t>
      </w:r>
    </w:p>
  </w:footnote>
  <w:footnote w:id="23">
    <w:p w:rsidR="00865274" w:rsidRDefault="00865274" w:rsidP="004A1145">
      <w:pPr>
        <w:pStyle w:val="FootnoteText"/>
      </w:pPr>
      <w:r>
        <w:rPr>
          <w:rStyle w:val="FootnoteReference"/>
        </w:rPr>
        <w:footnoteRef/>
      </w:r>
      <w:r>
        <w:t xml:space="preserve"> Ibid P. 152</w:t>
      </w:r>
    </w:p>
  </w:footnote>
  <w:footnote w:id="24">
    <w:p w:rsidR="00865274" w:rsidRPr="00CD57D1" w:rsidRDefault="00865274" w:rsidP="004A1145">
      <w:pPr>
        <w:pStyle w:val="FootnoteText"/>
      </w:pPr>
      <w:r>
        <w:rPr>
          <w:rStyle w:val="FootnoteReference"/>
        </w:rPr>
        <w:footnoteRef/>
      </w:r>
      <w:r>
        <w:t xml:space="preserve"> Margaret Visser, </w:t>
      </w:r>
      <w:r>
        <w:rPr>
          <w:i/>
        </w:rPr>
        <w:t>The Rituals of Dinner</w:t>
      </w:r>
      <w:r>
        <w:t>, New York: Open Road Integrated Media, 2015. P. 121</w:t>
      </w:r>
    </w:p>
  </w:footnote>
  <w:footnote w:id="25">
    <w:p w:rsidR="00865274" w:rsidRPr="00E35D8C" w:rsidRDefault="00865274" w:rsidP="004A1145">
      <w:pPr>
        <w:pStyle w:val="FootnoteText"/>
      </w:pPr>
      <w:r>
        <w:rPr>
          <w:rStyle w:val="FootnoteReference"/>
        </w:rPr>
        <w:footnoteRef/>
      </w:r>
      <w:r>
        <w:t xml:space="preserve"> Given-Wilson, </w:t>
      </w:r>
      <w:r>
        <w:rPr>
          <w:i/>
        </w:rPr>
        <w:t>Henry IV</w:t>
      </w:r>
      <w:r>
        <w:t xml:space="preserve"> P. 152</w:t>
      </w:r>
    </w:p>
  </w:footnote>
  <w:footnote w:id="26">
    <w:p w:rsidR="00865274" w:rsidRDefault="00865274" w:rsidP="00D82F4C">
      <w:pPr>
        <w:pStyle w:val="FootnoteText"/>
      </w:pPr>
      <w:r>
        <w:rPr>
          <w:rStyle w:val="FootnoteReference"/>
        </w:rPr>
        <w:footnoteRef/>
      </w:r>
      <w:r>
        <w:t xml:space="preserve"> Ibid Pp. 152-153</w:t>
      </w:r>
    </w:p>
  </w:footnote>
  <w:footnote w:id="27">
    <w:p w:rsidR="00865274" w:rsidRPr="0036708F" w:rsidRDefault="00865274" w:rsidP="00D82F4C">
      <w:pPr>
        <w:pStyle w:val="FootnoteText"/>
      </w:pPr>
      <w:r>
        <w:rPr>
          <w:rStyle w:val="FootnoteReference"/>
        </w:rPr>
        <w:footnoteRef/>
      </w:r>
      <w:r>
        <w:t xml:space="preserve"> Margaret Visser, </w:t>
      </w:r>
      <w:r>
        <w:rPr>
          <w:i/>
        </w:rPr>
        <w:t>The Rituals of Dinner</w:t>
      </w:r>
      <w:r>
        <w:t xml:space="preserve"> P. 183</w:t>
      </w:r>
    </w:p>
  </w:footnote>
  <w:footnote w:id="28">
    <w:p w:rsidR="00865274" w:rsidRPr="006D7438" w:rsidRDefault="00865274" w:rsidP="00D82F4C">
      <w:pPr>
        <w:pStyle w:val="FootnoteText"/>
      </w:pPr>
      <w:r>
        <w:rPr>
          <w:rStyle w:val="FootnoteReference"/>
        </w:rPr>
        <w:footnoteRef/>
      </w:r>
      <w:r>
        <w:t xml:space="preserve"> Ibid P. 183</w:t>
      </w:r>
    </w:p>
  </w:footnote>
  <w:footnote w:id="29">
    <w:p w:rsidR="00865274" w:rsidRDefault="00865274" w:rsidP="00D82F4C">
      <w:pPr>
        <w:pStyle w:val="FootnoteText"/>
      </w:pPr>
      <w:r>
        <w:rPr>
          <w:rStyle w:val="FootnoteReference"/>
        </w:rPr>
        <w:footnoteRef/>
      </w:r>
      <w:r>
        <w:t xml:space="preserve"> Ibid P. 183</w:t>
      </w:r>
    </w:p>
  </w:footnote>
  <w:footnote w:id="30">
    <w:p w:rsidR="00865274" w:rsidRDefault="00865274" w:rsidP="00D82F4C">
      <w:pPr>
        <w:pStyle w:val="FootnoteText"/>
      </w:pPr>
      <w:r>
        <w:rPr>
          <w:rStyle w:val="FootnoteReference"/>
        </w:rPr>
        <w:footnoteRef/>
      </w:r>
      <w:r>
        <w:t xml:space="preserve"> Ibid Pp. 26, 86</w:t>
      </w:r>
    </w:p>
  </w:footnote>
  <w:footnote w:id="31">
    <w:p w:rsidR="00865274" w:rsidRDefault="00865274" w:rsidP="00D82F4C">
      <w:pPr>
        <w:pStyle w:val="FootnoteText"/>
      </w:pPr>
      <w:r>
        <w:rPr>
          <w:rStyle w:val="FootnoteReference"/>
        </w:rPr>
        <w:footnoteRef/>
      </w:r>
      <w:r>
        <w:t xml:space="preserve"> Given-Wilson, </w:t>
      </w:r>
      <w:r>
        <w:rPr>
          <w:i/>
        </w:rPr>
        <w:t>Henry IV</w:t>
      </w:r>
      <w:r>
        <w:t xml:space="preserve"> P. 87</w:t>
      </w:r>
    </w:p>
  </w:footnote>
  <w:footnote w:id="32">
    <w:p w:rsidR="00865274" w:rsidRDefault="00865274" w:rsidP="00D82F4C">
      <w:pPr>
        <w:pStyle w:val="FootnoteText"/>
      </w:pPr>
      <w:r>
        <w:rPr>
          <w:rStyle w:val="FootnoteReference"/>
        </w:rPr>
        <w:footnoteRef/>
      </w:r>
      <w:r>
        <w:t xml:space="preserve"> Ibid P. 149</w:t>
      </w:r>
    </w:p>
  </w:footnote>
  <w:footnote w:id="33">
    <w:p w:rsidR="00865274" w:rsidRDefault="00865274" w:rsidP="00D82F4C">
      <w:pPr>
        <w:pStyle w:val="FootnoteText"/>
      </w:pPr>
      <w:r>
        <w:rPr>
          <w:rStyle w:val="FootnoteReference"/>
        </w:rPr>
        <w:footnoteRef/>
      </w:r>
      <w:r>
        <w:t xml:space="preserve"> Ibid P. 152 </w:t>
      </w:r>
    </w:p>
  </w:footnote>
  <w:footnote w:id="34">
    <w:p w:rsidR="00865274" w:rsidRPr="00CC48F8" w:rsidRDefault="00865274" w:rsidP="00D82F4C">
      <w:pPr>
        <w:pStyle w:val="FootnoteText"/>
      </w:pPr>
      <w:r>
        <w:rPr>
          <w:rStyle w:val="FootnoteReference"/>
        </w:rPr>
        <w:footnoteRef/>
      </w:r>
      <w:r>
        <w:t xml:space="preserve"> Reay Tannahill, </w:t>
      </w:r>
      <w:r>
        <w:rPr>
          <w:i/>
        </w:rPr>
        <w:t>Food in History</w:t>
      </w:r>
      <w:r>
        <w:t>. New York: Three Rivers Press, 1988. P. 185</w:t>
      </w:r>
    </w:p>
  </w:footnote>
  <w:footnote w:id="35">
    <w:p w:rsidR="00865274" w:rsidRDefault="00865274" w:rsidP="00D82F4C">
      <w:pPr>
        <w:pStyle w:val="FootnoteText"/>
      </w:pPr>
      <w:r>
        <w:rPr>
          <w:rStyle w:val="FootnoteReference"/>
        </w:rPr>
        <w:footnoteRef/>
      </w:r>
      <w:r>
        <w:t xml:space="preserve"> John Nichols, </w:t>
      </w:r>
      <w:r>
        <w:rPr>
          <w:i/>
        </w:rPr>
        <w:t>Ordinances and Regulations for the Government of the Royal Household,</w:t>
      </w:r>
      <w:r>
        <w:t xml:space="preserve"> P. Viii </w:t>
      </w:r>
    </w:p>
  </w:footnote>
  <w:footnote w:id="36">
    <w:p w:rsidR="00865274" w:rsidRDefault="00865274" w:rsidP="00D82F4C">
      <w:pPr>
        <w:pStyle w:val="FootnoteText"/>
      </w:pPr>
      <w:r>
        <w:rPr>
          <w:rStyle w:val="FootnoteReference"/>
        </w:rPr>
        <w:footnoteRef/>
      </w:r>
      <w:r>
        <w:t xml:space="preserve"> Janet Laurence, “Royal Feasts” P. 144</w:t>
      </w:r>
    </w:p>
  </w:footnote>
  <w:footnote w:id="37">
    <w:p w:rsidR="00865274" w:rsidRPr="00CB5FF5" w:rsidRDefault="00865274" w:rsidP="00D82F4C">
      <w:pPr>
        <w:pStyle w:val="FootnoteText"/>
      </w:pPr>
      <w:r>
        <w:rPr>
          <w:rStyle w:val="FootnoteReference"/>
        </w:rPr>
        <w:footnoteRef/>
      </w:r>
      <w:r>
        <w:t xml:space="preserve"> June Di Schino “The Significance and Symbolism of Sugar Sculpture at Italian Court Banquets” P. 115</w:t>
      </w:r>
    </w:p>
  </w:footnote>
  <w:footnote w:id="38">
    <w:p w:rsidR="00865274" w:rsidRDefault="00865274" w:rsidP="00D82F4C">
      <w:pPr>
        <w:pStyle w:val="FootnoteText"/>
      </w:pPr>
      <w:r>
        <w:rPr>
          <w:rStyle w:val="FootnoteReference"/>
        </w:rPr>
        <w:footnoteRef/>
      </w:r>
      <w:r>
        <w:t xml:space="preserve"> Ibid P. 115</w:t>
      </w:r>
    </w:p>
  </w:footnote>
  <w:footnote w:id="39">
    <w:p w:rsidR="00865274" w:rsidRDefault="00865274" w:rsidP="00763D5E">
      <w:pPr>
        <w:pStyle w:val="FootnoteText"/>
      </w:pPr>
      <w:r>
        <w:rPr>
          <w:rStyle w:val="FootnoteReference"/>
        </w:rPr>
        <w:footnoteRef/>
      </w:r>
      <w:r>
        <w:t xml:space="preserve"> Margaret Visser, </w:t>
      </w:r>
      <w:r w:rsidRPr="005307AD">
        <w:rPr>
          <w:i/>
        </w:rPr>
        <w:t>Much Depends on Dinner</w:t>
      </w:r>
      <w:r>
        <w:t>, New York: Grove Press. 1986. P 151</w:t>
      </w:r>
    </w:p>
  </w:footnote>
  <w:footnote w:id="40">
    <w:p w:rsidR="00865274" w:rsidRDefault="00865274" w:rsidP="00763D5E">
      <w:pPr>
        <w:pStyle w:val="FootnoteText"/>
      </w:pPr>
      <w:r>
        <w:rPr>
          <w:rStyle w:val="FootnoteReference"/>
        </w:rPr>
        <w:footnoteRef/>
      </w:r>
      <w:r>
        <w:t xml:space="preserve"> Ibid P. 151</w:t>
      </w:r>
    </w:p>
  </w:footnote>
  <w:footnote w:id="41">
    <w:p w:rsidR="00865274" w:rsidRDefault="00865274" w:rsidP="00865274">
      <w:pPr>
        <w:pStyle w:val="FootnoteText"/>
      </w:pPr>
      <w:r>
        <w:rPr>
          <w:rStyle w:val="FootnoteReference"/>
        </w:rPr>
        <w:footnoteRef/>
      </w:r>
      <w:r>
        <w:t xml:space="preserve"> Ibid P. 139</w:t>
      </w:r>
    </w:p>
  </w:footnote>
  <w:footnote w:id="42">
    <w:p w:rsidR="00865274" w:rsidRDefault="00865274" w:rsidP="00865274">
      <w:pPr>
        <w:pStyle w:val="FootnoteText"/>
      </w:pPr>
      <w:r>
        <w:rPr>
          <w:rStyle w:val="FootnoteReference"/>
        </w:rPr>
        <w:footnoteRef/>
      </w:r>
      <w:r>
        <w:t xml:space="preserve"> June Di Schino, “The Significance and Symbolism of Sugar Sculpture at Italian Court Banquets”</w:t>
      </w:r>
      <w:r>
        <w:rPr>
          <w:i/>
          <w:iCs/>
        </w:rPr>
        <w:t xml:space="preserve"> Food and Material Culture Proceedings of the Oxford Symposium on Food and Cookery</w:t>
      </w:r>
      <w:r>
        <w:t>. Great Britain: Prospect Books, 2014, P. 111</w:t>
      </w:r>
    </w:p>
  </w:footnote>
  <w:footnote w:id="43">
    <w:p w:rsidR="00865274" w:rsidRPr="00A41024" w:rsidRDefault="00865274" w:rsidP="00865274">
      <w:pPr>
        <w:pStyle w:val="FootnoteText"/>
      </w:pPr>
      <w:r>
        <w:rPr>
          <w:rStyle w:val="FootnoteReference"/>
        </w:rPr>
        <w:footnoteRef/>
      </w:r>
      <w:r>
        <w:t xml:space="preserve"> Margaret Visser, </w:t>
      </w:r>
      <w:r>
        <w:rPr>
          <w:i/>
        </w:rPr>
        <w:t>The Rituals of Dinner</w:t>
      </w:r>
      <w:r>
        <w:t xml:space="preserve"> P. 234</w:t>
      </w:r>
    </w:p>
  </w:footnote>
  <w:footnote w:id="44">
    <w:p w:rsidR="00865274" w:rsidRPr="00594941" w:rsidRDefault="00865274" w:rsidP="00865274">
      <w:pPr>
        <w:pStyle w:val="FootnoteText"/>
      </w:pPr>
      <w:r>
        <w:rPr>
          <w:rStyle w:val="FootnoteReference"/>
        </w:rPr>
        <w:footnoteRef/>
      </w:r>
      <w:r>
        <w:t xml:space="preserve"> Thomas Austin, Ed. </w:t>
      </w:r>
      <w:r>
        <w:rPr>
          <w:i/>
        </w:rPr>
        <w:t>Two Fifteenth Century Cookery Books</w:t>
      </w:r>
      <w:r>
        <w:t>. London: Oxford University Press, 1964. P. 57</w:t>
      </w:r>
    </w:p>
  </w:footnote>
  <w:footnote w:id="45">
    <w:p w:rsidR="00865274" w:rsidRDefault="00865274" w:rsidP="00865274">
      <w:pPr>
        <w:pStyle w:val="FootnoteText"/>
      </w:pPr>
      <w:r>
        <w:rPr>
          <w:rStyle w:val="FootnoteReference"/>
        </w:rPr>
        <w:footnoteRef/>
      </w:r>
      <w:r>
        <w:t xml:space="preserve"> Ibid P. 41</w:t>
      </w:r>
    </w:p>
  </w:footnote>
  <w:footnote w:id="46">
    <w:p w:rsidR="00865274" w:rsidRDefault="00865274" w:rsidP="00865274">
      <w:pPr>
        <w:pStyle w:val="FootnoteText"/>
      </w:pPr>
      <w:r>
        <w:rPr>
          <w:rStyle w:val="FootnoteReference"/>
        </w:rPr>
        <w:footnoteRef/>
      </w:r>
      <w:r>
        <w:t xml:space="preserve"> Janet Laurence, “Royal Feasts” P. 144 </w:t>
      </w:r>
    </w:p>
  </w:footnote>
  <w:footnote w:id="47">
    <w:p w:rsidR="00865274" w:rsidRPr="001A4999" w:rsidRDefault="00865274" w:rsidP="00865274">
      <w:pPr>
        <w:pStyle w:val="FootnoteText"/>
      </w:pPr>
      <w:r>
        <w:rPr>
          <w:rStyle w:val="FootnoteReference"/>
        </w:rPr>
        <w:footnoteRef/>
      </w:r>
      <w:r>
        <w:t xml:space="preserve"> Thomas Austin, </w:t>
      </w:r>
      <w:r>
        <w:rPr>
          <w:i/>
        </w:rPr>
        <w:t>Two Fifteenth Century Cookery Books</w:t>
      </w:r>
      <w:r>
        <w:t>. P. 57</w:t>
      </w:r>
    </w:p>
  </w:footnote>
  <w:footnote w:id="48">
    <w:p w:rsidR="00865274" w:rsidRDefault="00865274" w:rsidP="00865274">
      <w:pPr>
        <w:pStyle w:val="FootnoteText"/>
      </w:pPr>
      <w:r>
        <w:rPr>
          <w:rStyle w:val="FootnoteReference"/>
        </w:rPr>
        <w:footnoteRef/>
      </w:r>
      <w:r>
        <w:t xml:space="preserve"> Ibid P. 57</w:t>
      </w:r>
    </w:p>
  </w:footnote>
  <w:footnote w:id="49">
    <w:p w:rsidR="00865274" w:rsidRPr="009D31FB" w:rsidRDefault="00865274" w:rsidP="00865274">
      <w:pPr>
        <w:pStyle w:val="FootnoteText"/>
      </w:pPr>
      <w:r>
        <w:rPr>
          <w:rStyle w:val="FootnoteReference"/>
        </w:rPr>
        <w:footnoteRef/>
      </w:r>
      <w:r>
        <w:t xml:space="preserve"> Constance B. Hieatt and Butler, Sharon </w:t>
      </w:r>
      <w:r>
        <w:rPr>
          <w:i/>
        </w:rPr>
        <w:t>Curye on Inglysch</w:t>
      </w:r>
      <w:r>
        <w:t>. P. 191</w:t>
      </w:r>
    </w:p>
  </w:footnote>
  <w:footnote w:id="50">
    <w:p w:rsidR="00865274" w:rsidRDefault="00865274" w:rsidP="00865274">
      <w:pPr>
        <w:pStyle w:val="FootnoteText"/>
      </w:pPr>
      <w:r>
        <w:rPr>
          <w:rStyle w:val="FootnoteReference"/>
        </w:rPr>
        <w:footnoteRef/>
      </w:r>
      <w:r>
        <w:t xml:space="preserve"> Thomas Austin, </w:t>
      </w:r>
      <w:r>
        <w:rPr>
          <w:i/>
        </w:rPr>
        <w:t>Two Fifteenth Century Cookery Books</w:t>
      </w:r>
      <w:r>
        <w:t>. P. 58</w:t>
      </w:r>
    </w:p>
  </w:footnote>
  <w:footnote w:id="51">
    <w:p w:rsidR="00865274" w:rsidRDefault="00865274" w:rsidP="00865274">
      <w:pPr>
        <w:pStyle w:val="FootnoteText"/>
      </w:pPr>
      <w:r>
        <w:rPr>
          <w:rStyle w:val="FootnoteReference"/>
        </w:rPr>
        <w:footnoteRef/>
      </w:r>
      <w:r>
        <w:t xml:space="preserve"> Constance B. Hieatt and Butler, Sharon </w:t>
      </w:r>
      <w:r>
        <w:rPr>
          <w:i/>
        </w:rPr>
        <w:t>Curye on Inglysch</w:t>
      </w:r>
      <w:r>
        <w:t>. P. 137</w:t>
      </w:r>
    </w:p>
  </w:footnote>
  <w:footnote w:id="52">
    <w:p w:rsidR="00865274" w:rsidRPr="00401CDA" w:rsidRDefault="00865274" w:rsidP="00865274">
      <w:pPr>
        <w:pStyle w:val="FootnoteText"/>
      </w:pPr>
      <w:r>
        <w:rPr>
          <w:rStyle w:val="FootnoteReference"/>
        </w:rPr>
        <w:footnoteRef/>
      </w:r>
      <w:r>
        <w:t xml:space="preserve"> Thomas Austin, </w:t>
      </w:r>
      <w:r>
        <w:rPr>
          <w:i/>
        </w:rPr>
        <w:t>Two Fifteenth Century Cookery Books</w:t>
      </w:r>
      <w:r>
        <w:t>. P. 58</w:t>
      </w:r>
    </w:p>
  </w:footnote>
  <w:footnote w:id="53">
    <w:p w:rsidR="00865274" w:rsidRDefault="00865274" w:rsidP="00865274">
      <w:pPr>
        <w:pStyle w:val="FootnoteText"/>
      </w:pPr>
      <w:r>
        <w:rPr>
          <w:rStyle w:val="FootnoteReference"/>
        </w:rPr>
        <w:footnoteRef/>
      </w:r>
      <w:r>
        <w:t xml:space="preserve"> Janet Laurence, “Royal Feasts” P. 146</w:t>
      </w:r>
    </w:p>
  </w:footnote>
  <w:footnote w:id="54">
    <w:p w:rsidR="00865274" w:rsidRDefault="00865274" w:rsidP="00865274">
      <w:pPr>
        <w:pStyle w:val="FootnoteText"/>
      </w:pPr>
      <w:r>
        <w:rPr>
          <w:rStyle w:val="FootnoteReference"/>
        </w:rPr>
        <w:footnoteRef/>
      </w:r>
      <w:r>
        <w:t xml:space="preserve"> Thomas Austin, </w:t>
      </w:r>
      <w:r>
        <w:rPr>
          <w:i/>
        </w:rPr>
        <w:t>Two Fifteenth Century Cookery Books</w:t>
      </w:r>
      <w:r>
        <w:t>. P. 58</w:t>
      </w:r>
    </w:p>
  </w:footnote>
  <w:footnote w:id="55">
    <w:p w:rsidR="00865274" w:rsidRDefault="00865274" w:rsidP="00865274">
      <w:pPr>
        <w:pStyle w:val="FootnoteText"/>
      </w:pPr>
      <w:r>
        <w:rPr>
          <w:rStyle w:val="FootnoteReference"/>
        </w:rPr>
        <w:footnoteRef/>
      </w:r>
      <w:r>
        <w:t xml:space="preserve"> Janet Laurence, “Royal Feasts” P. 146</w:t>
      </w:r>
    </w:p>
  </w:footnote>
  <w:footnote w:id="56">
    <w:p w:rsidR="00865274" w:rsidRDefault="00865274" w:rsidP="00865274">
      <w:pPr>
        <w:pStyle w:val="FootnoteText"/>
      </w:pPr>
      <w:r>
        <w:rPr>
          <w:rStyle w:val="FootnoteReference"/>
        </w:rPr>
        <w:footnoteRef/>
      </w:r>
      <w:r>
        <w:t xml:space="preserve"> Thomas Austin, </w:t>
      </w:r>
      <w:r>
        <w:rPr>
          <w:i/>
        </w:rPr>
        <w:t>Two Fifteenth Century Cookery Books</w:t>
      </w:r>
      <w:r>
        <w:t>. P. 44</w:t>
      </w:r>
    </w:p>
  </w:footnote>
  <w:footnote w:id="57">
    <w:p w:rsidR="00865274" w:rsidRDefault="00865274" w:rsidP="00865274">
      <w:pPr>
        <w:pStyle w:val="FootnoteText"/>
      </w:pPr>
      <w:r>
        <w:rPr>
          <w:rStyle w:val="FootnoteReference"/>
        </w:rPr>
        <w:footnoteRef/>
      </w:r>
      <w:r>
        <w:t xml:space="preserve"> Janet Laurence, “Royal Feasts” P. 146</w:t>
      </w:r>
    </w:p>
  </w:footnote>
  <w:footnote w:id="58">
    <w:p w:rsidR="00865274" w:rsidRDefault="00865274" w:rsidP="00865274">
      <w:pPr>
        <w:pStyle w:val="FootnoteText"/>
      </w:pPr>
      <w:r>
        <w:rPr>
          <w:rStyle w:val="FootnoteReference"/>
        </w:rPr>
        <w:footnoteRef/>
      </w:r>
      <w:r>
        <w:t xml:space="preserve"> Ibid P. 146</w:t>
      </w:r>
    </w:p>
  </w:footnote>
  <w:footnote w:id="59">
    <w:p w:rsidR="00865274" w:rsidRPr="00CB5FF5" w:rsidRDefault="00865274" w:rsidP="00865274">
      <w:pPr>
        <w:pStyle w:val="FootnoteText"/>
      </w:pPr>
      <w:r>
        <w:rPr>
          <w:rStyle w:val="FootnoteReference"/>
        </w:rPr>
        <w:footnoteRef/>
      </w:r>
      <w:r>
        <w:t xml:space="preserve"> June Di Schino “The Significance and Symbolism of Sugar Sculpture at Italian Court Banquets” P. 115</w:t>
      </w:r>
    </w:p>
  </w:footnote>
  <w:footnote w:id="60">
    <w:p w:rsidR="00865274" w:rsidRDefault="00865274" w:rsidP="00865274">
      <w:pPr>
        <w:pStyle w:val="FootnoteText"/>
      </w:pPr>
      <w:r>
        <w:rPr>
          <w:rStyle w:val="FootnoteReference"/>
        </w:rPr>
        <w:footnoteRef/>
      </w:r>
      <w:r>
        <w:t xml:space="preserve"> Ibid P. 115</w:t>
      </w:r>
    </w:p>
  </w:footnote>
  <w:footnote w:id="61">
    <w:p w:rsidR="00865274" w:rsidRDefault="00865274" w:rsidP="00865274">
      <w:pPr>
        <w:pStyle w:val="FootnoteText"/>
      </w:pPr>
      <w:r>
        <w:rPr>
          <w:rStyle w:val="FootnoteReference"/>
        </w:rPr>
        <w:footnoteRef/>
      </w:r>
      <w:r>
        <w:t xml:space="preserve"> Janet Laurence “Royal Feasts” P. 147</w:t>
      </w:r>
    </w:p>
  </w:footnote>
  <w:footnote w:id="62">
    <w:p w:rsidR="00865274" w:rsidRDefault="00865274" w:rsidP="00865274">
      <w:pPr>
        <w:pStyle w:val="FootnoteText"/>
      </w:pPr>
      <w:r>
        <w:rPr>
          <w:rStyle w:val="FootnoteReference"/>
        </w:rPr>
        <w:footnoteRef/>
      </w:r>
      <w:r>
        <w:t xml:space="preserve"> Constance B. Hieatt and Butler, Sharon, </w:t>
      </w:r>
      <w:r>
        <w:rPr>
          <w:i/>
        </w:rPr>
        <w:t>Curye on Inglysch</w:t>
      </w:r>
      <w:r>
        <w:t>. London: Oxford University Press, 1985. P. 57</w:t>
      </w:r>
    </w:p>
  </w:footnote>
  <w:footnote w:id="63">
    <w:p w:rsidR="00865274" w:rsidRPr="003107D1" w:rsidRDefault="00865274" w:rsidP="00865274">
      <w:pPr>
        <w:pStyle w:val="FootnoteText"/>
      </w:pPr>
      <w:r>
        <w:rPr>
          <w:rStyle w:val="FootnoteReference"/>
        </w:rPr>
        <w:footnoteRef/>
      </w:r>
      <w:r>
        <w:t xml:space="preserve"> C.M. Woolgar Ed., D. Serjeanston Ed., and T. Waldron Ed., </w:t>
      </w:r>
      <w:r>
        <w:rPr>
          <w:i/>
        </w:rPr>
        <w:t xml:space="preserve">Food in Medieval England: Diet and Nutrition. </w:t>
      </w:r>
      <w:r>
        <w:t>London: Oxford University Press, 2009. P 31</w:t>
      </w:r>
    </w:p>
  </w:footnote>
  <w:footnote w:id="64">
    <w:p w:rsidR="00865274" w:rsidRPr="00506E38" w:rsidRDefault="00865274" w:rsidP="00865274">
      <w:pPr>
        <w:pStyle w:val="FootnoteText"/>
      </w:pPr>
      <w:r>
        <w:rPr>
          <w:rStyle w:val="FootnoteReference"/>
        </w:rPr>
        <w:footnoteRef/>
      </w:r>
      <w:r>
        <w:t xml:space="preserve"> John Varriano, </w:t>
      </w:r>
      <w:r>
        <w:rPr>
          <w:i/>
        </w:rPr>
        <w:t>Wine: A Cultural History</w:t>
      </w:r>
      <w:r>
        <w:t>. London: Reaktion Books Ltd. 2010. P. 129</w:t>
      </w:r>
    </w:p>
  </w:footnote>
  <w:footnote w:id="65">
    <w:p w:rsidR="00865274" w:rsidRDefault="00865274" w:rsidP="00865274">
      <w:pPr>
        <w:pStyle w:val="FootnoteText"/>
      </w:pPr>
      <w:r>
        <w:rPr>
          <w:rStyle w:val="FootnoteReference"/>
        </w:rPr>
        <w:footnoteRef/>
      </w:r>
      <w:r>
        <w:t xml:space="preserve"> Ibid P. 130</w:t>
      </w:r>
    </w:p>
  </w:footnote>
  <w:footnote w:id="66">
    <w:p w:rsidR="00865274" w:rsidRDefault="00865274" w:rsidP="00865274">
      <w:pPr>
        <w:pStyle w:val="FootnoteText"/>
      </w:pPr>
      <w:r>
        <w:rPr>
          <w:rStyle w:val="FootnoteReference"/>
        </w:rPr>
        <w:footnoteRef/>
      </w:r>
      <w:r>
        <w:t xml:space="preserve"> Janet Laurence, “Royal Feasts” P. 138</w:t>
      </w:r>
    </w:p>
  </w:footnote>
  <w:footnote w:id="67">
    <w:p w:rsidR="00865274" w:rsidRDefault="00865274" w:rsidP="00865274">
      <w:pPr>
        <w:pStyle w:val="FootnoteText"/>
      </w:pPr>
      <w:r>
        <w:rPr>
          <w:rStyle w:val="FootnoteReference"/>
        </w:rPr>
        <w:footnoteRef/>
      </w:r>
      <w:r>
        <w:t xml:space="preserve"> Margaret Visser, </w:t>
      </w:r>
      <w:r w:rsidRPr="005307AD">
        <w:rPr>
          <w:i/>
        </w:rPr>
        <w:t>Much Depends on Dinner</w:t>
      </w:r>
      <w:r>
        <w:t>, New York: Grove Press. 1986. P 151</w:t>
      </w:r>
    </w:p>
  </w:footnote>
  <w:footnote w:id="68">
    <w:p w:rsidR="00865274" w:rsidRDefault="00865274" w:rsidP="00865274">
      <w:pPr>
        <w:pStyle w:val="FootnoteText"/>
      </w:pPr>
      <w:r>
        <w:rPr>
          <w:rStyle w:val="FootnoteReference"/>
        </w:rPr>
        <w:footnoteRef/>
      </w:r>
      <w:r>
        <w:t xml:space="preserve"> Ibid P. 151</w:t>
      </w:r>
    </w:p>
  </w:footnote>
  <w:footnote w:id="69">
    <w:p w:rsidR="00865274" w:rsidRDefault="00865274" w:rsidP="00865274">
      <w:pPr>
        <w:pStyle w:val="FootnoteText"/>
      </w:pPr>
      <w:r>
        <w:rPr>
          <w:rStyle w:val="FootnoteReference"/>
        </w:rPr>
        <w:footnoteRef/>
      </w:r>
      <w:r>
        <w:t xml:space="preserve"> Reay Tannahill, </w:t>
      </w:r>
      <w:r>
        <w:rPr>
          <w:i/>
        </w:rPr>
        <w:t>Food in History</w:t>
      </w:r>
      <w:r>
        <w:t>, P. 174</w:t>
      </w:r>
    </w:p>
  </w:footnote>
  <w:footnote w:id="70">
    <w:p w:rsidR="00865274" w:rsidRDefault="00865274" w:rsidP="00865274">
      <w:pPr>
        <w:pStyle w:val="FootnoteText"/>
      </w:pPr>
      <w:r>
        <w:rPr>
          <w:rStyle w:val="FootnoteReference"/>
        </w:rPr>
        <w:footnoteRef/>
      </w:r>
      <w:r>
        <w:t xml:space="preserve"> Janet Laurence, “Royal Feasts” P. 146</w:t>
      </w:r>
    </w:p>
  </w:footnote>
  <w:footnote w:id="71">
    <w:p w:rsidR="00865274" w:rsidRDefault="00865274" w:rsidP="00865274">
      <w:pPr>
        <w:pStyle w:val="FootnoteText"/>
      </w:pPr>
      <w:r>
        <w:rPr>
          <w:rStyle w:val="FootnoteReference"/>
        </w:rPr>
        <w:footnoteRef/>
      </w:r>
      <w:r>
        <w:t xml:space="preserve"> Ibid P. 140</w:t>
      </w:r>
    </w:p>
  </w:footnote>
  <w:footnote w:id="72">
    <w:p w:rsidR="00865274" w:rsidRDefault="00865274" w:rsidP="00865274">
      <w:pPr>
        <w:pStyle w:val="FootnoteText"/>
      </w:pPr>
      <w:r>
        <w:rPr>
          <w:rStyle w:val="FootnoteReference"/>
        </w:rPr>
        <w:footnoteRef/>
      </w:r>
      <w:r>
        <w:t xml:space="preserve"> Russ Rowlett, “U.S. Commercial Bushel Sizes, 2001. </w:t>
      </w:r>
      <w:hyperlink r:id="rId1" w:history="1">
        <w:r w:rsidRPr="00806FB3">
          <w:rPr>
            <w:rStyle w:val="Hyperlink"/>
          </w:rPr>
          <w:t>https://www.unc.edu/~rowlett/units/scales/bushels.html</w:t>
        </w:r>
      </w:hyperlink>
      <w:r>
        <w:t xml:space="preserve"> Accessed 11/04/2017.</w:t>
      </w:r>
    </w:p>
  </w:footnote>
  <w:footnote w:id="73">
    <w:p w:rsidR="00865274" w:rsidRDefault="00865274" w:rsidP="00865274">
      <w:pPr>
        <w:pStyle w:val="FootnoteText"/>
      </w:pPr>
      <w:r>
        <w:rPr>
          <w:rStyle w:val="FootnoteReference"/>
        </w:rPr>
        <w:footnoteRef/>
      </w:r>
      <w:r>
        <w:t xml:space="preserve"> Janet Laurence, “Royal Feasts” P. 138</w:t>
      </w:r>
    </w:p>
  </w:footnote>
  <w:footnote w:id="74">
    <w:p w:rsidR="00865274" w:rsidRDefault="00865274" w:rsidP="00865274">
      <w:pPr>
        <w:pStyle w:val="FootnoteText"/>
      </w:pPr>
      <w:r>
        <w:rPr>
          <w:rStyle w:val="FootnoteReference"/>
        </w:rPr>
        <w:footnoteRef/>
      </w:r>
      <w:r>
        <w:t xml:space="preserve"> Ibid P. 138</w:t>
      </w:r>
    </w:p>
  </w:footnote>
  <w:footnote w:id="75">
    <w:p w:rsidR="00865274" w:rsidRPr="00FF47D3" w:rsidRDefault="00865274" w:rsidP="00865274">
      <w:pPr>
        <w:pStyle w:val="FootnoteText"/>
      </w:pPr>
      <w:r>
        <w:rPr>
          <w:rStyle w:val="FootnoteReference"/>
        </w:rPr>
        <w:footnoteRef/>
      </w:r>
      <w:r>
        <w:t xml:space="preserve"> John Aberth, </w:t>
      </w:r>
      <w:r>
        <w:rPr>
          <w:i/>
        </w:rPr>
        <w:t xml:space="preserve">From the Brink of the </w:t>
      </w:r>
      <w:r w:rsidRPr="00F63F12">
        <w:rPr>
          <w:i/>
        </w:rPr>
        <w:t>Apocalypse</w:t>
      </w:r>
      <w:r>
        <w:t>, P. 14</w:t>
      </w:r>
    </w:p>
  </w:footnote>
  <w:footnote w:id="76">
    <w:p w:rsidR="00865274" w:rsidRDefault="00865274" w:rsidP="00865274">
      <w:pPr>
        <w:pStyle w:val="FootnoteText"/>
      </w:pPr>
      <w:r>
        <w:rPr>
          <w:rStyle w:val="FootnoteReference"/>
        </w:rPr>
        <w:footnoteRef/>
      </w:r>
      <w:r>
        <w:t xml:space="preserve"> Janet Laurence, “Royal Feasts” P. 138</w:t>
      </w:r>
    </w:p>
  </w:footnote>
  <w:footnote w:id="77">
    <w:p w:rsidR="00865274" w:rsidRDefault="00865274" w:rsidP="00865274">
      <w:pPr>
        <w:pStyle w:val="FootnoteText"/>
      </w:pPr>
      <w:r>
        <w:rPr>
          <w:rStyle w:val="FootnoteReference"/>
        </w:rPr>
        <w:footnoteRef/>
      </w:r>
      <w:r>
        <w:t xml:space="preserve"> Ibid P. 138</w:t>
      </w:r>
    </w:p>
  </w:footnote>
  <w:footnote w:id="78">
    <w:p w:rsidR="00865274" w:rsidRPr="000C287A" w:rsidRDefault="00865274" w:rsidP="00865274">
      <w:pPr>
        <w:pStyle w:val="FootnoteText"/>
      </w:pPr>
      <w:r>
        <w:rPr>
          <w:rStyle w:val="FootnoteReference"/>
        </w:rPr>
        <w:footnoteRef/>
      </w:r>
      <w:r>
        <w:t xml:space="preserve"> Chris Given-Wilson Ed., </w:t>
      </w:r>
      <w:r>
        <w:rPr>
          <w:i/>
        </w:rPr>
        <w:t xml:space="preserve">The Chronicle of Adam </w:t>
      </w:r>
      <w:r w:rsidRPr="00B75434">
        <w:rPr>
          <w:i/>
        </w:rPr>
        <w:t>Usk</w:t>
      </w:r>
      <w:r>
        <w:t xml:space="preserve"> P. 243</w:t>
      </w:r>
    </w:p>
  </w:footnote>
  <w:footnote w:id="79">
    <w:p w:rsidR="00865274" w:rsidRDefault="00865274" w:rsidP="00865274">
      <w:pPr>
        <w:pStyle w:val="FootnoteText"/>
      </w:pPr>
      <w:r>
        <w:rPr>
          <w:rStyle w:val="FootnoteReference"/>
        </w:rPr>
        <w:footnoteRef/>
      </w:r>
      <w:r>
        <w:t xml:space="preserve"> Janet Laurence, “Royal Feasts”, 150</w:t>
      </w:r>
    </w:p>
  </w:footnote>
  <w:footnote w:id="80">
    <w:p w:rsidR="00865274" w:rsidRDefault="00865274" w:rsidP="00865274">
      <w:pPr>
        <w:pStyle w:val="FootnoteText"/>
      </w:pPr>
      <w:r>
        <w:rPr>
          <w:rStyle w:val="FootnoteReference"/>
        </w:rPr>
        <w:footnoteRef/>
      </w:r>
      <w:r>
        <w:t xml:space="preserve"> Given-Wilson, </w:t>
      </w:r>
      <w:r>
        <w:rPr>
          <w:i/>
        </w:rPr>
        <w:t>Henry IV</w:t>
      </w:r>
      <w:r>
        <w:t xml:space="preserve"> Pp. 234-235</w:t>
      </w:r>
    </w:p>
  </w:footnote>
  <w:footnote w:id="81">
    <w:p w:rsidR="00865274" w:rsidRDefault="00865274" w:rsidP="00865274">
      <w:pPr>
        <w:pStyle w:val="FootnoteText"/>
      </w:pPr>
      <w:r>
        <w:rPr>
          <w:rStyle w:val="FootnoteReference"/>
        </w:rPr>
        <w:footnoteRef/>
      </w:r>
      <w:r>
        <w:t xml:space="preserve"> Janet Laurence, “Royal Feasts” P. 148</w:t>
      </w:r>
    </w:p>
  </w:footnote>
  <w:footnote w:id="82">
    <w:p w:rsidR="00865274" w:rsidRDefault="00865274" w:rsidP="00865274">
      <w:pPr>
        <w:pStyle w:val="FootnoteText"/>
      </w:pPr>
      <w:r>
        <w:rPr>
          <w:rStyle w:val="FootnoteReference"/>
        </w:rPr>
        <w:footnoteRef/>
      </w:r>
      <w:r>
        <w:t xml:space="preserve"> Ibid P. 148</w:t>
      </w:r>
    </w:p>
  </w:footnote>
  <w:footnote w:id="83">
    <w:p w:rsidR="00865274" w:rsidRDefault="00865274" w:rsidP="00865274">
      <w:pPr>
        <w:pStyle w:val="FootnoteText"/>
      </w:pPr>
      <w:r>
        <w:rPr>
          <w:rStyle w:val="FootnoteReference"/>
        </w:rPr>
        <w:footnoteRef/>
      </w:r>
      <w:r>
        <w:t xml:space="preserve"> Margaret Visser, </w:t>
      </w:r>
      <w:r>
        <w:rPr>
          <w:i/>
        </w:rPr>
        <w:t>The Rituals of Dinner</w:t>
      </w:r>
      <w:r>
        <w:t xml:space="preserve"> P. 292</w:t>
      </w:r>
    </w:p>
  </w:footnote>
  <w:footnote w:id="84">
    <w:p w:rsidR="00865274" w:rsidRPr="00DC1A2D" w:rsidRDefault="00865274" w:rsidP="0051390A">
      <w:pPr>
        <w:pStyle w:val="FootnoteText"/>
      </w:pPr>
      <w:r>
        <w:rPr>
          <w:rStyle w:val="FootnoteReference"/>
        </w:rPr>
        <w:footnoteRef/>
      </w:r>
      <w:r>
        <w:t xml:space="preserve"> C. Stephenson and F. G. Marcham, Trans, </w:t>
      </w:r>
      <w:r>
        <w:rPr>
          <w:i/>
        </w:rPr>
        <w:t>Rotuli Parliamentorum</w:t>
      </w:r>
      <w:r>
        <w:t>, Volume III, 1767, Pp. 250-5, and 415-34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770"/>
    <w:rsid w:val="0012169B"/>
    <w:rsid w:val="001501D0"/>
    <w:rsid w:val="004A1145"/>
    <w:rsid w:val="0051390A"/>
    <w:rsid w:val="005D2FCE"/>
    <w:rsid w:val="00631A92"/>
    <w:rsid w:val="00763D5E"/>
    <w:rsid w:val="00865274"/>
    <w:rsid w:val="008F3770"/>
    <w:rsid w:val="00BE5EC5"/>
    <w:rsid w:val="00D82F4C"/>
    <w:rsid w:val="00E031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7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F3770"/>
    <w:rPr>
      <w:sz w:val="20"/>
      <w:szCs w:val="20"/>
    </w:rPr>
  </w:style>
  <w:style w:type="character" w:customStyle="1" w:styleId="FootnoteTextChar">
    <w:name w:val="Footnote Text Char"/>
    <w:basedOn w:val="DefaultParagraphFont"/>
    <w:link w:val="FootnoteText"/>
    <w:uiPriority w:val="99"/>
    <w:semiHidden/>
    <w:rsid w:val="008F3770"/>
    <w:rPr>
      <w:sz w:val="20"/>
      <w:szCs w:val="20"/>
    </w:rPr>
  </w:style>
  <w:style w:type="character" w:styleId="FootnoteReference">
    <w:name w:val="footnote reference"/>
    <w:basedOn w:val="DefaultParagraphFont"/>
    <w:uiPriority w:val="99"/>
    <w:semiHidden/>
    <w:unhideWhenUsed/>
    <w:rsid w:val="008F3770"/>
    <w:rPr>
      <w:vertAlign w:val="superscript"/>
    </w:rPr>
  </w:style>
  <w:style w:type="paragraph" w:styleId="EndnoteText">
    <w:name w:val="endnote text"/>
    <w:basedOn w:val="Normal"/>
    <w:link w:val="EndnoteTextChar"/>
    <w:uiPriority w:val="99"/>
    <w:unhideWhenUsed/>
    <w:rsid w:val="00763D5E"/>
  </w:style>
  <w:style w:type="character" w:customStyle="1" w:styleId="EndnoteTextChar">
    <w:name w:val="Endnote Text Char"/>
    <w:basedOn w:val="DefaultParagraphFont"/>
    <w:link w:val="EndnoteText"/>
    <w:uiPriority w:val="99"/>
    <w:rsid w:val="00763D5E"/>
  </w:style>
  <w:style w:type="character" w:styleId="Hyperlink">
    <w:name w:val="Hyperlink"/>
    <w:basedOn w:val="DefaultParagraphFont"/>
    <w:uiPriority w:val="99"/>
    <w:unhideWhenUsed/>
    <w:rsid w:val="00763D5E"/>
    <w:rPr>
      <w:color w:val="0000FF" w:themeColor="hyperlink"/>
      <w:u w:val="single"/>
    </w:rPr>
  </w:style>
  <w:style w:type="character" w:styleId="EndnoteReference">
    <w:name w:val="endnote reference"/>
    <w:basedOn w:val="DefaultParagraphFont"/>
    <w:uiPriority w:val="99"/>
    <w:unhideWhenUsed/>
    <w:rsid w:val="0086527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7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F3770"/>
    <w:rPr>
      <w:sz w:val="20"/>
      <w:szCs w:val="20"/>
    </w:rPr>
  </w:style>
  <w:style w:type="character" w:customStyle="1" w:styleId="FootnoteTextChar">
    <w:name w:val="Footnote Text Char"/>
    <w:basedOn w:val="DefaultParagraphFont"/>
    <w:link w:val="FootnoteText"/>
    <w:uiPriority w:val="99"/>
    <w:semiHidden/>
    <w:rsid w:val="008F3770"/>
    <w:rPr>
      <w:sz w:val="20"/>
      <w:szCs w:val="20"/>
    </w:rPr>
  </w:style>
  <w:style w:type="character" w:styleId="FootnoteReference">
    <w:name w:val="footnote reference"/>
    <w:basedOn w:val="DefaultParagraphFont"/>
    <w:uiPriority w:val="99"/>
    <w:semiHidden/>
    <w:unhideWhenUsed/>
    <w:rsid w:val="008F3770"/>
    <w:rPr>
      <w:vertAlign w:val="superscript"/>
    </w:rPr>
  </w:style>
  <w:style w:type="paragraph" w:styleId="EndnoteText">
    <w:name w:val="endnote text"/>
    <w:basedOn w:val="Normal"/>
    <w:link w:val="EndnoteTextChar"/>
    <w:uiPriority w:val="99"/>
    <w:unhideWhenUsed/>
    <w:rsid w:val="00763D5E"/>
  </w:style>
  <w:style w:type="character" w:customStyle="1" w:styleId="EndnoteTextChar">
    <w:name w:val="Endnote Text Char"/>
    <w:basedOn w:val="DefaultParagraphFont"/>
    <w:link w:val="EndnoteText"/>
    <w:uiPriority w:val="99"/>
    <w:rsid w:val="00763D5E"/>
  </w:style>
  <w:style w:type="character" w:styleId="Hyperlink">
    <w:name w:val="Hyperlink"/>
    <w:basedOn w:val="DefaultParagraphFont"/>
    <w:uiPriority w:val="99"/>
    <w:unhideWhenUsed/>
    <w:rsid w:val="00763D5E"/>
    <w:rPr>
      <w:color w:val="0000FF" w:themeColor="hyperlink"/>
      <w:u w:val="single"/>
    </w:rPr>
  </w:style>
  <w:style w:type="character" w:styleId="EndnoteReference">
    <w:name w:val="endnote reference"/>
    <w:basedOn w:val="DefaultParagraphFont"/>
    <w:uiPriority w:val="99"/>
    <w:unhideWhenUsed/>
    <w:rsid w:val="008652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c.edu/~rowlett/units/scales/bushels.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nc.edu/~rowlett/units/scales/bushel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513C730-7D22-44AA-AA2F-AA6CAB1A2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5300</Words>
  <Characters>30215</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Jewish Community Center</Company>
  <LinksUpToDate>false</LinksUpToDate>
  <CharactersWithSpaces>35445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Barker</dc:creator>
  <cp:lastModifiedBy>Emily Barker</cp:lastModifiedBy>
  <cp:revision>2</cp:revision>
  <dcterms:created xsi:type="dcterms:W3CDTF">2018-06-19T15:31:00Z</dcterms:created>
  <dcterms:modified xsi:type="dcterms:W3CDTF">2018-06-19T15:31:00Z</dcterms:modified>
</cp:coreProperties>
</file>