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03ABF3" w14:textId="77777777" w:rsidR="007276C6" w:rsidRDefault="0048460A">
      <w:pPr>
        <w:rPr>
          <w:rFonts w:ascii="Times New Roman" w:hAnsi="Times New Roman" w:cs="Times New Roman"/>
        </w:rPr>
      </w:pPr>
      <w:bookmarkStart w:id="0" w:name="_GoBack"/>
      <w:bookmarkEnd w:id="0"/>
      <w:r>
        <w:rPr>
          <w:rFonts w:ascii="Times New Roman" w:hAnsi="Times New Roman" w:cs="Times New Roman"/>
        </w:rPr>
        <w:t>Kate Reed</w:t>
      </w:r>
    </w:p>
    <w:p w14:paraId="05E86F42" w14:textId="77777777" w:rsidR="0048460A" w:rsidRDefault="0048460A">
      <w:pPr>
        <w:rPr>
          <w:rFonts w:ascii="Times New Roman" w:hAnsi="Times New Roman" w:cs="Times New Roman"/>
        </w:rPr>
      </w:pPr>
      <w:r>
        <w:rPr>
          <w:rFonts w:ascii="Times New Roman" w:hAnsi="Times New Roman" w:cs="Times New Roman"/>
        </w:rPr>
        <w:t>University of Wisconsin – Milwaukee</w:t>
      </w:r>
    </w:p>
    <w:p w14:paraId="4100F2B2" w14:textId="77777777" w:rsidR="0048460A" w:rsidRDefault="0048460A">
      <w:pPr>
        <w:rPr>
          <w:rFonts w:ascii="Times New Roman" w:hAnsi="Times New Roman" w:cs="Times New Roman"/>
        </w:rPr>
      </w:pPr>
      <w:r>
        <w:rPr>
          <w:rFonts w:ascii="Times New Roman" w:hAnsi="Times New Roman" w:cs="Times New Roman"/>
        </w:rPr>
        <w:t>History</w:t>
      </w:r>
    </w:p>
    <w:p w14:paraId="5C6B6796" w14:textId="77777777" w:rsidR="0048460A" w:rsidRDefault="0048460A">
      <w:pPr>
        <w:rPr>
          <w:rFonts w:ascii="Times New Roman" w:hAnsi="Times New Roman" w:cs="Times New Roman"/>
        </w:rPr>
      </w:pPr>
    </w:p>
    <w:p w14:paraId="1F71C5ED" w14:textId="77777777" w:rsidR="0048460A" w:rsidRDefault="0048460A" w:rsidP="0048460A">
      <w:pPr>
        <w:jc w:val="center"/>
        <w:rPr>
          <w:rFonts w:ascii="Times New Roman" w:hAnsi="Times New Roman" w:cs="Times New Roman"/>
        </w:rPr>
      </w:pPr>
      <w:r>
        <w:rPr>
          <w:rFonts w:ascii="Times New Roman" w:hAnsi="Times New Roman" w:cs="Times New Roman"/>
        </w:rPr>
        <w:t>Man’s Hand in God’s Affairs: Shaping Modern Iran’s Theocratic Polity</w:t>
      </w:r>
    </w:p>
    <w:p w14:paraId="6AC2E62B" w14:textId="77777777" w:rsidR="0048460A" w:rsidRDefault="0048460A" w:rsidP="0048460A">
      <w:pPr>
        <w:jc w:val="center"/>
        <w:rPr>
          <w:rFonts w:ascii="Times New Roman" w:hAnsi="Times New Roman" w:cs="Times New Roman"/>
        </w:rPr>
      </w:pPr>
    </w:p>
    <w:p w14:paraId="5204EDFD" w14:textId="77777777" w:rsidR="0048460A" w:rsidRDefault="0048460A" w:rsidP="0048460A">
      <w:pPr>
        <w:jc w:val="center"/>
        <w:rPr>
          <w:rFonts w:ascii="Times New Roman" w:hAnsi="Times New Roman" w:cs="Times New Roman"/>
        </w:rPr>
      </w:pPr>
    </w:p>
    <w:p w14:paraId="222AF21B" w14:textId="77777777" w:rsidR="0048460A" w:rsidRDefault="0048460A" w:rsidP="0048460A">
      <w:pPr>
        <w:spacing w:line="480" w:lineRule="auto"/>
        <w:rPr>
          <w:rFonts w:ascii="Times New Roman" w:hAnsi="Times New Roman" w:cs="Times New Roman"/>
        </w:rPr>
      </w:pPr>
      <w:r>
        <w:rPr>
          <w:rFonts w:ascii="Times New Roman" w:hAnsi="Times New Roman" w:cs="Times New Roman"/>
        </w:rPr>
        <w:tab/>
        <w:t>In the final years of Mohammad Reza Shah Pahlavi’s reign in Iran, longstanding social inequities came to a head, prompting a public outcry to restore the traditional and righteous prestige and repudiate Western influence in the country. A conflation of social, economic, and religious issues led to a civil rights movement that would quickly become a platform for the 1979 Islamic Revolution. The deposition of the Western-backed Shah left a political vacuum in Iran that would ultimately be filled with an Islamic supreme leader. A modernization of Shi’a Islam, primarily executed with religious propaganda and recordings, was an integral step in forming the political sphere of the Islamic Republic of Iran (IRI). Reframing the tenets of Ayatollah Ruhollah Khomeini’s specific brand of Islam would result in the inception of Iran’s infamous morality police, or the Islamic Revolutionary Guard Corps’ Basij Organization of the Oppressed (IRGC BOO), a stringent dress code, and a morality-based legal policy. The IRGC BOO became both a formidable military force and the primary enforcers of redefined Islam in modern Iran. Reimagining the role of mullahs strengthened the connection between politics, the people, and religion. The application of Islamic justice in Iran has yielded domestic resistance movements and drastically affected foreign affairs. Examination of the manner in which Islam was transformed to support the modern polity of the IRI informs our understanding of the dynamic social and political conditions in contemporary Iran.</w:t>
      </w:r>
    </w:p>
    <w:p w14:paraId="6496BE90" w14:textId="1CB7C6FC" w:rsidR="008A35DD" w:rsidRDefault="008A35DD" w:rsidP="0048460A">
      <w:pPr>
        <w:spacing w:line="480" w:lineRule="auto"/>
        <w:rPr>
          <w:rFonts w:ascii="Times New Roman" w:hAnsi="Times New Roman" w:cs="Times New Roman"/>
        </w:rPr>
      </w:pPr>
      <w:r>
        <w:rPr>
          <w:rFonts w:ascii="Times New Roman" w:hAnsi="Times New Roman" w:cs="Times New Roman"/>
        </w:rPr>
        <w:tab/>
      </w:r>
      <w:r w:rsidR="000E54CF">
        <w:rPr>
          <w:rFonts w:ascii="Times New Roman" w:hAnsi="Times New Roman" w:cs="Times New Roman"/>
        </w:rPr>
        <w:t xml:space="preserve">Religious authority in the Shiite world has long belonged to presiding ayatollahs in a given region. However, prior to modern publication, a lack of centralization greatly limited the </w:t>
      </w:r>
      <w:r w:rsidR="000E54CF">
        <w:rPr>
          <w:rFonts w:ascii="Times New Roman" w:hAnsi="Times New Roman" w:cs="Times New Roman"/>
        </w:rPr>
        <w:lastRenderedPageBreak/>
        <w:t xml:space="preserve">political power of </w:t>
      </w:r>
      <w:r w:rsidR="0027377E">
        <w:rPr>
          <w:rFonts w:ascii="Times New Roman" w:hAnsi="Times New Roman" w:cs="Times New Roman"/>
        </w:rPr>
        <w:t>these religious leaders, even in regimes with strong Islamic foundations.</w:t>
      </w:r>
      <w:r w:rsidR="0027377E">
        <w:rPr>
          <w:rStyle w:val="FootnoteReference"/>
          <w:rFonts w:ascii="Times New Roman" w:hAnsi="Times New Roman" w:cs="Times New Roman"/>
        </w:rPr>
        <w:footnoteReference w:id="1"/>
      </w:r>
      <w:r w:rsidR="00C96875">
        <w:rPr>
          <w:rFonts w:ascii="Times New Roman" w:hAnsi="Times New Roman" w:cs="Times New Roman"/>
        </w:rPr>
        <w:t xml:space="preserve"> The technological developments of the 19</w:t>
      </w:r>
      <w:r w:rsidR="00C96875" w:rsidRPr="00C96875">
        <w:rPr>
          <w:rFonts w:ascii="Times New Roman" w:hAnsi="Times New Roman" w:cs="Times New Roman"/>
          <w:vertAlign w:val="superscript"/>
        </w:rPr>
        <w:t>th</w:t>
      </w:r>
      <w:r w:rsidR="00C96875">
        <w:rPr>
          <w:rFonts w:ascii="Times New Roman" w:hAnsi="Times New Roman" w:cs="Times New Roman"/>
        </w:rPr>
        <w:t xml:space="preserve"> century made the issuance of fatawa, </w:t>
      </w:r>
      <w:r w:rsidR="001820AB">
        <w:rPr>
          <w:rFonts w:ascii="Times New Roman" w:hAnsi="Times New Roman" w:cs="Times New Roman"/>
        </w:rPr>
        <w:t xml:space="preserve">legal advisories offered by religious authorities, accessible and enforceable, thus </w:t>
      </w:r>
      <w:r w:rsidR="007C1FF5">
        <w:rPr>
          <w:rFonts w:ascii="Times New Roman" w:hAnsi="Times New Roman" w:cs="Times New Roman"/>
        </w:rPr>
        <w:t>consolidating</w:t>
      </w:r>
      <w:r w:rsidR="001820AB">
        <w:rPr>
          <w:rFonts w:ascii="Times New Roman" w:hAnsi="Times New Roman" w:cs="Times New Roman"/>
        </w:rPr>
        <w:t xml:space="preserve"> religious issues and authority. </w:t>
      </w:r>
      <w:r w:rsidR="00CC2C12">
        <w:rPr>
          <w:rFonts w:ascii="Times New Roman" w:hAnsi="Times New Roman" w:cs="Times New Roman"/>
        </w:rPr>
        <w:t xml:space="preserve">By the 1920s, religious leaders had, through the publication of their general announcements and fatawa, become significant influencers in the political sphere, with some notables openly supporting or criticizing the Reza Shah Pahlavi in his early </w:t>
      </w:r>
      <w:r w:rsidR="00AE377A">
        <w:rPr>
          <w:rFonts w:ascii="Times New Roman" w:hAnsi="Times New Roman" w:cs="Times New Roman"/>
        </w:rPr>
        <w:t>reign</w:t>
      </w:r>
      <w:r w:rsidR="00CC2C12">
        <w:rPr>
          <w:rFonts w:ascii="Times New Roman" w:hAnsi="Times New Roman" w:cs="Times New Roman"/>
        </w:rPr>
        <w:t>.</w:t>
      </w:r>
      <w:r w:rsidR="00CC2C12">
        <w:rPr>
          <w:rStyle w:val="FootnoteReference"/>
          <w:rFonts w:ascii="Times New Roman" w:hAnsi="Times New Roman" w:cs="Times New Roman"/>
        </w:rPr>
        <w:footnoteReference w:id="2"/>
      </w:r>
      <w:r w:rsidR="007C1FF5">
        <w:rPr>
          <w:rFonts w:ascii="Times New Roman" w:hAnsi="Times New Roman" w:cs="Times New Roman"/>
        </w:rPr>
        <w:t xml:space="preserve"> Though the recently fallen Qajar dynasty had been a nominally Islamic regime, technological advances </w:t>
      </w:r>
      <w:r w:rsidR="002F2E25">
        <w:rPr>
          <w:rFonts w:ascii="Times New Roman" w:hAnsi="Times New Roman" w:cs="Times New Roman"/>
        </w:rPr>
        <w:t xml:space="preserve">better </w:t>
      </w:r>
      <w:r w:rsidR="007C1FF5">
        <w:rPr>
          <w:rFonts w:ascii="Times New Roman" w:hAnsi="Times New Roman" w:cs="Times New Roman"/>
        </w:rPr>
        <w:t xml:space="preserve">allowed for religious leaders to strengthen politically in Reza Shah’s </w:t>
      </w:r>
      <w:r w:rsidR="00EC1394">
        <w:rPr>
          <w:rFonts w:ascii="Times New Roman" w:hAnsi="Times New Roman" w:cs="Times New Roman"/>
        </w:rPr>
        <w:t xml:space="preserve">rapidly </w:t>
      </w:r>
      <w:r w:rsidR="007C1FF5">
        <w:rPr>
          <w:rFonts w:ascii="Times New Roman" w:hAnsi="Times New Roman" w:cs="Times New Roman"/>
        </w:rPr>
        <w:t xml:space="preserve">secularizing Iran. </w:t>
      </w:r>
    </w:p>
    <w:p w14:paraId="6EFFEA8B" w14:textId="4EC25B4B" w:rsidR="00D067F5" w:rsidRDefault="00D067F5" w:rsidP="0048460A">
      <w:pPr>
        <w:spacing w:line="480" w:lineRule="auto"/>
        <w:rPr>
          <w:rFonts w:ascii="Times New Roman" w:hAnsi="Times New Roman" w:cs="Times New Roman"/>
        </w:rPr>
      </w:pPr>
      <w:r>
        <w:rPr>
          <w:rFonts w:ascii="Times New Roman" w:hAnsi="Times New Roman" w:cs="Times New Roman"/>
        </w:rPr>
        <w:tab/>
        <w:t xml:space="preserve">However, Reza Shah soon proved to be an oppressive tyrant. Well aware of the bolstered sway of religious leaders, </w:t>
      </w:r>
      <w:r w:rsidR="000B2130">
        <w:rPr>
          <w:rFonts w:ascii="Times New Roman" w:hAnsi="Times New Roman" w:cs="Times New Roman"/>
        </w:rPr>
        <w:t xml:space="preserve">and no longer needing their support, he established a secularist policy to legally inhibit support for the religious leaders and teachers in the country, while exiling those </w:t>
      </w:r>
      <w:r w:rsidR="00747257">
        <w:rPr>
          <w:rFonts w:ascii="Times New Roman" w:hAnsi="Times New Roman" w:cs="Times New Roman"/>
        </w:rPr>
        <w:t xml:space="preserve">who </w:t>
      </w:r>
      <w:r w:rsidR="000B2130">
        <w:rPr>
          <w:rFonts w:ascii="Times New Roman" w:hAnsi="Times New Roman" w:cs="Times New Roman"/>
        </w:rPr>
        <w:t>protested his measures.</w:t>
      </w:r>
      <w:r w:rsidR="000B2130">
        <w:rPr>
          <w:rStyle w:val="FootnoteReference"/>
          <w:rFonts w:ascii="Times New Roman" w:hAnsi="Times New Roman" w:cs="Times New Roman"/>
        </w:rPr>
        <w:footnoteReference w:id="3"/>
      </w:r>
      <w:r w:rsidR="005F7383">
        <w:rPr>
          <w:rFonts w:ascii="Times New Roman" w:hAnsi="Times New Roman" w:cs="Times New Roman"/>
        </w:rPr>
        <w:t xml:space="preserve"> </w:t>
      </w:r>
      <w:r w:rsidR="00C237BD">
        <w:rPr>
          <w:rFonts w:ascii="Times New Roman" w:hAnsi="Times New Roman" w:cs="Times New Roman"/>
        </w:rPr>
        <w:t xml:space="preserve">Reza Shah’s methods of modernization </w:t>
      </w:r>
      <w:r w:rsidR="00A67503">
        <w:rPr>
          <w:rFonts w:ascii="Times New Roman" w:hAnsi="Times New Roman" w:cs="Times New Roman"/>
        </w:rPr>
        <w:t>often alienated</w:t>
      </w:r>
      <w:r w:rsidR="00C237BD">
        <w:rPr>
          <w:rFonts w:ascii="Times New Roman" w:hAnsi="Times New Roman" w:cs="Times New Roman"/>
        </w:rPr>
        <w:t xml:space="preserve"> </w:t>
      </w:r>
      <w:r w:rsidR="00A67503">
        <w:rPr>
          <w:rFonts w:ascii="Times New Roman" w:hAnsi="Times New Roman" w:cs="Times New Roman"/>
        </w:rPr>
        <w:t xml:space="preserve">the traditionalists, calling for unilateral adoption of the Western style of dress and an enforceable unveiling of Muslim women. Though clergy did not formally address </w:t>
      </w:r>
      <w:r w:rsidR="00213338">
        <w:rPr>
          <w:rFonts w:ascii="Times New Roman" w:hAnsi="Times New Roman" w:cs="Times New Roman"/>
        </w:rPr>
        <w:t>these</w:t>
      </w:r>
      <w:r w:rsidR="00A67503">
        <w:rPr>
          <w:rFonts w:ascii="Times New Roman" w:hAnsi="Times New Roman" w:cs="Times New Roman"/>
        </w:rPr>
        <w:t xml:space="preserve"> mandates in a major fatwa, resentment for secularization policies grew </w:t>
      </w:r>
      <w:r w:rsidR="00213338">
        <w:rPr>
          <w:rFonts w:ascii="Times New Roman" w:hAnsi="Times New Roman" w:cs="Times New Roman"/>
        </w:rPr>
        <w:t>while</w:t>
      </w:r>
      <w:r w:rsidR="00A67503">
        <w:rPr>
          <w:rFonts w:ascii="Times New Roman" w:hAnsi="Times New Roman" w:cs="Times New Roman"/>
        </w:rPr>
        <w:t xml:space="preserve"> the conservative perspective was increasingly isolated.</w:t>
      </w:r>
      <w:r w:rsidR="00A67503">
        <w:rPr>
          <w:rStyle w:val="FootnoteReference"/>
          <w:rFonts w:ascii="Times New Roman" w:hAnsi="Times New Roman" w:cs="Times New Roman"/>
        </w:rPr>
        <w:footnoteReference w:id="4"/>
      </w:r>
      <w:r w:rsidR="004E6535">
        <w:rPr>
          <w:rFonts w:ascii="Times New Roman" w:hAnsi="Times New Roman" w:cs="Times New Roman"/>
        </w:rPr>
        <w:t xml:space="preserve"> Likewise, the remaining ashraf of the Qajar regime had been relegated to the periphery of the Pahlavi Order. Reza Shah had replaced the old generation of administrative elites with a loyal band of technocrats and military </w:t>
      </w:r>
      <w:r w:rsidR="00213338">
        <w:rPr>
          <w:rFonts w:ascii="Times New Roman" w:hAnsi="Times New Roman" w:cs="Times New Roman"/>
        </w:rPr>
        <w:t>leaders</w:t>
      </w:r>
      <w:r w:rsidR="004E6535">
        <w:rPr>
          <w:rFonts w:ascii="Times New Roman" w:hAnsi="Times New Roman" w:cs="Times New Roman"/>
        </w:rPr>
        <w:t>, thus crafting a visage of authoritarian control over Iran.</w:t>
      </w:r>
      <w:r w:rsidR="004E6535">
        <w:rPr>
          <w:rStyle w:val="FootnoteReference"/>
          <w:rFonts w:ascii="Times New Roman" w:hAnsi="Times New Roman" w:cs="Times New Roman"/>
        </w:rPr>
        <w:footnoteReference w:id="5"/>
      </w:r>
      <w:r w:rsidR="005D1983">
        <w:rPr>
          <w:rFonts w:ascii="Times New Roman" w:hAnsi="Times New Roman" w:cs="Times New Roman"/>
        </w:rPr>
        <w:t xml:space="preserve"> </w:t>
      </w:r>
    </w:p>
    <w:p w14:paraId="141F8179" w14:textId="2AB69A21" w:rsidR="00CA7298" w:rsidRDefault="00CA7298" w:rsidP="0048460A">
      <w:pPr>
        <w:spacing w:line="480" w:lineRule="auto"/>
        <w:rPr>
          <w:rFonts w:ascii="Times New Roman" w:hAnsi="Times New Roman" w:cs="Times New Roman"/>
        </w:rPr>
      </w:pPr>
      <w:r>
        <w:rPr>
          <w:rFonts w:ascii="Times New Roman" w:hAnsi="Times New Roman" w:cs="Times New Roman"/>
        </w:rPr>
        <w:lastRenderedPageBreak/>
        <w:tab/>
        <w:t>All domestic opposit</w:t>
      </w:r>
      <w:r w:rsidR="009E78F9">
        <w:rPr>
          <w:rFonts w:ascii="Times New Roman" w:hAnsi="Times New Roman" w:cs="Times New Roman"/>
        </w:rPr>
        <w:t>ion aside, however, Reza Shah remained in power well into the Second World War, at which point his globally perceived Nationalist sentiment became an international concern. Though Iran was officially a neutral party, the Anglo-</w:t>
      </w:r>
      <w:r w:rsidR="00B1405B">
        <w:rPr>
          <w:rFonts w:ascii="Times New Roman" w:hAnsi="Times New Roman" w:cs="Times New Roman"/>
        </w:rPr>
        <w:t>Soviet alliance feared</w:t>
      </w:r>
      <w:r w:rsidR="009E78F9">
        <w:rPr>
          <w:rFonts w:ascii="Times New Roman" w:hAnsi="Times New Roman" w:cs="Times New Roman"/>
        </w:rPr>
        <w:t xml:space="preserve"> Reza Shah’s collusion with Germany </w:t>
      </w:r>
      <w:r w:rsidR="0055271F">
        <w:rPr>
          <w:rFonts w:ascii="Times New Roman" w:hAnsi="Times New Roman" w:cs="Times New Roman"/>
        </w:rPr>
        <w:t>due to</w:t>
      </w:r>
      <w:r w:rsidR="009E78F9">
        <w:rPr>
          <w:rFonts w:ascii="Times New Roman" w:hAnsi="Times New Roman" w:cs="Times New Roman"/>
        </w:rPr>
        <w:t xml:space="preserve"> their shared claim of Aryan-based nationhood.</w:t>
      </w:r>
      <w:r w:rsidR="009E78F9">
        <w:rPr>
          <w:rStyle w:val="FootnoteReference"/>
          <w:rFonts w:ascii="Times New Roman" w:hAnsi="Times New Roman" w:cs="Times New Roman"/>
        </w:rPr>
        <w:footnoteReference w:id="6"/>
      </w:r>
      <w:r w:rsidR="009E78F9">
        <w:rPr>
          <w:rFonts w:ascii="Times New Roman" w:hAnsi="Times New Roman" w:cs="Times New Roman"/>
        </w:rPr>
        <w:t xml:space="preserve"> </w:t>
      </w:r>
      <w:r w:rsidR="0055271F">
        <w:rPr>
          <w:rFonts w:ascii="Times New Roman" w:hAnsi="Times New Roman" w:cs="Times New Roman"/>
        </w:rPr>
        <w:t>In late August 1941, the allied army invaded Iran, and by September 3, forcibly abdicated Reza Shah, leaving his</w:t>
      </w:r>
      <w:r w:rsidR="005238D4">
        <w:rPr>
          <w:rFonts w:ascii="Times New Roman" w:hAnsi="Times New Roman" w:cs="Times New Roman"/>
        </w:rPr>
        <w:t xml:space="preserve"> 22-year-old</w:t>
      </w:r>
      <w:r w:rsidR="0055271F">
        <w:rPr>
          <w:rFonts w:ascii="Times New Roman" w:hAnsi="Times New Roman" w:cs="Times New Roman"/>
        </w:rPr>
        <w:t xml:space="preserve"> son, Mohammad Reza in power</w:t>
      </w:r>
      <w:r w:rsidR="00223AD1">
        <w:rPr>
          <w:rFonts w:ascii="Times New Roman" w:hAnsi="Times New Roman" w:cs="Times New Roman"/>
        </w:rPr>
        <w:t xml:space="preserve"> as the head of state</w:t>
      </w:r>
      <w:r w:rsidR="0055271F">
        <w:rPr>
          <w:rFonts w:ascii="Times New Roman" w:hAnsi="Times New Roman" w:cs="Times New Roman"/>
        </w:rPr>
        <w:t>.</w:t>
      </w:r>
      <w:r w:rsidR="0055271F">
        <w:rPr>
          <w:rStyle w:val="FootnoteReference"/>
          <w:rFonts w:ascii="Times New Roman" w:hAnsi="Times New Roman" w:cs="Times New Roman"/>
        </w:rPr>
        <w:footnoteReference w:id="7"/>
      </w:r>
      <w:r w:rsidR="00223AD1">
        <w:rPr>
          <w:rFonts w:ascii="Times New Roman" w:hAnsi="Times New Roman" w:cs="Times New Roman"/>
        </w:rPr>
        <w:t xml:space="preserve"> However, Mohammad Reza Shah’s reign was immediately met with many of the same concerns presented in his father’s regime. The occupation of Iran had left the country in economic ruin, and the turmoil had empowered new parties, and emboldened the old. Amidst the tangible threats of tribal uprisings, the inception and rise of the </w:t>
      </w:r>
      <w:r w:rsidR="00D7008C">
        <w:rPr>
          <w:rFonts w:ascii="Times New Roman" w:hAnsi="Times New Roman" w:cs="Times New Roman"/>
        </w:rPr>
        <w:t xml:space="preserve">communist </w:t>
      </w:r>
      <w:r w:rsidR="00223AD1">
        <w:rPr>
          <w:rFonts w:ascii="Times New Roman" w:hAnsi="Times New Roman" w:cs="Times New Roman"/>
        </w:rPr>
        <w:t>Tudeh</w:t>
      </w:r>
      <w:r w:rsidR="00D7008C">
        <w:rPr>
          <w:rFonts w:ascii="Times New Roman" w:hAnsi="Times New Roman" w:cs="Times New Roman"/>
        </w:rPr>
        <w:t xml:space="preserve"> Party</w:t>
      </w:r>
      <w:r w:rsidR="00223AD1">
        <w:rPr>
          <w:rFonts w:ascii="Times New Roman" w:hAnsi="Times New Roman" w:cs="Times New Roman"/>
        </w:rPr>
        <w:t xml:space="preserve">, Mohammad Reza also feared reprisal from the ashraf and clergy </w:t>
      </w:r>
      <w:r w:rsidR="00110F7C">
        <w:rPr>
          <w:rFonts w:ascii="Times New Roman" w:hAnsi="Times New Roman" w:cs="Times New Roman"/>
        </w:rPr>
        <w:t>targeted by his father.</w:t>
      </w:r>
      <w:r w:rsidR="00110F7C">
        <w:rPr>
          <w:rStyle w:val="FootnoteReference"/>
          <w:rFonts w:ascii="Times New Roman" w:hAnsi="Times New Roman" w:cs="Times New Roman"/>
        </w:rPr>
        <w:footnoteReference w:id="8"/>
      </w:r>
    </w:p>
    <w:p w14:paraId="1274D0FF" w14:textId="0255C64E" w:rsidR="005238D4" w:rsidRDefault="005238D4" w:rsidP="0048460A">
      <w:pPr>
        <w:spacing w:line="480" w:lineRule="auto"/>
        <w:rPr>
          <w:rFonts w:ascii="Times New Roman" w:hAnsi="Times New Roman" w:cs="Times New Roman"/>
        </w:rPr>
      </w:pPr>
      <w:r>
        <w:rPr>
          <w:rFonts w:ascii="Times New Roman" w:hAnsi="Times New Roman" w:cs="Times New Roman"/>
        </w:rPr>
        <w:tab/>
      </w:r>
      <w:r w:rsidR="00921681">
        <w:rPr>
          <w:rFonts w:ascii="Times New Roman" w:hAnsi="Times New Roman" w:cs="Times New Roman"/>
        </w:rPr>
        <w:t>Islamic sentiment increased in Iran over the next decade, following Mohammad Mos</w:t>
      </w:r>
      <w:r w:rsidR="00D74BAA">
        <w:rPr>
          <w:rFonts w:ascii="Times New Roman" w:hAnsi="Times New Roman" w:cs="Times New Roman"/>
        </w:rPr>
        <w:t>s</w:t>
      </w:r>
      <w:r w:rsidR="00921681">
        <w:rPr>
          <w:rFonts w:ascii="Times New Roman" w:hAnsi="Times New Roman" w:cs="Times New Roman"/>
        </w:rPr>
        <w:t>adegh’s</w:t>
      </w:r>
      <w:r w:rsidR="00D74BAA">
        <w:rPr>
          <w:rFonts w:ascii="Times New Roman" w:hAnsi="Times New Roman" w:cs="Times New Roman"/>
        </w:rPr>
        <w:t xml:space="preserve"> election</w:t>
      </w:r>
      <w:r w:rsidR="00921681">
        <w:rPr>
          <w:rFonts w:ascii="Times New Roman" w:hAnsi="Times New Roman" w:cs="Times New Roman"/>
        </w:rPr>
        <w:t xml:space="preserve"> to Majles</w:t>
      </w:r>
      <w:r w:rsidR="00D74BAA">
        <w:rPr>
          <w:rFonts w:ascii="Times New Roman" w:hAnsi="Times New Roman" w:cs="Times New Roman"/>
        </w:rPr>
        <w:t xml:space="preserve"> and subsequent appointment to Prime Minister</w:t>
      </w:r>
      <w:r w:rsidR="00921681">
        <w:rPr>
          <w:rFonts w:ascii="Times New Roman" w:hAnsi="Times New Roman" w:cs="Times New Roman"/>
        </w:rPr>
        <w:t>.</w:t>
      </w:r>
      <w:r w:rsidR="00D74BAA">
        <w:rPr>
          <w:rFonts w:ascii="Times New Roman" w:hAnsi="Times New Roman" w:cs="Times New Roman"/>
        </w:rPr>
        <w:t xml:space="preserve"> Mossadegh’s platform focused on the continuation of secularized modernization in Iran, but with a strong emphasis on limiting, if not fully eliminating Western influence and dependence.</w:t>
      </w:r>
      <w:r w:rsidR="00DD1C6C">
        <w:rPr>
          <w:rStyle w:val="FootnoteReference"/>
          <w:rFonts w:ascii="Times New Roman" w:hAnsi="Times New Roman" w:cs="Times New Roman"/>
        </w:rPr>
        <w:footnoteReference w:id="9"/>
      </w:r>
      <w:r w:rsidR="00DD1C6C">
        <w:rPr>
          <w:rFonts w:ascii="Times New Roman" w:hAnsi="Times New Roman" w:cs="Times New Roman"/>
        </w:rPr>
        <w:t xml:space="preserve"> </w:t>
      </w:r>
      <w:r w:rsidR="0055598F">
        <w:rPr>
          <w:rFonts w:ascii="Times New Roman" w:hAnsi="Times New Roman" w:cs="Times New Roman"/>
        </w:rPr>
        <w:t>He was well regarded as an elected official for challenging the West with his oil nationalization plan, intended to remov</w:t>
      </w:r>
      <w:r w:rsidR="005A5FC2">
        <w:rPr>
          <w:rFonts w:ascii="Times New Roman" w:hAnsi="Times New Roman" w:cs="Times New Roman"/>
        </w:rPr>
        <w:t>e British interference and establish a sustainable domestic market. The West responded with a CIA and MI6 led coup d’état in 1953 th</w:t>
      </w:r>
      <w:r w:rsidR="002151F9">
        <w:rPr>
          <w:rFonts w:ascii="Times New Roman" w:hAnsi="Times New Roman" w:cs="Times New Roman"/>
        </w:rPr>
        <w:t>at reinforced Mohammad Reza</w:t>
      </w:r>
      <w:r w:rsidR="005A5FC2">
        <w:rPr>
          <w:rFonts w:ascii="Times New Roman" w:hAnsi="Times New Roman" w:cs="Times New Roman"/>
        </w:rPr>
        <w:t>’s position as head of state.</w:t>
      </w:r>
      <w:r w:rsidR="005A5FC2">
        <w:rPr>
          <w:rStyle w:val="FootnoteReference"/>
          <w:rFonts w:ascii="Times New Roman" w:hAnsi="Times New Roman" w:cs="Times New Roman"/>
        </w:rPr>
        <w:footnoteReference w:id="10"/>
      </w:r>
      <w:r w:rsidR="005A5FC2">
        <w:rPr>
          <w:rFonts w:ascii="Times New Roman" w:hAnsi="Times New Roman" w:cs="Times New Roman"/>
        </w:rPr>
        <w:t xml:space="preserve"> </w:t>
      </w:r>
      <w:r w:rsidR="008C61A9">
        <w:rPr>
          <w:rFonts w:ascii="Times New Roman" w:hAnsi="Times New Roman" w:cs="Times New Roman"/>
        </w:rPr>
        <w:t xml:space="preserve">The Shah and clergy alike supported this maneuver, as Mossadegh’s authority had </w:t>
      </w:r>
      <w:r w:rsidR="008C61A9">
        <w:rPr>
          <w:rFonts w:ascii="Times New Roman" w:hAnsi="Times New Roman" w:cs="Times New Roman"/>
        </w:rPr>
        <w:lastRenderedPageBreak/>
        <w:t xml:space="preserve">grown to undermine their own. However, </w:t>
      </w:r>
      <w:r w:rsidR="00A026CC">
        <w:rPr>
          <w:rFonts w:ascii="Times New Roman" w:hAnsi="Times New Roman" w:cs="Times New Roman"/>
        </w:rPr>
        <w:t>it greatly contributed to growing unrest among the people.</w:t>
      </w:r>
    </w:p>
    <w:p w14:paraId="189464FD" w14:textId="3490DDAF" w:rsidR="00A026CC" w:rsidRDefault="00A026CC" w:rsidP="0048460A">
      <w:pPr>
        <w:spacing w:line="480" w:lineRule="auto"/>
        <w:rPr>
          <w:rFonts w:ascii="Times New Roman" w:hAnsi="Times New Roman" w:cs="Times New Roman"/>
        </w:rPr>
      </w:pPr>
      <w:r>
        <w:rPr>
          <w:rFonts w:ascii="Times New Roman" w:hAnsi="Times New Roman" w:cs="Times New Roman"/>
        </w:rPr>
        <w:tab/>
      </w:r>
      <w:r w:rsidR="002A60F4">
        <w:rPr>
          <w:rFonts w:ascii="Times New Roman" w:hAnsi="Times New Roman" w:cs="Times New Roman"/>
        </w:rPr>
        <w:t xml:space="preserve">Determined to </w:t>
      </w:r>
      <w:r w:rsidR="007931DA">
        <w:rPr>
          <w:rFonts w:ascii="Times New Roman" w:hAnsi="Times New Roman" w:cs="Times New Roman"/>
        </w:rPr>
        <w:t xml:space="preserve">discourage further challenges to his rule, Mohammad Reza </w:t>
      </w:r>
      <w:r w:rsidR="00844C53">
        <w:rPr>
          <w:rFonts w:ascii="Times New Roman" w:hAnsi="Times New Roman" w:cs="Times New Roman"/>
        </w:rPr>
        <w:t xml:space="preserve">cracked down on the public through a series of reforms and initiatives enforced by his secret police force, </w:t>
      </w:r>
      <w:r w:rsidR="00842C51">
        <w:rPr>
          <w:rFonts w:ascii="Times New Roman" w:hAnsi="Times New Roman" w:cs="Times New Roman"/>
        </w:rPr>
        <w:t xml:space="preserve">the Organization of Intelligence and National Security, or </w:t>
      </w:r>
      <w:r w:rsidR="00844C53">
        <w:rPr>
          <w:rFonts w:ascii="Times New Roman" w:hAnsi="Times New Roman" w:cs="Times New Roman"/>
        </w:rPr>
        <w:t>SAVAK.</w:t>
      </w:r>
      <w:r w:rsidR="00842C51">
        <w:rPr>
          <w:rFonts w:ascii="Times New Roman" w:hAnsi="Times New Roman" w:cs="Times New Roman"/>
        </w:rPr>
        <w:t xml:space="preserve"> </w:t>
      </w:r>
      <w:r w:rsidR="00FF1D5F">
        <w:rPr>
          <w:rFonts w:ascii="Times New Roman" w:hAnsi="Times New Roman" w:cs="Times New Roman"/>
        </w:rPr>
        <w:t>The SAVAK’s primary mission was to suppress opposition to the shah via arrests, silencing the press, and closely monitoring Majles elections.</w:t>
      </w:r>
      <w:r w:rsidR="00FF1D5F">
        <w:rPr>
          <w:rStyle w:val="FootnoteReference"/>
          <w:rFonts w:ascii="Times New Roman" w:hAnsi="Times New Roman" w:cs="Times New Roman"/>
        </w:rPr>
        <w:footnoteReference w:id="11"/>
      </w:r>
      <w:r w:rsidR="00FF1D5F">
        <w:rPr>
          <w:rFonts w:ascii="Times New Roman" w:hAnsi="Times New Roman" w:cs="Times New Roman"/>
        </w:rPr>
        <w:t xml:space="preserve"> </w:t>
      </w:r>
      <w:r w:rsidR="00A543CD">
        <w:rPr>
          <w:rFonts w:ascii="Times New Roman" w:hAnsi="Times New Roman" w:cs="Times New Roman"/>
        </w:rPr>
        <w:t>As the regime became more oppressive, the public gra</w:t>
      </w:r>
      <w:r w:rsidR="00303C9C">
        <w:rPr>
          <w:rFonts w:ascii="Times New Roman" w:hAnsi="Times New Roman" w:cs="Times New Roman"/>
        </w:rPr>
        <w:t>vitated toward Islam and clerical protection. Opposition to the shah was better able to organize through the financially independent mosque network, and embraced Islam as a pragmatic avenue for revolution.</w:t>
      </w:r>
      <w:r w:rsidR="00BA2A97">
        <w:rPr>
          <w:rStyle w:val="FootnoteReference"/>
          <w:rFonts w:ascii="Times New Roman" w:hAnsi="Times New Roman" w:cs="Times New Roman"/>
        </w:rPr>
        <w:footnoteReference w:id="12"/>
      </w:r>
      <w:r w:rsidR="000B77FD">
        <w:rPr>
          <w:rFonts w:ascii="Times New Roman" w:hAnsi="Times New Roman" w:cs="Times New Roman"/>
        </w:rPr>
        <w:t xml:space="preserve"> While religious rhetoric did not necessarily support the popular resistance narrative, </w:t>
      </w:r>
      <w:r w:rsidR="00BA604C">
        <w:rPr>
          <w:rFonts w:ascii="Times New Roman" w:hAnsi="Times New Roman" w:cs="Times New Roman"/>
        </w:rPr>
        <w:t xml:space="preserve">Shiite discourse came to represent revolutionary discourse, and afforded religious leaders </w:t>
      </w:r>
      <w:r w:rsidR="00E43647">
        <w:rPr>
          <w:rFonts w:ascii="Times New Roman" w:hAnsi="Times New Roman" w:cs="Times New Roman"/>
        </w:rPr>
        <w:t>new</w:t>
      </w:r>
      <w:r w:rsidR="00BA604C">
        <w:rPr>
          <w:rFonts w:ascii="Times New Roman" w:hAnsi="Times New Roman" w:cs="Times New Roman"/>
        </w:rPr>
        <w:t xml:space="preserve"> platforms. As a result, the leftist school of thought was ingrained in religious institutions, and Shiite religious tradition was integrated into the </w:t>
      </w:r>
      <w:r w:rsidR="00DD1067">
        <w:rPr>
          <w:rFonts w:ascii="Times New Roman" w:hAnsi="Times New Roman" w:cs="Times New Roman"/>
        </w:rPr>
        <w:t>political sphere</w:t>
      </w:r>
      <w:r w:rsidR="00221A92">
        <w:rPr>
          <w:rFonts w:ascii="Times New Roman" w:hAnsi="Times New Roman" w:cs="Times New Roman"/>
        </w:rPr>
        <w:t xml:space="preserve"> by 1960</w:t>
      </w:r>
      <w:r w:rsidR="00BA604C">
        <w:rPr>
          <w:rFonts w:ascii="Times New Roman" w:hAnsi="Times New Roman" w:cs="Times New Roman"/>
        </w:rPr>
        <w:t>.</w:t>
      </w:r>
      <w:r w:rsidR="00BA604C">
        <w:rPr>
          <w:rStyle w:val="FootnoteReference"/>
          <w:rFonts w:ascii="Times New Roman" w:hAnsi="Times New Roman" w:cs="Times New Roman"/>
        </w:rPr>
        <w:footnoteReference w:id="13"/>
      </w:r>
    </w:p>
    <w:p w14:paraId="1914CE32" w14:textId="67FE162C" w:rsidR="00221A92" w:rsidRDefault="00221A92" w:rsidP="0048460A">
      <w:pPr>
        <w:spacing w:line="480" w:lineRule="auto"/>
        <w:rPr>
          <w:rFonts w:ascii="Times New Roman" w:hAnsi="Times New Roman" w:cs="Times New Roman"/>
        </w:rPr>
      </w:pPr>
      <w:r>
        <w:rPr>
          <w:rFonts w:ascii="Times New Roman" w:hAnsi="Times New Roman" w:cs="Times New Roman"/>
        </w:rPr>
        <w:tab/>
      </w:r>
      <w:r w:rsidR="007C1992">
        <w:rPr>
          <w:rFonts w:ascii="Times New Roman" w:hAnsi="Times New Roman" w:cs="Times New Roman"/>
        </w:rPr>
        <w:t xml:space="preserve">In 1963, Mohammad Reza introduced his infamous economic reform initiative, the White Revolution. Intended to modernize and industrialize Iran, the White Revolution was centered on large-scale </w:t>
      </w:r>
      <w:r w:rsidR="005D50EA">
        <w:rPr>
          <w:rFonts w:ascii="Times New Roman" w:hAnsi="Times New Roman" w:cs="Times New Roman"/>
        </w:rPr>
        <w:t>land</w:t>
      </w:r>
      <w:r w:rsidR="007C1992">
        <w:rPr>
          <w:rFonts w:ascii="Times New Roman" w:hAnsi="Times New Roman" w:cs="Times New Roman"/>
        </w:rPr>
        <w:t xml:space="preserve"> reform. This program </w:t>
      </w:r>
      <w:r w:rsidR="005D50EA">
        <w:rPr>
          <w:rFonts w:ascii="Times New Roman" w:hAnsi="Times New Roman" w:cs="Times New Roman"/>
        </w:rPr>
        <w:t>called for the redistribution of Shiite leaders’ landholdings, which threatened their influence and wealth, and displaced the peasantry in the affected region.</w:t>
      </w:r>
      <w:r w:rsidR="005D50EA">
        <w:rPr>
          <w:rStyle w:val="FootnoteReference"/>
          <w:rFonts w:ascii="Times New Roman" w:hAnsi="Times New Roman" w:cs="Times New Roman"/>
        </w:rPr>
        <w:footnoteReference w:id="14"/>
      </w:r>
      <w:r w:rsidR="001908DF">
        <w:rPr>
          <w:rFonts w:ascii="Times New Roman" w:hAnsi="Times New Roman" w:cs="Times New Roman"/>
        </w:rPr>
        <w:t xml:space="preserve"> </w:t>
      </w:r>
      <w:r w:rsidR="00A0637E">
        <w:rPr>
          <w:rFonts w:ascii="Times New Roman" w:hAnsi="Times New Roman" w:cs="Times New Roman"/>
        </w:rPr>
        <w:t xml:space="preserve">Unsurprisingly, this policy bolstered religious opposition to the shah. Peasantry joined the discontented middle class and national front in their subversive endeavors with the </w:t>
      </w:r>
      <w:r w:rsidR="00A0637E">
        <w:rPr>
          <w:rFonts w:ascii="Times New Roman" w:hAnsi="Times New Roman" w:cs="Times New Roman"/>
        </w:rPr>
        <w:lastRenderedPageBreak/>
        <w:t>clergy.</w:t>
      </w:r>
      <w:r w:rsidR="00A0637E">
        <w:rPr>
          <w:rStyle w:val="FootnoteReference"/>
          <w:rFonts w:ascii="Times New Roman" w:hAnsi="Times New Roman" w:cs="Times New Roman"/>
        </w:rPr>
        <w:footnoteReference w:id="15"/>
      </w:r>
      <w:r w:rsidR="00AF1015">
        <w:rPr>
          <w:rFonts w:ascii="Times New Roman" w:hAnsi="Times New Roman" w:cs="Times New Roman"/>
        </w:rPr>
        <w:t xml:space="preserve"> The subsequent stages of the White Revolution focused on the social class, and better incorporating Western imports </w:t>
      </w:r>
      <w:r w:rsidR="00B67E3C">
        <w:rPr>
          <w:rFonts w:ascii="Times New Roman" w:hAnsi="Times New Roman" w:cs="Times New Roman"/>
        </w:rPr>
        <w:t>in this sector. This increased emphasis on Western goods strengthened foreign influence in Iran’s economy and damaged the bazaar system that financed religious institutions through religious taxes.</w:t>
      </w:r>
      <w:r w:rsidR="00B67E3C">
        <w:rPr>
          <w:rStyle w:val="FootnoteReference"/>
          <w:rFonts w:ascii="Times New Roman" w:hAnsi="Times New Roman" w:cs="Times New Roman"/>
        </w:rPr>
        <w:footnoteReference w:id="16"/>
      </w:r>
      <w:r w:rsidR="00471F26">
        <w:rPr>
          <w:rFonts w:ascii="Times New Roman" w:hAnsi="Times New Roman" w:cs="Times New Roman"/>
        </w:rPr>
        <w:t xml:space="preserve"> </w:t>
      </w:r>
      <w:r w:rsidR="001A31C7">
        <w:rPr>
          <w:rFonts w:ascii="Times New Roman" w:hAnsi="Times New Roman" w:cs="Times New Roman"/>
        </w:rPr>
        <w:t>While these strategies were not inherently anti-Islamic, they greatly diminished the central power of the faith, further alienating clergy and followers.</w:t>
      </w:r>
    </w:p>
    <w:p w14:paraId="19A581F5" w14:textId="24EF1BE3" w:rsidR="001A31C7" w:rsidRDefault="001A31C7" w:rsidP="0048460A">
      <w:pPr>
        <w:spacing w:line="480" w:lineRule="auto"/>
        <w:rPr>
          <w:rFonts w:ascii="Times New Roman" w:hAnsi="Times New Roman" w:cs="Times New Roman"/>
        </w:rPr>
      </w:pPr>
      <w:r>
        <w:rPr>
          <w:rFonts w:ascii="Times New Roman" w:hAnsi="Times New Roman" w:cs="Times New Roman"/>
        </w:rPr>
        <w:tab/>
      </w:r>
      <w:r w:rsidR="005E31F6">
        <w:rPr>
          <w:rFonts w:ascii="Times New Roman" w:hAnsi="Times New Roman" w:cs="Times New Roman"/>
        </w:rPr>
        <w:t xml:space="preserve">As civil and religious autonomy deteriorated, the Shi’i liberation school of thought concentrated </w:t>
      </w:r>
      <w:r w:rsidR="00CD4CA2">
        <w:rPr>
          <w:rFonts w:ascii="Times New Roman" w:hAnsi="Times New Roman" w:cs="Times New Roman"/>
        </w:rPr>
        <w:t xml:space="preserve">on egalitarianism and condemnation of quietists arguing for clerical withdrawal from politics. </w:t>
      </w:r>
      <w:r w:rsidR="00371783">
        <w:rPr>
          <w:rFonts w:ascii="Times New Roman" w:hAnsi="Times New Roman" w:cs="Times New Roman"/>
        </w:rPr>
        <w:t>A number of leftist Islamist intellectuals spoke out against Mohammad Reza’s tyranny and marginalization of the lower classes, and the SAVAK began a seri</w:t>
      </w:r>
      <w:r w:rsidR="00BB1417">
        <w:rPr>
          <w:rFonts w:ascii="Times New Roman" w:hAnsi="Times New Roman" w:cs="Times New Roman"/>
        </w:rPr>
        <w:t>es of attacks on religious centers, where they assaulted and arrested clergy.</w:t>
      </w:r>
      <w:r w:rsidR="00BB1417">
        <w:rPr>
          <w:rStyle w:val="FootnoteReference"/>
          <w:rFonts w:ascii="Times New Roman" w:hAnsi="Times New Roman" w:cs="Times New Roman"/>
        </w:rPr>
        <w:footnoteReference w:id="17"/>
      </w:r>
      <w:r w:rsidR="00F82A35">
        <w:rPr>
          <w:rFonts w:ascii="Times New Roman" w:hAnsi="Times New Roman" w:cs="Times New Roman"/>
        </w:rPr>
        <w:t xml:space="preserve"> In response, several politically minded religious leaders joined popular movements and violent protests. Among the most notable participants was Ruhollah Khomeini, who was arrested and exiled in June 1963.</w:t>
      </w:r>
      <w:r w:rsidR="00F82A35">
        <w:rPr>
          <w:rStyle w:val="FootnoteReference"/>
          <w:rFonts w:ascii="Times New Roman" w:hAnsi="Times New Roman" w:cs="Times New Roman"/>
        </w:rPr>
        <w:footnoteReference w:id="18"/>
      </w:r>
      <w:r w:rsidR="006B293B">
        <w:rPr>
          <w:rFonts w:ascii="Times New Roman" w:hAnsi="Times New Roman" w:cs="Times New Roman"/>
        </w:rPr>
        <w:t xml:space="preserve"> While Iran became increasingly dangerous for Islamist thinkers, the religious center of Najaf became a hub for religious intellectualism and politics. Religious leaders in Najaf, being outside the Pahlavi regime’s control, were able to use the Shi’a network to better take political action, coordinate, and distribute information on behalf of the revolutionaries in Iran.</w:t>
      </w:r>
      <w:r w:rsidR="006B293B">
        <w:rPr>
          <w:rStyle w:val="FootnoteReference"/>
          <w:rFonts w:ascii="Times New Roman" w:hAnsi="Times New Roman" w:cs="Times New Roman"/>
        </w:rPr>
        <w:footnoteReference w:id="19"/>
      </w:r>
    </w:p>
    <w:p w14:paraId="4408BD0F" w14:textId="005F0B18" w:rsidR="00933C3A" w:rsidRDefault="00933C3A" w:rsidP="0048460A">
      <w:pPr>
        <w:spacing w:line="480" w:lineRule="auto"/>
        <w:rPr>
          <w:rFonts w:ascii="Times New Roman" w:hAnsi="Times New Roman" w:cs="Times New Roman"/>
        </w:rPr>
      </w:pPr>
      <w:r>
        <w:rPr>
          <w:rFonts w:ascii="Times New Roman" w:hAnsi="Times New Roman" w:cs="Times New Roman"/>
        </w:rPr>
        <w:tab/>
        <w:t xml:space="preserve">While in exile, Ruhollah Khomeini primarily </w:t>
      </w:r>
      <w:r w:rsidR="00DD4EF3">
        <w:rPr>
          <w:rFonts w:ascii="Times New Roman" w:hAnsi="Times New Roman" w:cs="Times New Roman"/>
        </w:rPr>
        <w:t>lived</w:t>
      </w:r>
      <w:r>
        <w:rPr>
          <w:rFonts w:ascii="Times New Roman" w:hAnsi="Times New Roman" w:cs="Times New Roman"/>
        </w:rPr>
        <w:t xml:space="preserve"> in Najaf</w:t>
      </w:r>
      <w:r w:rsidR="00DD4EF3">
        <w:rPr>
          <w:rFonts w:ascii="Times New Roman" w:hAnsi="Times New Roman" w:cs="Times New Roman"/>
        </w:rPr>
        <w:t xml:space="preserve">, </w:t>
      </w:r>
      <w:r>
        <w:rPr>
          <w:rFonts w:ascii="Times New Roman" w:hAnsi="Times New Roman" w:cs="Times New Roman"/>
        </w:rPr>
        <w:t xml:space="preserve">honing his political and religious thought through writings and lectures that earned him repute among his peers and the disaffected Iranian citizens. </w:t>
      </w:r>
      <w:r w:rsidR="004147E6">
        <w:rPr>
          <w:rFonts w:ascii="Times New Roman" w:hAnsi="Times New Roman" w:cs="Times New Roman"/>
        </w:rPr>
        <w:t xml:space="preserve">During this period, he began work on his </w:t>
      </w:r>
      <w:r w:rsidR="004147E6">
        <w:rPr>
          <w:rFonts w:ascii="Times New Roman" w:hAnsi="Times New Roman" w:cs="Times New Roman"/>
          <w:i/>
        </w:rPr>
        <w:t>Velayat-e Faqih,</w:t>
      </w:r>
      <w:r w:rsidR="004147E6">
        <w:rPr>
          <w:rFonts w:ascii="Times New Roman" w:hAnsi="Times New Roman" w:cs="Times New Roman"/>
        </w:rPr>
        <w:t xml:space="preserve"> a </w:t>
      </w:r>
      <w:r w:rsidR="004147E6">
        <w:rPr>
          <w:rFonts w:ascii="Times New Roman" w:hAnsi="Times New Roman" w:cs="Times New Roman"/>
        </w:rPr>
        <w:lastRenderedPageBreak/>
        <w:t>blue</w:t>
      </w:r>
      <w:r w:rsidR="001F772E">
        <w:rPr>
          <w:rFonts w:ascii="Times New Roman" w:hAnsi="Times New Roman" w:cs="Times New Roman"/>
        </w:rPr>
        <w:t>print for an Islamic government</w:t>
      </w:r>
      <w:r w:rsidR="00E53392">
        <w:rPr>
          <w:rFonts w:ascii="Times New Roman" w:hAnsi="Times New Roman" w:cs="Times New Roman"/>
        </w:rPr>
        <w:t>, first published in 1970</w:t>
      </w:r>
      <w:r w:rsidR="00307472">
        <w:rPr>
          <w:rFonts w:ascii="Times New Roman" w:hAnsi="Times New Roman" w:cs="Times New Roman"/>
        </w:rPr>
        <w:t xml:space="preserve">. </w:t>
      </w:r>
      <w:r w:rsidR="00624012">
        <w:rPr>
          <w:rFonts w:ascii="Times New Roman" w:hAnsi="Times New Roman" w:cs="Times New Roman"/>
        </w:rPr>
        <w:t>His writings and seminars culminated on garnering popular consent and controlling p</w:t>
      </w:r>
      <w:r w:rsidR="00FE28EC">
        <w:rPr>
          <w:rFonts w:ascii="Times New Roman" w:hAnsi="Times New Roman" w:cs="Times New Roman"/>
        </w:rPr>
        <w:t>ublic</w:t>
      </w:r>
      <w:r w:rsidR="00624012">
        <w:rPr>
          <w:rFonts w:ascii="Times New Roman" w:hAnsi="Times New Roman" w:cs="Times New Roman"/>
        </w:rPr>
        <w:t xml:space="preserve"> will on the pretense that Islamic guardianship was a necessity for civil, equitable governance.</w:t>
      </w:r>
      <w:r w:rsidR="00624012">
        <w:rPr>
          <w:rStyle w:val="FootnoteReference"/>
          <w:rFonts w:ascii="Times New Roman" w:hAnsi="Times New Roman" w:cs="Times New Roman"/>
        </w:rPr>
        <w:footnoteReference w:id="20"/>
      </w:r>
      <w:r w:rsidR="00FE28EC">
        <w:rPr>
          <w:rFonts w:ascii="Times New Roman" w:hAnsi="Times New Roman" w:cs="Times New Roman"/>
        </w:rPr>
        <w:t xml:space="preserve"> </w:t>
      </w:r>
      <w:r w:rsidR="00E27C6D">
        <w:rPr>
          <w:rFonts w:ascii="Times New Roman" w:hAnsi="Times New Roman" w:cs="Times New Roman"/>
        </w:rPr>
        <w:t xml:space="preserve">His work during this period highlights the connection between civil and religious concerns in Iran. In his lectures, he repeatedly suggested that representatives of secular republics and monarchies abuse their constituents by </w:t>
      </w:r>
      <w:r w:rsidR="007D3206">
        <w:rPr>
          <w:rFonts w:ascii="Times New Roman" w:hAnsi="Times New Roman" w:cs="Times New Roman"/>
        </w:rPr>
        <w:t>enacting laws to their direct detriment.</w:t>
      </w:r>
      <w:r w:rsidR="007D3206">
        <w:rPr>
          <w:rStyle w:val="FootnoteReference"/>
          <w:rFonts w:ascii="Times New Roman" w:hAnsi="Times New Roman" w:cs="Times New Roman"/>
        </w:rPr>
        <w:footnoteReference w:id="21"/>
      </w:r>
      <w:r w:rsidR="00E53392">
        <w:rPr>
          <w:rFonts w:ascii="Times New Roman" w:hAnsi="Times New Roman" w:cs="Times New Roman"/>
        </w:rPr>
        <w:t xml:space="preserve"> His argument that a polity bound in Islamic law would better serve the people than the shah’s regime resonated in Iran in the wake of the White Revolution and SAVAK attacks.</w:t>
      </w:r>
    </w:p>
    <w:p w14:paraId="72276C7C" w14:textId="6D162F63" w:rsidR="00E53392" w:rsidRDefault="00E53392" w:rsidP="0048460A">
      <w:pPr>
        <w:spacing w:line="480" w:lineRule="auto"/>
        <w:rPr>
          <w:rFonts w:ascii="Times New Roman" w:hAnsi="Times New Roman" w:cs="Times New Roman"/>
        </w:rPr>
      </w:pPr>
      <w:r>
        <w:rPr>
          <w:rFonts w:ascii="Times New Roman" w:hAnsi="Times New Roman" w:cs="Times New Roman"/>
        </w:rPr>
        <w:tab/>
      </w:r>
      <w:r w:rsidR="00EC779B">
        <w:rPr>
          <w:rFonts w:ascii="Times New Roman" w:hAnsi="Times New Roman" w:cs="Times New Roman"/>
        </w:rPr>
        <w:t>Throughout the 1970s, Khomeini’s support base grew in the interconnected Islamic and Arab worlds.</w:t>
      </w:r>
      <w:r w:rsidR="00A55C20">
        <w:rPr>
          <w:rFonts w:ascii="Times New Roman" w:hAnsi="Times New Roman" w:cs="Times New Roman"/>
        </w:rPr>
        <w:t xml:space="preserve"> The mounting insurrection in Iran attracted international speculation</w:t>
      </w:r>
      <w:r w:rsidR="00EC779B">
        <w:rPr>
          <w:rFonts w:ascii="Times New Roman" w:hAnsi="Times New Roman" w:cs="Times New Roman"/>
        </w:rPr>
        <w:t xml:space="preserve"> </w:t>
      </w:r>
      <w:r w:rsidR="00A55C20">
        <w:rPr>
          <w:rFonts w:ascii="Times New Roman" w:hAnsi="Times New Roman" w:cs="Times New Roman"/>
        </w:rPr>
        <w:t xml:space="preserve">on the stability of Mohammad Reza Shah’s regime and role of prominent opposing figures. </w:t>
      </w:r>
      <w:r w:rsidR="001F3DF9">
        <w:rPr>
          <w:rFonts w:ascii="Times New Roman" w:hAnsi="Times New Roman" w:cs="Times New Roman"/>
        </w:rPr>
        <w:t xml:space="preserve">Intelligence agencies began focusing on these issues in order to assess the severity of the Iran situation. In a November 1978 Central Intelligence report, the National Foreign Assessment Center examined Khomeini’s use of Islam and rhetoric and attempted to determine what implications the rise of a Shi’a government would carry. </w:t>
      </w:r>
      <w:r w:rsidR="00400F25">
        <w:rPr>
          <w:rFonts w:ascii="Times New Roman" w:hAnsi="Times New Roman" w:cs="Times New Roman"/>
        </w:rPr>
        <w:t xml:space="preserve">The report identifies major themes in Khomeini’s 1963-1978 speeches and pamphlets as opposition to </w:t>
      </w:r>
      <w:r w:rsidR="00A54FA4">
        <w:rPr>
          <w:rFonts w:ascii="Times New Roman" w:hAnsi="Times New Roman" w:cs="Times New Roman"/>
        </w:rPr>
        <w:t>Mohammad Reza’s economic and social policies, anti-Zionism, and denunciation of Western influence</w:t>
      </w:r>
      <w:r w:rsidR="00400F25">
        <w:rPr>
          <w:rFonts w:ascii="Times New Roman" w:hAnsi="Times New Roman" w:cs="Times New Roman"/>
        </w:rPr>
        <w:t>.</w:t>
      </w:r>
      <w:r w:rsidR="00400F25">
        <w:rPr>
          <w:rStyle w:val="FootnoteReference"/>
          <w:rFonts w:ascii="Times New Roman" w:hAnsi="Times New Roman" w:cs="Times New Roman"/>
        </w:rPr>
        <w:footnoteReference w:id="22"/>
      </w:r>
      <w:r w:rsidR="00070644">
        <w:rPr>
          <w:rFonts w:ascii="Times New Roman" w:hAnsi="Times New Roman" w:cs="Times New Roman"/>
        </w:rPr>
        <w:t xml:space="preserve"> These themes underpin the unspoken basis of Khomeini’s conce</w:t>
      </w:r>
      <w:r w:rsidR="00A54FA4">
        <w:rPr>
          <w:rFonts w:ascii="Times New Roman" w:hAnsi="Times New Roman" w:cs="Times New Roman"/>
        </w:rPr>
        <w:t>ptualization of Islamic pluralism:</w:t>
      </w:r>
      <w:r w:rsidR="00C3445C">
        <w:rPr>
          <w:rFonts w:ascii="Times New Roman" w:hAnsi="Times New Roman" w:cs="Times New Roman"/>
        </w:rPr>
        <w:t xml:space="preserve"> a fluid socioeconomic system able to support autocratic rule.</w:t>
      </w:r>
    </w:p>
    <w:p w14:paraId="0724CBE0" w14:textId="17F4E339" w:rsidR="00C3445C" w:rsidRDefault="00C3445C" w:rsidP="0048460A">
      <w:pPr>
        <w:spacing w:line="480" w:lineRule="auto"/>
        <w:rPr>
          <w:rFonts w:ascii="Times New Roman" w:hAnsi="Times New Roman" w:cs="Times New Roman"/>
        </w:rPr>
      </w:pPr>
      <w:r>
        <w:rPr>
          <w:rFonts w:ascii="Times New Roman" w:hAnsi="Times New Roman" w:cs="Times New Roman"/>
        </w:rPr>
        <w:lastRenderedPageBreak/>
        <w:tab/>
        <w:t xml:space="preserve">The document also addresses Khomeini’s support base and his public appeal. Opposition to the Pahlavi Order was broad in affiliation and intent. </w:t>
      </w:r>
      <w:r w:rsidR="00E07A14">
        <w:rPr>
          <w:rFonts w:ascii="Times New Roman" w:hAnsi="Times New Roman" w:cs="Times New Roman"/>
        </w:rPr>
        <w:t xml:space="preserve">The CIA recognized that Khomeini’s envisioned Islamic government was deliberately left open to interpretation by the diverse field of </w:t>
      </w:r>
      <w:r w:rsidR="0079687F">
        <w:rPr>
          <w:rFonts w:ascii="Times New Roman" w:hAnsi="Times New Roman" w:cs="Times New Roman"/>
        </w:rPr>
        <w:t>dissidents</w:t>
      </w:r>
      <w:r w:rsidR="00E07A14">
        <w:rPr>
          <w:rFonts w:ascii="Times New Roman" w:hAnsi="Times New Roman" w:cs="Times New Roman"/>
        </w:rPr>
        <w:t xml:space="preserve"> comprised of clergy, peasantry, urbanites, and students in order to unify the otherwise unorganized groups.</w:t>
      </w:r>
      <w:r w:rsidR="00E07A14">
        <w:rPr>
          <w:rStyle w:val="FootnoteReference"/>
          <w:rFonts w:ascii="Times New Roman" w:hAnsi="Times New Roman" w:cs="Times New Roman"/>
        </w:rPr>
        <w:footnoteReference w:id="23"/>
      </w:r>
      <w:r w:rsidR="00E07A14">
        <w:rPr>
          <w:rFonts w:ascii="Times New Roman" w:hAnsi="Times New Roman" w:cs="Times New Roman"/>
        </w:rPr>
        <w:t xml:space="preserve"> </w:t>
      </w:r>
      <w:r w:rsidR="0079687F">
        <w:rPr>
          <w:rFonts w:ascii="Times New Roman" w:hAnsi="Times New Roman" w:cs="Times New Roman"/>
        </w:rPr>
        <w:t xml:space="preserve">Though religious institutions had long been centers for organized rebellion, the relationship between Shiite leaders and civil malcontents was born of necessity rather than shared ideological objectives, making the connection tenuous. </w:t>
      </w:r>
      <w:r w:rsidR="004D5494">
        <w:rPr>
          <w:rFonts w:ascii="Times New Roman" w:hAnsi="Times New Roman" w:cs="Times New Roman"/>
        </w:rPr>
        <w:t>A December 1978 CIA memorandum labels the primary unification tactics employed by Khomeini as student protests, random violence, and terrorism as directed by leaflets and tape recordings distributed through the mosque network.</w:t>
      </w:r>
      <w:r w:rsidR="004D5494">
        <w:rPr>
          <w:rStyle w:val="FootnoteReference"/>
          <w:rFonts w:ascii="Times New Roman" w:hAnsi="Times New Roman" w:cs="Times New Roman"/>
        </w:rPr>
        <w:footnoteReference w:id="24"/>
      </w:r>
      <w:r w:rsidR="000D74BF">
        <w:rPr>
          <w:rFonts w:ascii="Times New Roman" w:hAnsi="Times New Roman" w:cs="Times New Roman"/>
        </w:rPr>
        <w:t xml:space="preserve"> </w:t>
      </w:r>
      <w:r w:rsidR="00325307">
        <w:rPr>
          <w:rFonts w:ascii="Times New Roman" w:hAnsi="Times New Roman" w:cs="Times New Roman"/>
        </w:rPr>
        <w:t>Though not all of the opposition movement shared motives or direction, the Khomeini’s vague doctrine of beliefs was nonthreatening when compared to the Shah’s tyrannical rule, and his organizational capabilities enabled the movement to take more efficacious action.</w:t>
      </w:r>
    </w:p>
    <w:p w14:paraId="293795BA" w14:textId="248A7BB4" w:rsidR="003843F1" w:rsidRDefault="003843F1" w:rsidP="0048460A">
      <w:pPr>
        <w:spacing w:line="480" w:lineRule="auto"/>
        <w:rPr>
          <w:rFonts w:ascii="Times New Roman" w:hAnsi="Times New Roman" w:cs="Times New Roman"/>
        </w:rPr>
      </w:pPr>
      <w:r>
        <w:rPr>
          <w:rFonts w:ascii="Times New Roman" w:hAnsi="Times New Roman" w:cs="Times New Roman"/>
        </w:rPr>
        <w:tab/>
      </w:r>
      <w:r w:rsidR="002208A0">
        <w:rPr>
          <w:rFonts w:ascii="Times New Roman" w:hAnsi="Times New Roman" w:cs="Times New Roman"/>
        </w:rPr>
        <w:t xml:space="preserve">The movement continued until realizing its aim of deposing Mohammad Reza Shah on 16 January 1979, ending the Pahlavi Order and exiling Iran’s final monarch. Khomeini was </w:t>
      </w:r>
      <w:r w:rsidR="00654995">
        <w:rPr>
          <w:rFonts w:ascii="Times New Roman" w:hAnsi="Times New Roman" w:cs="Times New Roman"/>
        </w:rPr>
        <w:t xml:space="preserve">immediately </w:t>
      </w:r>
      <w:r w:rsidR="002208A0">
        <w:rPr>
          <w:rFonts w:ascii="Times New Roman" w:hAnsi="Times New Roman" w:cs="Times New Roman"/>
        </w:rPr>
        <w:t>welcomed back to Tehran</w:t>
      </w:r>
      <w:r w:rsidR="00654995">
        <w:rPr>
          <w:rFonts w:ascii="Times New Roman" w:hAnsi="Times New Roman" w:cs="Times New Roman"/>
        </w:rPr>
        <w:t>, at which point the royal regency was unseated, leaving no clear rule in the country. In a strategic gambit, Khomeini’s discourse quickly adopted the leftist egalitarian platform as a fixed component in his plan for an Islamic state, arguing that the revolution had been a war between the impoverished faithful and the capitalist infidels.</w:t>
      </w:r>
      <w:r w:rsidR="00654995">
        <w:rPr>
          <w:rStyle w:val="FootnoteReference"/>
          <w:rFonts w:ascii="Times New Roman" w:hAnsi="Times New Roman" w:cs="Times New Roman"/>
        </w:rPr>
        <w:footnoteReference w:id="25"/>
      </w:r>
      <w:r w:rsidR="001076CA">
        <w:rPr>
          <w:rFonts w:ascii="Times New Roman" w:hAnsi="Times New Roman" w:cs="Times New Roman"/>
        </w:rPr>
        <w:t xml:space="preserve"> </w:t>
      </w:r>
      <w:r w:rsidR="00221182">
        <w:rPr>
          <w:rFonts w:ascii="Times New Roman" w:hAnsi="Times New Roman" w:cs="Times New Roman"/>
        </w:rPr>
        <w:t xml:space="preserve">Now back in the political vacuum of Iran, Khomeini </w:t>
      </w:r>
      <w:r w:rsidR="00764922">
        <w:rPr>
          <w:rFonts w:ascii="Times New Roman" w:hAnsi="Times New Roman" w:cs="Times New Roman"/>
        </w:rPr>
        <w:t xml:space="preserve">began to more clearly define his intentions and </w:t>
      </w:r>
      <w:r w:rsidR="00764922">
        <w:rPr>
          <w:rFonts w:ascii="Times New Roman" w:hAnsi="Times New Roman" w:cs="Times New Roman"/>
        </w:rPr>
        <w:lastRenderedPageBreak/>
        <w:t>outline policies for his theocracy. The Islamic Republic was adopted in April of 1979, with Khomeini seated in the position of supreme leader.</w:t>
      </w:r>
    </w:p>
    <w:p w14:paraId="2B873473" w14:textId="5B07F8C6" w:rsidR="0013685B" w:rsidRDefault="0013685B" w:rsidP="0048460A">
      <w:pPr>
        <w:spacing w:line="480" w:lineRule="auto"/>
        <w:rPr>
          <w:rFonts w:ascii="Times New Roman" w:hAnsi="Times New Roman" w:cs="Times New Roman"/>
        </w:rPr>
      </w:pPr>
      <w:r>
        <w:rPr>
          <w:rFonts w:ascii="Times New Roman" w:hAnsi="Times New Roman" w:cs="Times New Roman"/>
        </w:rPr>
        <w:tab/>
      </w:r>
      <w:r w:rsidR="00455A4B">
        <w:rPr>
          <w:rFonts w:ascii="Times New Roman" w:hAnsi="Times New Roman" w:cs="Times New Roman"/>
        </w:rPr>
        <w:t>Khomeini’s brand of Islam soon became apparen</w:t>
      </w:r>
      <w:r w:rsidR="009F606A">
        <w:rPr>
          <w:rFonts w:ascii="Times New Roman" w:hAnsi="Times New Roman" w:cs="Times New Roman"/>
        </w:rPr>
        <w:t>t as he initiated his reforms. National and student publications covered Khomeini’s initiatives w</w:t>
      </w:r>
      <w:r w:rsidR="00C201D2">
        <w:rPr>
          <w:rFonts w:ascii="Times New Roman" w:hAnsi="Times New Roman" w:cs="Times New Roman"/>
        </w:rPr>
        <w:t>ith varied levels of support. Ka</w:t>
      </w:r>
      <w:r w:rsidR="009F606A">
        <w:rPr>
          <w:rFonts w:ascii="Times New Roman" w:hAnsi="Times New Roman" w:cs="Times New Roman"/>
        </w:rPr>
        <w:t>yhan, a conservative newspaper established in 1946 became the chief representation for the Supreme Leader. The front page of a</w:t>
      </w:r>
      <w:r w:rsidR="00BA0F88">
        <w:rPr>
          <w:rFonts w:ascii="Times New Roman" w:hAnsi="Times New Roman" w:cs="Times New Roman"/>
        </w:rPr>
        <w:t>n early</w:t>
      </w:r>
      <w:r w:rsidR="009F606A">
        <w:rPr>
          <w:rFonts w:ascii="Times New Roman" w:hAnsi="Times New Roman" w:cs="Times New Roman"/>
        </w:rPr>
        <w:t xml:space="preserve">1979 issue reads in part, “In an Islamic government, there is no dictatorship,” while simultaneously threatening an armed response </w:t>
      </w:r>
      <w:r w:rsidR="00F836AF">
        <w:rPr>
          <w:rFonts w:ascii="Times New Roman" w:hAnsi="Times New Roman" w:cs="Times New Roman"/>
        </w:rPr>
        <w:t xml:space="preserve">to </w:t>
      </w:r>
      <w:r w:rsidR="00053A8A">
        <w:rPr>
          <w:rFonts w:ascii="Times New Roman" w:hAnsi="Times New Roman" w:cs="Times New Roman"/>
        </w:rPr>
        <w:t>conflict</w:t>
      </w:r>
      <w:r w:rsidR="00F836AF">
        <w:rPr>
          <w:rFonts w:ascii="Times New Roman" w:hAnsi="Times New Roman" w:cs="Times New Roman"/>
        </w:rPr>
        <w:t xml:space="preserve"> against the Islamic Republic.</w:t>
      </w:r>
      <w:r w:rsidR="00BA0F88">
        <w:rPr>
          <w:rStyle w:val="FootnoteReference"/>
          <w:rFonts w:ascii="Times New Roman" w:hAnsi="Times New Roman" w:cs="Times New Roman"/>
        </w:rPr>
        <w:footnoteReference w:id="26"/>
      </w:r>
      <w:r w:rsidR="00BA0F88">
        <w:rPr>
          <w:rFonts w:ascii="Times New Roman" w:hAnsi="Times New Roman" w:cs="Times New Roman"/>
        </w:rPr>
        <w:t xml:space="preserve"> </w:t>
      </w:r>
      <w:r w:rsidR="003D2C7F">
        <w:rPr>
          <w:rFonts w:ascii="Times New Roman" w:hAnsi="Times New Roman" w:cs="Times New Roman"/>
        </w:rPr>
        <w:t xml:space="preserve">This was not an empty threat. On 5 May 1979, Khomeini founded the Islamic Revolutionary Guard Corps to consolidate his supporters, </w:t>
      </w:r>
      <w:r w:rsidR="00590F7F">
        <w:rPr>
          <w:rFonts w:ascii="Times New Roman" w:hAnsi="Times New Roman" w:cs="Times New Roman"/>
        </w:rPr>
        <w:t xml:space="preserve">replace the regular armed forces of the fallen monarchy, and defend his subsequent policies. The IRGC was also awarded the heraldry slogan, “Prepare against them what force you can,” in reference to the Quranic verse 8:60, which discusses defense against the enemies of Allah. </w:t>
      </w:r>
    </w:p>
    <w:p w14:paraId="5BDFBA64" w14:textId="76308F70" w:rsidR="00590F7F" w:rsidRDefault="000B117F" w:rsidP="0048460A">
      <w:pPr>
        <w:spacing w:line="480" w:lineRule="auto"/>
        <w:rPr>
          <w:rFonts w:ascii="Times New Roman" w:hAnsi="Times New Roman" w:cs="Times New Roman"/>
        </w:rPr>
      </w:pPr>
      <w:r>
        <w:rPr>
          <w:rFonts w:ascii="Times New Roman" w:hAnsi="Times New Roman" w:cs="Times New Roman"/>
        </w:rPr>
        <w:tab/>
        <w:t>In October of 1979, the New York Times published an interview with Khomeini in which he defends his Islamic Republic and reforms. When asked what shape his republic</w:t>
      </w:r>
      <w:r w:rsidR="007B7D28">
        <w:rPr>
          <w:rFonts w:ascii="Times New Roman" w:hAnsi="Times New Roman" w:cs="Times New Roman"/>
        </w:rPr>
        <w:t xml:space="preserve"> would take, Khomeini said, “To begin with, t</w:t>
      </w:r>
      <w:r>
        <w:rPr>
          <w:rFonts w:ascii="Times New Roman" w:hAnsi="Times New Roman" w:cs="Times New Roman"/>
        </w:rPr>
        <w:t>he word Islam does not need adjectives such as democratic… We cannot afford to have such an ambiguous concept placed in our Constitution.”</w:t>
      </w:r>
      <w:r>
        <w:rPr>
          <w:rStyle w:val="FootnoteReference"/>
          <w:rFonts w:ascii="Times New Roman" w:hAnsi="Times New Roman" w:cs="Times New Roman"/>
        </w:rPr>
        <w:footnoteReference w:id="27"/>
      </w:r>
      <w:r w:rsidR="007B7D28">
        <w:rPr>
          <w:rFonts w:ascii="Times New Roman" w:hAnsi="Times New Roman" w:cs="Times New Roman"/>
        </w:rPr>
        <w:t xml:space="preserve"> </w:t>
      </w:r>
      <w:r w:rsidR="005B0C37">
        <w:rPr>
          <w:rFonts w:ascii="Times New Roman" w:hAnsi="Times New Roman" w:cs="Times New Roman"/>
        </w:rPr>
        <w:t>Khomeini was asserting that his republic of the people under Islam was intended to support religious rule, and not civil freedoms. As the interview continued, he addressed the martial law and attacks and arrests on citizens found guilty of morality crimes, such as adultery and homosexuality. He stated, “In Islam we want to implement a policy to purify society, and in order to achieve this aim we must punish those who bring evil to our youth.”</w:t>
      </w:r>
      <w:r w:rsidR="005B0C37">
        <w:rPr>
          <w:rStyle w:val="FootnoteReference"/>
          <w:rFonts w:ascii="Times New Roman" w:hAnsi="Times New Roman" w:cs="Times New Roman"/>
        </w:rPr>
        <w:footnoteReference w:id="28"/>
      </w:r>
      <w:r w:rsidR="005B0C37">
        <w:rPr>
          <w:rFonts w:ascii="Times New Roman" w:hAnsi="Times New Roman" w:cs="Times New Roman"/>
        </w:rPr>
        <w:t xml:space="preserve"> </w:t>
      </w:r>
      <w:r w:rsidR="00B91B6D">
        <w:rPr>
          <w:rFonts w:ascii="Times New Roman" w:hAnsi="Times New Roman" w:cs="Times New Roman"/>
        </w:rPr>
        <w:t xml:space="preserve">His vague staging of the regime had </w:t>
      </w:r>
      <w:r w:rsidR="00B91B6D">
        <w:rPr>
          <w:rFonts w:ascii="Times New Roman" w:hAnsi="Times New Roman" w:cs="Times New Roman"/>
        </w:rPr>
        <w:lastRenderedPageBreak/>
        <w:t xml:space="preserve">allowed him a status in which he, as Supreme Leader, and other clergy, as students and teachers of Islam, could </w:t>
      </w:r>
      <w:r w:rsidR="00451CA6">
        <w:rPr>
          <w:rFonts w:ascii="Times New Roman" w:hAnsi="Times New Roman" w:cs="Times New Roman"/>
        </w:rPr>
        <w:t xml:space="preserve">interpret the laws of Islam </w:t>
      </w:r>
      <w:r w:rsidR="00321A39">
        <w:rPr>
          <w:rFonts w:ascii="Times New Roman" w:hAnsi="Times New Roman" w:cs="Times New Roman"/>
        </w:rPr>
        <w:t>and deliver rulings with impunity</w:t>
      </w:r>
      <w:r w:rsidR="00451CA6">
        <w:rPr>
          <w:rFonts w:ascii="Times New Roman" w:hAnsi="Times New Roman" w:cs="Times New Roman"/>
        </w:rPr>
        <w:t>.</w:t>
      </w:r>
    </w:p>
    <w:p w14:paraId="33F00892" w14:textId="1767CFFF" w:rsidR="00C36364" w:rsidRDefault="00C36364" w:rsidP="0048460A">
      <w:pPr>
        <w:spacing w:line="480" w:lineRule="auto"/>
        <w:rPr>
          <w:rFonts w:ascii="Times New Roman" w:hAnsi="Times New Roman" w:cs="Times New Roman"/>
        </w:rPr>
      </w:pPr>
      <w:r>
        <w:rPr>
          <w:rFonts w:ascii="Times New Roman" w:hAnsi="Times New Roman" w:cs="Times New Roman"/>
        </w:rPr>
        <w:tab/>
        <w:t xml:space="preserve">At the onset of the Iran-Iraq War in 1980, the IRI was still weak and the IRGC was inexperienced in formal combat, and did not have sufficient manpower. Khomeini relied on the unwavering loyalty of his nascent military, and was concerned that </w:t>
      </w:r>
      <w:r w:rsidR="00AD62FD">
        <w:rPr>
          <w:rFonts w:ascii="Times New Roman" w:hAnsi="Times New Roman" w:cs="Times New Roman"/>
        </w:rPr>
        <w:t>full-scale</w:t>
      </w:r>
      <w:r>
        <w:rPr>
          <w:rFonts w:ascii="Times New Roman" w:hAnsi="Times New Roman" w:cs="Times New Roman"/>
        </w:rPr>
        <w:t xml:space="preserve"> mobilization or mass conscription could risk this relationship.</w:t>
      </w:r>
      <w:r>
        <w:rPr>
          <w:rStyle w:val="FootnoteReference"/>
          <w:rFonts w:ascii="Times New Roman" w:hAnsi="Times New Roman" w:cs="Times New Roman"/>
        </w:rPr>
        <w:footnoteReference w:id="29"/>
      </w:r>
      <w:r>
        <w:rPr>
          <w:rFonts w:ascii="Times New Roman" w:hAnsi="Times New Roman" w:cs="Times New Roman"/>
        </w:rPr>
        <w:t xml:space="preserve"> </w:t>
      </w:r>
      <w:r w:rsidR="00D15456">
        <w:rPr>
          <w:rFonts w:ascii="Times New Roman" w:hAnsi="Times New Roman" w:cs="Times New Roman"/>
        </w:rPr>
        <w:t>At this point, the Basij had a role most similar to Mohammad Reza Shah’s SAVAK, and were not adequately prepared for participation in a war. The Basij had 2.5 million members in 1983, but less than 20% had received military training, and they were instead used primarily as domestic security forces, aimed at suppressing opposition to the IRI and arresting citizens for morality crimes.</w:t>
      </w:r>
      <w:r w:rsidR="00D15456">
        <w:rPr>
          <w:rStyle w:val="FootnoteReference"/>
          <w:rFonts w:ascii="Times New Roman" w:hAnsi="Times New Roman" w:cs="Times New Roman"/>
        </w:rPr>
        <w:footnoteReference w:id="30"/>
      </w:r>
      <w:r w:rsidR="00C23073">
        <w:rPr>
          <w:rFonts w:ascii="Times New Roman" w:hAnsi="Times New Roman" w:cs="Times New Roman"/>
        </w:rPr>
        <w:t xml:space="preserve"> As the situation with Iraq worsened, more emphasis was placed on training and recruiting Basij. IRGC and Basij forces had a more stringent screening process than regular conscripted military, and were recruited through mosques with written recommendations from clergy based on their ideological bel</w:t>
      </w:r>
      <w:r w:rsidR="00682E5A">
        <w:rPr>
          <w:rFonts w:ascii="Times New Roman" w:hAnsi="Times New Roman" w:cs="Times New Roman"/>
        </w:rPr>
        <w:t>iefs.</w:t>
      </w:r>
      <w:r w:rsidR="00682E5A">
        <w:rPr>
          <w:rStyle w:val="FootnoteReference"/>
          <w:rFonts w:ascii="Times New Roman" w:hAnsi="Times New Roman" w:cs="Times New Roman"/>
        </w:rPr>
        <w:footnoteReference w:id="31"/>
      </w:r>
    </w:p>
    <w:p w14:paraId="12E17B47" w14:textId="2D9F97F3" w:rsidR="00923C25" w:rsidRDefault="00923C25" w:rsidP="0048460A">
      <w:pPr>
        <w:spacing w:line="480" w:lineRule="auto"/>
        <w:rPr>
          <w:rFonts w:ascii="Times New Roman" w:hAnsi="Times New Roman" w:cs="Times New Roman"/>
        </w:rPr>
      </w:pPr>
      <w:r>
        <w:rPr>
          <w:rFonts w:ascii="Times New Roman" w:hAnsi="Times New Roman" w:cs="Times New Roman"/>
        </w:rPr>
        <w:tab/>
        <w:t>By 1987, hardened by nearly a decade of war, the Basij had become an elite fighting force. Clerical indoctrination, improved training centers, and weapons acquisition convinced the United States that Basij were prepared and likely to carry on Khomeini’s ideology after his death.</w:t>
      </w:r>
      <w:r>
        <w:rPr>
          <w:rStyle w:val="FootnoteReference"/>
          <w:rFonts w:ascii="Times New Roman" w:hAnsi="Times New Roman" w:cs="Times New Roman"/>
        </w:rPr>
        <w:footnoteReference w:id="32"/>
      </w:r>
      <w:r>
        <w:rPr>
          <w:rFonts w:ascii="Times New Roman" w:hAnsi="Times New Roman" w:cs="Times New Roman"/>
        </w:rPr>
        <w:t xml:space="preserve"> Beneath the Basij, other official organizations were put in place to police the public. Komitehs, representative of the autonomous mosque network, and Qazi, judicial police, now had established patrols in the public sphere to ensure conformity and adherence to </w:t>
      </w:r>
      <w:r w:rsidR="008E447C">
        <w:rPr>
          <w:rFonts w:ascii="Times New Roman" w:hAnsi="Times New Roman" w:cs="Times New Roman"/>
        </w:rPr>
        <w:t>religious law.</w:t>
      </w:r>
      <w:r w:rsidR="008E447C">
        <w:rPr>
          <w:rStyle w:val="FootnoteReference"/>
          <w:rFonts w:ascii="Times New Roman" w:hAnsi="Times New Roman" w:cs="Times New Roman"/>
        </w:rPr>
        <w:footnoteReference w:id="33"/>
      </w:r>
      <w:r w:rsidR="00A82A39">
        <w:rPr>
          <w:rFonts w:ascii="Times New Roman" w:hAnsi="Times New Roman" w:cs="Times New Roman"/>
        </w:rPr>
        <w:t xml:space="preserve"> </w:t>
      </w:r>
      <w:r w:rsidR="00A82A39">
        <w:rPr>
          <w:rFonts w:ascii="Times New Roman" w:hAnsi="Times New Roman" w:cs="Times New Roman"/>
        </w:rPr>
        <w:lastRenderedPageBreak/>
        <w:t>This strengthened the role of mullahs, low-level clergy, who had now been given judiciary and political roles in their communities.</w:t>
      </w:r>
    </w:p>
    <w:p w14:paraId="3FE8DB65" w14:textId="2B6359F1" w:rsidR="00271477" w:rsidRDefault="00271477" w:rsidP="0048460A">
      <w:pPr>
        <w:spacing w:line="480" w:lineRule="auto"/>
        <w:rPr>
          <w:rFonts w:ascii="Times New Roman" w:hAnsi="Times New Roman" w:cs="Times New Roman"/>
        </w:rPr>
      </w:pPr>
      <w:r>
        <w:rPr>
          <w:rFonts w:ascii="Times New Roman" w:hAnsi="Times New Roman" w:cs="Times New Roman"/>
        </w:rPr>
        <w:tab/>
        <w:t xml:space="preserve">The Islamic Republic emerged from the war with a strong, but malleable framework and defensible constitution. Khomeini devised a government that served his purposes, to depose the shah and </w:t>
      </w:r>
      <w:r w:rsidR="005A232F">
        <w:rPr>
          <w:rFonts w:ascii="Times New Roman" w:hAnsi="Times New Roman" w:cs="Times New Roman"/>
        </w:rPr>
        <w:t xml:space="preserve">grant religious leader’s tangible political power. His Islamic Guard and clerical support helped to enforce this vision, but perhaps more importantly, they were left in power of a fluid, interpretative system after Khomeini’s death. However, the people, particularly religious or leftist minorities, were in a familiar situation marked by suppression with limited civil and democratic liberties. Khomeini’s use of Islam as an intellectual crafted a polity suited to dictatorial rule, better defended than that of the Pahlavi Order through the extensive mosque network, heavily Islamic Majles, and IRGC. </w:t>
      </w:r>
    </w:p>
    <w:p w14:paraId="1443A198" w14:textId="77777777" w:rsidR="001131D9" w:rsidRDefault="001131D9" w:rsidP="0048460A">
      <w:pPr>
        <w:spacing w:line="480" w:lineRule="auto"/>
        <w:rPr>
          <w:rFonts w:ascii="Times New Roman" w:hAnsi="Times New Roman" w:cs="Times New Roman"/>
        </w:rPr>
      </w:pPr>
    </w:p>
    <w:p w14:paraId="019B03C3" w14:textId="77777777" w:rsidR="001131D9" w:rsidRDefault="001131D9" w:rsidP="0048460A">
      <w:pPr>
        <w:spacing w:line="480" w:lineRule="auto"/>
        <w:rPr>
          <w:rFonts w:ascii="Times New Roman" w:hAnsi="Times New Roman" w:cs="Times New Roman"/>
        </w:rPr>
      </w:pPr>
    </w:p>
    <w:p w14:paraId="32EC0484" w14:textId="77777777" w:rsidR="001131D9" w:rsidRDefault="001131D9" w:rsidP="0048460A">
      <w:pPr>
        <w:spacing w:line="480" w:lineRule="auto"/>
        <w:rPr>
          <w:rFonts w:ascii="Times New Roman" w:hAnsi="Times New Roman" w:cs="Times New Roman"/>
        </w:rPr>
      </w:pPr>
    </w:p>
    <w:p w14:paraId="23760A08" w14:textId="77777777" w:rsidR="001131D9" w:rsidRDefault="001131D9" w:rsidP="0048460A">
      <w:pPr>
        <w:spacing w:line="480" w:lineRule="auto"/>
        <w:rPr>
          <w:rFonts w:ascii="Times New Roman" w:hAnsi="Times New Roman" w:cs="Times New Roman"/>
        </w:rPr>
      </w:pPr>
    </w:p>
    <w:p w14:paraId="026B9E3A" w14:textId="77777777" w:rsidR="001131D9" w:rsidRDefault="001131D9" w:rsidP="0048460A">
      <w:pPr>
        <w:spacing w:line="480" w:lineRule="auto"/>
        <w:rPr>
          <w:rFonts w:ascii="Times New Roman" w:hAnsi="Times New Roman" w:cs="Times New Roman"/>
        </w:rPr>
      </w:pPr>
    </w:p>
    <w:p w14:paraId="75A1D392" w14:textId="77777777" w:rsidR="001131D9" w:rsidRDefault="001131D9" w:rsidP="0048460A">
      <w:pPr>
        <w:spacing w:line="480" w:lineRule="auto"/>
        <w:rPr>
          <w:rFonts w:ascii="Times New Roman" w:hAnsi="Times New Roman" w:cs="Times New Roman"/>
        </w:rPr>
      </w:pPr>
    </w:p>
    <w:p w14:paraId="5C3E8EF3" w14:textId="77777777" w:rsidR="001131D9" w:rsidRDefault="001131D9" w:rsidP="0048460A">
      <w:pPr>
        <w:spacing w:line="480" w:lineRule="auto"/>
        <w:rPr>
          <w:rFonts w:ascii="Times New Roman" w:hAnsi="Times New Roman" w:cs="Times New Roman"/>
        </w:rPr>
      </w:pPr>
    </w:p>
    <w:p w14:paraId="66FEDFA9" w14:textId="77777777" w:rsidR="001131D9" w:rsidRDefault="001131D9" w:rsidP="0048460A">
      <w:pPr>
        <w:spacing w:line="480" w:lineRule="auto"/>
        <w:rPr>
          <w:rFonts w:ascii="Times New Roman" w:hAnsi="Times New Roman" w:cs="Times New Roman"/>
        </w:rPr>
      </w:pPr>
    </w:p>
    <w:p w14:paraId="5AD73900" w14:textId="77777777" w:rsidR="001131D9" w:rsidRDefault="001131D9" w:rsidP="0048460A">
      <w:pPr>
        <w:spacing w:line="480" w:lineRule="auto"/>
        <w:rPr>
          <w:rFonts w:ascii="Times New Roman" w:hAnsi="Times New Roman" w:cs="Times New Roman"/>
        </w:rPr>
      </w:pPr>
    </w:p>
    <w:p w14:paraId="0DB29057" w14:textId="77777777" w:rsidR="001131D9" w:rsidRDefault="001131D9" w:rsidP="0048460A">
      <w:pPr>
        <w:spacing w:line="480" w:lineRule="auto"/>
        <w:rPr>
          <w:rFonts w:ascii="Times New Roman" w:hAnsi="Times New Roman" w:cs="Times New Roman"/>
        </w:rPr>
      </w:pPr>
    </w:p>
    <w:p w14:paraId="16581D32" w14:textId="77777777" w:rsidR="001131D9" w:rsidRDefault="001131D9" w:rsidP="0048460A">
      <w:pPr>
        <w:spacing w:line="480" w:lineRule="auto"/>
        <w:rPr>
          <w:rFonts w:ascii="Times New Roman" w:hAnsi="Times New Roman" w:cs="Times New Roman"/>
        </w:rPr>
      </w:pPr>
    </w:p>
    <w:p w14:paraId="4D64B47F" w14:textId="77777777" w:rsidR="001131D9" w:rsidRDefault="001131D9" w:rsidP="0048460A">
      <w:pPr>
        <w:spacing w:line="480" w:lineRule="auto"/>
        <w:rPr>
          <w:rFonts w:ascii="Times New Roman" w:hAnsi="Times New Roman" w:cs="Times New Roman"/>
        </w:rPr>
      </w:pPr>
    </w:p>
    <w:p w14:paraId="2B6D41DB" w14:textId="01AF502E" w:rsidR="001131D9" w:rsidRDefault="001131D9" w:rsidP="001131D9">
      <w:pPr>
        <w:spacing w:line="480" w:lineRule="auto"/>
        <w:jc w:val="center"/>
        <w:rPr>
          <w:rFonts w:ascii="Times New Roman" w:hAnsi="Times New Roman" w:cs="Times New Roman"/>
          <w:u w:val="single"/>
        </w:rPr>
      </w:pPr>
      <w:r>
        <w:rPr>
          <w:rFonts w:ascii="Times New Roman" w:hAnsi="Times New Roman" w:cs="Times New Roman"/>
          <w:u w:val="single"/>
        </w:rPr>
        <w:lastRenderedPageBreak/>
        <w:t>Works Cited</w:t>
      </w:r>
    </w:p>
    <w:p w14:paraId="1984409C" w14:textId="77777777" w:rsidR="001131D9" w:rsidRPr="001131D9" w:rsidRDefault="001131D9" w:rsidP="001131D9">
      <w:pPr>
        <w:spacing w:line="480" w:lineRule="auto"/>
        <w:rPr>
          <w:rFonts w:ascii="Times New Roman" w:hAnsi="Times New Roman" w:cs="Times New Roman"/>
          <w:u w:val="single"/>
        </w:rPr>
      </w:pPr>
    </w:p>
    <w:p w14:paraId="3E101491" w14:textId="77777777" w:rsidR="00FC0A47" w:rsidRDefault="00FC0A47" w:rsidP="00FC0A47">
      <w:pPr>
        <w:rPr>
          <w:rFonts w:ascii="Times New Roman" w:hAnsi="Times New Roman" w:cs="Times New Roman"/>
        </w:rPr>
      </w:pPr>
      <w:r>
        <w:rPr>
          <w:rFonts w:ascii="Times New Roman" w:hAnsi="Times New Roman" w:cs="Times New Roman"/>
        </w:rPr>
        <w:t xml:space="preserve">Amanat, Abbas, </w:t>
      </w:r>
      <w:r>
        <w:rPr>
          <w:rFonts w:ascii="Times New Roman" w:hAnsi="Times New Roman" w:cs="Times New Roman"/>
          <w:i/>
        </w:rPr>
        <w:t>Iran: A Modern History,</w:t>
      </w:r>
      <w:r>
        <w:rPr>
          <w:rFonts w:ascii="Times New Roman" w:hAnsi="Times New Roman" w:cs="Times New Roman"/>
        </w:rPr>
        <w:t xml:space="preserve"> (Yale University Press, 2017)</w:t>
      </w:r>
    </w:p>
    <w:p w14:paraId="09F1C257" w14:textId="77777777" w:rsidR="00FC0A47" w:rsidRDefault="00FC0A47" w:rsidP="00FC0A47">
      <w:pPr>
        <w:rPr>
          <w:rFonts w:ascii="Times New Roman" w:hAnsi="Times New Roman" w:cs="Times New Roman"/>
        </w:rPr>
      </w:pPr>
    </w:p>
    <w:p w14:paraId="71173DF4" w14:textId="77777777" w:rsidR="00FC0A47" w:rsidRDefault="00FC0A47" w:rsidP="00FC0A47">
      <w:pPr>
        <w:rPr>
          <w:rFonts w:ascii="Times New Roman" w:hAnsi="Times New Roman" w:cs="Times New Roman"/>
        </w:rPr>
      </w:pPr>
      <w:r>
        <w:rPr>
          <w:rFonts w:ascii="Times New Roman" w:hAnsi="Times New Roman" w:cs="Times New Roman"/>
        </w:rPr>
        <w:t xml:space="preserve">Ciasc, Rustin-Petru, “From the White Revolution to the Islamic Revolution – The Social, </w:t>
      </w:r>
    </w:p>
    <w:p w14:paraId="4B977F15" w14:textId="77777777" w:rsidR="00FC0A47" w:rsidRDefault="00FC0A47" w:rsidP="00FC0A47">
      <w:pPr>
        <w:ind w:firstLine="720"/>
        <w:rPr>
          <w:rFonts w:ascii="Times New Roman" w:hAnsi="Times New Roman" w:cs="Times New Roman"/>
        </w:rPr>
      </w:pPr>
      <w:r>
        <w:rPr>
          <w:rFonts w:ascii="Times New Roman" w:hAnsi="Times New Roman" w:cs="Times New Roman"/>
        </w:rPr>
        <w:t xml:space="preserve">Economic, Legal, and Religious Context that Led to the Fall of Monarchy in Iran,” in </w:t>
      </w:r>
    </w:p>
    <w:p w14:paraId="1AB937E8" w14:textId="0DF31536" w:rsidR="00FC0A47" w:rsidRDefault="00FC0A47" w:rsidP="00FC0A47">
      <w:pPr>
        <w:ind w:left="720"/>
        <w:rPr>
          <w:rFonts w:ascii="Times New Roman" w:hAnsi="Times New Roman" w:cs="Times New Roman"/>
        </w:rPr>
      </w:pPr>
      <w:r>
        <w:rPr>
          <w:rFonts w:ascii="Times New Roman" w:hAnsi="Times New Roman" w:cs="Times New Roman"/>
          <w:i/>
        </w:rPr>
        <w:t xml:space="preserve">Cogito: Multidisciplinary Research Journal, </w:t>
      </w:r>
      <w:r>
        <w:rPr>
          <w:rFonts w:ascii="Times New Roman" w:hAnsi="Times New Roman" w:cs="Times New Roman"/>
        </w:rPr>
        <w:t>Vol. 5, No. 2 ((Dimitre Cantemir Christian University, 2013), pp. 58-62)</w:t>
      </w:r>
    </w:p>
    <w:p w14:paraId="4EA290E1" w14:textId="77777777" w:rsidR="00FC0A47" w:rsidRDefault="00FC0A47" w:rsidP="00FC0A47">
      <w:pPr>
        <w:rPr>
          <w:rFonts w:ascii="Times New Roman" w:hAnsi="Times New Roman" w:cs="Times New Roman"/>
        </w:rPr>
      </w:pPr>
    </w:p>
    <w:p w14:paraId="4D9CDA29" w14:textId="77777777" w:rsidR="00FC0A47" w:rsidRDefault="00FC0A47" w:rsidP="00FC0A47">
      <w:pPr>
        <w:rPr>
          <w:rFonts w:ascii="Times New Roman" w:hAnsi="Times New Roman" w:cs="Times New Roman"/>
        </w:rPr>
      </w:pPr>
      <w:r>
        <w:rPr>
          <w:rFonts w:ascii="Times New Roman" w:hAnsi="Times New Roman" w:cs="Times New Roman"/>
        </w:rPr>
        <w:t>CIA, “ Iran: Military Manpower Problems Limit War Options,” October 1983</w:t>
      </w:r>
    </w:p>
    <w:p w14:paraId="156A293E" w14:textId="77777777" w:rsidR="00FC0A47" w:rsidRDefault="00FC0A47" w:rsidP="00FC0A47">
      <w:pPr>
        <w:rPr>
          <w:rFonts w:ascii="Times New Roman" w:hAnsi="Times New Roman" w:cs="Times New Roman"/>
        </w:rPr>
      </w:pPr>
    </w:p>
    <w:p w14:paraId="24BCFAE7" w14:textId="77777777" w:rsidR="00FC0A47" w:rsidRDefault="00FC0A47" w:rsidP="00FC0A47">
      <w:pPr>
        <w:rPr>
          <w:rFonts w:ascii="Times New Roman" w:hAnsi="Times New Roman" w:cs="Times New Roman"/>
        </w:rPr>
      </w:pPr>
      <w:r>
        <w:rPr>
          <w:rFonts w:ascii="Times New Roman" w:hAnsi="Times New Roman" w:cs="Times New Roman"/>
        </w:rPr>
        <w:t>CIA, “Iran’s Revolutionary Guard: Armed Pillar of the Islamic Republic,” January 1987</w:t>
      </w:r>
    </w:p>
    <w:p w14:paraId="00F23F6C" w14:textId="77777777" w:rsidR="00FC0A47" w:rsidRDefault="00FC0A47" w:rsidP="00FC0A47">
      <w:pPr>
        <w:rPr>
          <w:rFonts w:ascii="Times New Roman" w:hAnsi="Times New Roman" w:cs="Times New Roman"/>
        </w:rPr>
      </w:pPr>
    </w:p>
    <w:p w14:paraId="6877BAFE" w14:textId="77777777" w:rsidR="00FC0A47" w:rsidRDefault="00FC0A47" w:rsidP="00FC0A47">
      <w:pPr>
        <w:rPr>
          <w:rFonts w:ascii="Times New Roman" w:hAnsi="Times New Roman" w:cs="Times New Roman"/>
        </w:rPr>
      </w:pPr>
      <w:r>
        <w:rPr>
          <w:rFonts w:ascii="Times New Roman" w:hAnsi="Times New Roman" w:cs="Times New Roman"/>
        </w:rPr>
        <w:t>CIA, “Memorandum: Opposition Operations in Iran: Leadership, Organization, and Tactics,” 21 December 1978</w:t>
      </w:r>
    </w:p>
    <w:p w14:paraId="544D9B48" w14:textId="77777777" w:rsidR="00FC0A47" w:rsidRDefault="00FC0A47" w:rsidP="00FC0A47">
      <w:pPr>
        <w:rPr>
          <w:rFonts w:ascii="Times New Roman" w:hAnsi="Times New Roman" w:cs="Times New Roman"/>
        </w:rPr>
      </w:pPr>
    </w:p>
    <w:p w14:paraId="404B0BDF" w14:textId="77777777" w:rsidR="00FC0A47" w:rsidRDefault="00FC0A47" w:rsidP="00FC0A47">
      <w:pPr>
        <w:rPr>
          <w:rFonts w:ascii="Times New Roman" w:hAnsi="Times New Roman" w:cs="Times New Roman"/>
        </w:rPr>
      </w:pPr>
      <w:r>
        <w:rPr>
          <w:rFonts w:ascii="Times New Roman" w:hAnsi="Times New Roman" w:cs="Times New Roman"/>
        </w:rPr>
        <w:t>CIA, “Memorandum: The Politics of Ruhollah Khomeini,” 20 November 1978</w:t>
      </w:r>
    </w:p>
    <w:p w14:paraId="1A134760" w14:textId="77777777" w:rsidR="00FC0A47" w:rsidRDefault="00FC0A47" w:rsidP="00FC0A47">
      <w:pPr>
        <w:rPr>
          <w:rFonts w:ascii="Times New Roman" w:hAnsi="Times New Roman" w:cs="Times New Roman"/>
        </w:rPr>
      </w:pPr>
    </w:p>
    <w:p w14:paraId="70A5EDC9" w14:textId="77777777" w:rsidR="00FC0A47" w:rsidRDefault="00FC0A47" w:rsidP="00FC0A47">
      <w:pPr>
        <w:rPr>
          <w:rFonts w:ascii="Times New Roman" w:hAnsi="Times New Roman" w:cs="Times New Roman"/>
        </w:rPr>
      </w:pPr>
      <w:r>
        <w:rPr>
          <w:rFonts w:ascii="Times New Roman" w:hAnsi="Times New Roman" w:cs="Times New Roman"/>
        </w:rPr>
        <w:t xml:space="preserve">Fallaci, Oriana, “An Interview with Khomeini,” in </w:t>
      </w:r>
      <w:r>
        <w:rPr>
          <w:rFonts w:ascii="Times New Roman" w:hAnsi="Times New Roman" w:cs="Times New Roman"/>
          <w:i/>
        </w:rPr>
        <w:t>The New York Times</w:t>
      </w:r>
      <w:r>
        <w:rPr>
          <w:rFonts w:ascii="Times New Roman" w:hAnsi="Times New Roman" w:cs="Times New Roman"/>
        </w:rPr>
        <w:t xml:space="preserve"> (7 October 1979)</w:t>
      </w:r>
    </w:p>
    <w:p w14:paraId="28A035E7" w14:textId="77777777" w:rsidR="00FC0A47" w:rsidRDefault="00FC0A47" w:rsidP="00FC0A47">
      <w:pPr>
        <w:rPr>
          <w:rFonts w:ascii="Times New Roman" w:hAnsi="Times New Roman" w:cs="Times New Roman"/>
        </w:rPr>
      </w:pPr>
    </w:p>
    <w:p w14:paraId="41815E28" w14:textId="77777777" w:rsidR="00FC0A47" w:rsidRDefault="00FC0A47" w:rsidP="00FC0A47">
      <w:pPr>
        <w:rPr>
          <w:rFonts w:ascii="Times New Roman" w:hAnsi="Times New Roman" w:cs="Times New Roman"/>
        </w:rPr>
      </w:pPr>
      <w:r>
        <w:rPr>
          <w:rFonts w:ascii="Times New Roman" w:hAnsi="Times New Roman" w:cs="Times New Roman"/>
        </w:rPr>
        <w:t xml:space="preserve">Federal Research Division, </w:t>
      </w:r>
      <w:r>
        <w:rPr>
          <w:rFonts w:ascii="Times New Roman" w:hAnsi="Times New Roman" w:cs="Times New Roman"/>
          <w:i/>
        </w:rPr>
        <w:t xml:space="preserve">Iran: A Country Study, </w:t>
      </w:r>
      <w:r>
        <w:rPr>
          <w:rFonts w:ascii="Times New Roman" w:hAnsi="Times New Roman" w:cs="Times New Roman"/>
        </w:rPr>
        <w:t xml:space="preserve">ed. by Glenn E. Curtis and Eric Hooglund, </w:t>
      </w:r>
    </w:p>
    <w:p w14:paraId="25409864" w14:textId="1B05FE73" w:rsidR="00FC0A47" w:rsidRDefault="00FC0A47" w:rsidP="00FC0A47">
      <w:pPr>
        <w:ind w:firstLine="720"/>
        <w:rPr>
          <w:rFonts w:ascii="Times New Roman" w:hAnsi="Times New Roman" w:cs="Times New Roman"/>
        </w:rPr>
      </w:pPr>
      <w:r>
        <w:rPr>
          <w:rFonts w:ascii="Times New Roman" w:hAnsi="Times New Roman" w:cs="Times New Roman"/>
        </w:rPr>
        <w:t>(Library of Congress, 2008)</w:t>
      </w:r>
    </w:p>
    <w:p w14:paraId="3A22F405" w14:textId="77777777" w:rsidR="00FC0A47" w:rsidRDefault="00FC0A47" w:rsidP="00FC0A47">
      <w:pPr>
        <w:rPr>
          <w:rFonts w:ascii="Times New Roman" w:hAnsi="Times New Roman" w:cs="Times New Roman"/>
        </w:rPr>
      </w:pPr>
    </w:p>
    <w:p w14:paraId="4FFF340E" w14:textId="77777777" w:rsidR="00FC0A47" w:rsidRDefault="00FC0A47" w:rsidP="00FC0A47">
      <w:pPr>
        <w:rPr>
          <w:rFonts w:ascii="Times New Roman" w:hAnsi="Times New Roman" w:cs="Times New Roman"/>
        </w:rPr>
      </w:pPr>
      <w:r>
        <w:rPr>
          <w:rFonts w:ascii="Times New Roman" w:hAnsi="Times New Roman" w:cs="Times New Roman"/>
        </w:rPr>
        <w:t xml:space="preserve">Goldstein, Warren S., “Secularization and the Iranian Revolution,” in </w:t>
      </w:r>
      <w:r>
        <w:rPr>
          <w:rFonts w:ascii="Times New Roman" w:hAnsi="Times New Roman" w:cs="Times New Roman"/>
          <w:i/>
        </w:rPr>
        <w:t xml:space="preserve">Islamic Perspective, </w:t>
      </w:r>
      <w:r>
        <w:rPr>
          <w:rFonts w:ascii="Times New Roman" w:hAnsi="Times New Roman" w:cs="Times New Roman"/>
        </w:rPr>
        <w:t xml:space="preserve">No. 3 </w:t>
      </w:r>
    </w:p>
    <w:p w14:paraId="69F8266D" w14:textId="0C7CD25C" w:rsidR="00FC0A47" w:rsidRDefault="00FC0A47" w:rsidP="00FC0A47">
      <w:pPr>
        <w:ind w:firstLine="720"/>
        <w:rPr>
          <w:rFonts w:ascii="Times New Roman" w:hAnsi="Times New Roman" w:cs="Times New Roman"/>
        </w:rPr>
      </w:pPr>
      <w:r>
        <w:rPr>
          <w:rFonts w:ascii="Times New Roman" w:hAnsi="Times New Roman" w:cs="Times New Roman"/>
        </w:rPr>
        <w:t>(Islamic Perspective Center for Sociological Studies, 2010)</w:t>
      </w:r>
    </w:p>
    <w:p w14:paraId="6FE70FCB" w14:textId="77777777" w:rsidR="00FC0A47" w:rsidRDefault="00FC0A47" w:rsidP="00FC0A47">
      <w:pPr>
        <w:rPr>
          <w:rFonts w:ascii="Times New Roman" w:hAnsi="Times New Roman" w:cs="Times New Roman"/>
        </w:rPr>
      </w:pPr>
    </w:p>
    <w:p w14:paraId="2B9EBBA9" w14:textId="77777777" w:rsidR="00FC0A47" w:rsidRDefault="00FC0A47" w:rsidP="00FC0A47">
      <w:pPr>
        <w:rPr>
          <w:rFonts w:ascii="Times New Roman" w:hAnsi="Times New Roman" w:cs="Times New Roman"/>
        </w:rPr>
      </w:pPr>
      <w:r>
        <w:rPr>
          <w:rFonts w:ascii="Times New Roman" w:hAnsi="Times New Roman" w:cs="Times New Roman"/>
        </w:rPr>
        <w:t xml:space="preserve">Hossainzadeh, Nura, “Ruhollah Khomeini’s Political Thought: Elements of Guardianship, </w:t>
      </w:r>
    </w:p>
    <w:p w14:paraId="14AE79DD" w14:textId="77777777" w:rsidR="00FC0A47" w:rsidRDefault="00FC0A47" w:rsidP="00FC0A47">
      <w:pPr>
        <w:ind w:firstLine="720"/>
        <w:rPr>
          <w:rFonts w:ascii="Times New Roman" w:hAnsi="Times New Roman" w:cs="Times New Roman"/>
        </w:rPr>
      </w:pPr>
      <w:r>
        <w:rPr>
          <w:rFonts w:ascii="Times New Roman" w:hAnsi="Times New Roman" w:cs="Times New Roman"/>
        </w:rPr>
        <w:t xml:space="preserve">Consent, and Representative Government,” in </w:t>
      </w:r>
      <w:r>
        <w:rPr>
          <w:rFonts w:ascii="Times New Roman" w:hAnsi="Times New Roman" w:cs="Times New Roman"/>
          <w:i/>
        </w:rPr>
        <w:t xml:space="preserve">Journal of Shi’a Islamic Studies, </w:t>
      </w:r>
      <w:r>
        <w:rPr>
          <w:rFonts w:ascii="Times New Roman" w:hAnsi="Times New Roman" w:cs="Times New Roman"/>
        </w:rPr>
        <w:t xml:space="preserve">Vol. 7, </w:t>
      </w:r>
    </w:p>
    <w:p w14:paraId="0E55C3AE" w14:textId="0485CFAE" w:rsidR="00FC0A47" w:rsidRDefault="00FC0A47" w:rsidP="00FC0A47">
      <w:pPr>
        <w:ind w:firstLine="720"/>
        <w:rPr>
          <w:rFonts w:ascii="Times New Roman" w:hAnsi="Times New Roman" w:cs="Times New Roman"/>
        </w:rPr>
      </w:pPr>
      <w:r>
        <w:rPr>
          <w:rFonts w:ascii="Times New Roman" w:hAnsi="Times New Roman" w:cs="Times New Roman"/>
        </w:rPr>
        <w:t>No. 2, ((ICAS Press, 2014), pp. 129-150)</w:t>
      </w:r>
    </w:p>
    <w:p w14:paraId="0B40911A" w14:textId="77777777" w:rsidR="00FC0A47" w:rsidRDefault="00FC0A47" w:rsidP="00FC0A47">
      <w:pPr>
        <w:rPr>
          <w:rFonts w:ascii="Times New Roman" w:hAnsi="Times New Roman" w:cs="Times New Roman"/>
        </w:rPr>
      </w:pPr>
    </w:p>
    <w:p w14:paraId="3B2825CF" w14:textId="77777777" w:rsidR="00FC0A47" w:rsidRDefault="00FC0A47" w:rsidP="00FC0A47">
      <w:pPr>
        <w:rPr>
          <w:rFonts w:ascii="Times New Roman" w:hAnsi="Times New Roman" w:cs="Times New Roman"/>
        </w:rPr>
      </w:pPr>
      <w:r>
        <w:rPr>
          <w:rFonts w:ascii="Times New Roman" w:hAnsi="Times New Roman" w:cs="Times New Roman"/>
        </w:rPr>
        <w:t xml:space="preserve">Kayhan, “Imam Khomeini’s Interview with Kayhan,” in </w:t>
      </w:r>
      <w:r>
        <w:rPr>
          <w:rFonts w:ascii="Times New Roman" w:hAnsi="Times New Roman" w:cs="Times New Roman"/>
          <w:i/>
        </w:rPr>
        <w:t xml:space="preserve">Kayhan, </w:t>
      </w:r>
      <w:r>
        <w:rPr>
          <w:rFonts w:ascii="Times New Roman" w:hAnsi="Times New Roman" w:cs="Times New Roman"/>
        </w:rPr>
        <w:t xml:space="preserve">(Kayhan Institute 23 January </w:t>
      </w:r>
    </w:p>
    <w:p w14:paraId="470B5056" w14:textId="0E3F458D" w:rsidR="00FC0A47" w:rsidRDefault="00FC0A47" w:rsidP="00FC0A47">
      <w:pPr>
        <w:ind w:firstLine="720"/>
        <w:rPr>
          <w:rFonts w:ascii="Times New Roman" w:hAnsi="Times New Roman" w:cs="Times New Roman"/>
        </w:rPr>
      </w:pPr>
      <w:r>
        <w:rPr>
          <w:rFonts w:ascii="Times New Roman" w:hAnsi="Times New Roman" w:cs="Times New Roman"/>
        </w:rPr>
        <w:t>1979)</w:t>
      </w:r>
    </w:p>
    <w:p w14:paraId="1815CE6F" w14:textId="77777777" w:rsidR="00FC0A47" w:rsidRDefault="00FC0A47" w:rsidP="00FC0A47">
      <w:pPr>
        <w:rPr>
          <w:rFonts w:ascii="Times New Roman" w:hAnsi="Times New Roman" w:cs="Times New Roman"/>
        </w:rPr>
      </w:pPr>
    </w:p>
    <w:p w14:paraId="2C5BF369" w14:textId="77777777" w:rsidR="00FC0A47" w:rsidRDefault="00FC0A47" w:rsidP="00FC0A47">
      <w:pPr>
        <w:rPr>
          <w:rFonts w:ascii="Times New Roman" w:hAnsi="Times New Roman" w:cs="Times New Roman"/>
        </w:rPr>
      </w:pPr>
      <w:r>
        <w:rPr>
          <w:rFonts w:ascii="Times New Roman" w:hAnsi="Times New Roman" w:cs="Times New Roman"/>
        </w:rPr>
        <w:t xml:space="preserve">Saffari, Siavash, “Two Pro-Mostazafin Discourses in the 1979 Iranian Revolution,” in </w:t>
      </w:r>
    </w:p>
    <w:p w14:paraId="179D2DFA" w14:textId="5E95DE08" w:rsidR="00FC0A47" w:rsidRDefault="00FC0A47" w:rsidP="00FC0A47">
      <w:pPr>
        <w:ind w:firstLine="720"/>
        <w:rPr>
          <w:rFonts w:ascii="Times New Roman" w:hAnsi="Times New Roman" w:cs="Times New Roman"/>
        </w:rPr>
      </w:pPr>
      <w:r>
        <w:rPr>
          <w:rFonts w:ascii="Times New Roman" w:hAnsi="Times New Roman" w:cs="Times New Roman"/>
          <w:i/>
        </w:rPr>
        <w:t xml:space="preserve">Contemporary Islam, </w:t>
      </w:r>
      <w:r>
        <w:rPr>
          <w:rFonts w:ascii="Times New Roman" w:hAnsi="Times New Roman" w:cs="Times New Roman"/>
        </w:rPr>
        <w:t>Vol. 11, No. 3 ((Springer Verlag, 2017), pp. 287-301)</w:t>
      </w:r>
    </w:p>
    <w:p w14:paraId="03F98566" w14:textId="77777777" w:rsidR="00FC0A47" w:rsidRDefault="00FC0A47" w:rsidP="00FC0A47">
      <w:pPr>
        <w:rPr>
          <w:rFonts w:ascii="Times New Roman" w:hAnsi="Times New Roman" w:cs="Times New Roman"/>
        </w:rPr>
      </w:pPr>
    </w:p>
    <w:p w14:paraId="3673BF69" w14:textId="77777777" w:rsidR="00FC0A47" w:rsidRDefault="00FC0A47" w:rsidP="00FC0A47">
      <w:pPr>
        <w:rPr>
          <w:rFonts w:ascii="Times New Roman" w:hAnsi="Times New Roman" w:cs="Times New Roman"/>
        </w:rPr>
      </w:pPr>
      <w:r>
        <w:rPr>
          <w:rFonts w:ascii="Times New Roman" w:hAnsi="Times New Roman" w:cs="Times New Roman"/>
        </w:rPr>
        <w:t xml:space="preserve">Samiei, Mohammad, “Najaf and Iranian Politics: Analysing the Way the Hawzah of Najaf </w:t>
      </w:r>
    </w:p>
    <w:p w14:paraId="659FCF5C" w14:textId="77777777" w:rsidR="00FC0A47" w:rsidRDefault="00FC0A47" w:rsidP="00FC0A47">
      <w:pPr>
        <w:ind w:firstLine="720"/>
        <w:rPr>
          <w:rFonts w:ascii="Times New Roman" w:hAnsi="Times New Roman" w:cs="Times New Roman"/>
          <w:i/>
        </w:rPr>
      </w:pPr>
      <w:r>
        <w:rPr>
          <w:rFonts w:ascii="Times New Roman" w:hAnsi="Times New Roman" w:cs="Times New Roman"/>
        </w:rPr>
        <w:t xml:space="preserve">Influenced Iranian Politics between Two Revolutions,” in </w:t>
      </w:r>
      <w:r>
        <w:rPr>
          <w:rFonts w:ascii="Times New Roman" w:hAnsi="Times New Roman" w:cs="Times New Roman"/>
          <w:i/>
        </w:rPr>
        <w:t xml:space="preserve">Journal of Shi’a Islamic </w:t>
      </w:r>
    </w:p>
    <w:p w14:paraId="2C13547C" w14:textId="3EE2E399" w:rsidR="00FC0A47" w:rsidRDefault="00FC0A47" w:rsidP="00FC0A47">
      <w:pPr>
        <w:ind w:firstLine="720"/>
        <w:rPr>
          <w:rFonts w:ascii="Times New Roman" w:hAnsi="Times New Roman" w:cs="Times New Roman"/>
        </w:rPr>
      </w:pPr>
      <w:r>
        <w:rPr>
          <w:rFonts w:ascii="Times New Roman" w:hAnsi="Times New Roman" w:cs="Times New Roman"/>
          <w:i/>
        </w:rPr>
        <w:t xml:space="preserve">Studies, </w:t>
      </w:r>
      <w:r>
        <w:rPr>
          <w:rFonts w:ascii="Times New Roman" w:hAnsi="Times New Roman" w:cs="Times New Roman"/>
        </w:rPr>
        <w:t>Vol. V, No. 3 ((ICAS Press, Summer 2012), pp. 277-294)</w:t>
      </w:r>
    </w:p>
    <w:p w14:paraId="7C9CF1C2" w14:textId="77777777" w:rsidR="00FC0A47" w:rsidRDefault="00FC0A47" w:rsidP="00FC0A47">
      <w:pPr>
        <w:rPr>
          <w:rFonts w:ascii="Times New Roman" w:hAnsi="Times New Roman" w:cs="Times New Roman"/>
        </w:rPr>
      </w:pPr>
    </w:p>
    <w:p w14:paraId="2BF3A214" w14:textId="77777777" w:rsidR="00FC0A47" w:rsidRDefault="00FC0A47" w:rsidP="00FC0A47">
      <w:pPr>
        <w:rPr>
          <w:rFonts w:ascii="Times New Roman" w:hAnsi="Times New Roman" w:cs="Times New Roman"/>
        </w:rPr>
      </w:pPr>
    </w:p>
    <w:p w14:paraId="3C9DA3D2" w14:textId="77777777" w:rsidR="00FC0A47" w:rsidRDefault="00FC0A47" w:rsidP="00FC0A47">
      <w:pPr>
        <w:rPr>
          <w:rFonts w:ascii="Times New Roman" w:hAnsi="Times New Roman" w:cs="Times New Roman"/>
        </w:rPr>
      </w:pPr>
    </w:p>
    <w:p w14:paraId="3070600A" w14:textId="7751A87B" w:rsidR="00321A39" w:rsidRPr="004147E6" w:rsidRDefault="00A77E0E" w:rsidP="0048460A">
      <w:pPr>
        <w:spacing w:line="480" w:lineRule="auto"/>
        <w:rPr>
          <w:rFonts w:ascii="Times New Roman" w:hAnsi="Times New Roman" w:cs="Times New Roman"/>
        </w:rPr>
      </w:pPr>
      <w:r>
        <w:rPr>
          <w:rFonts w:ascii="Times New Roman" w:hAnsi="Times New Roman" w:cs="Times New Roman"/>
        </w:rPr>
        <w:tab/>
      </w:r>
      <w:r w:rsidR="00D5436B">
        <w:rPr>
          <w:rFonts w:ascii="Times New Roman" w:hAnsi="Times New Roman" w:cs="Times New Roman"/>
        </w:rPr>
        <w:t xml:space="preserve"> </w:t>
      </w:r>
    </w:p>
    <w:sectPr w:rsidR="00321A39" w:rsidRPr="004147E6" w:rsidSect="0048460A">
      <w:headerReference w:type="even" r:id="rId7"/>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D355AC" w14:textId="77777777" w:rsidR="00ED2BB2" w:rsidRDefault="00ED2BB2" w:rsidP="0048460A">
      <w:r>
        <w:separator/>
      </w:r>
    </w:p>
  </w:endnote>
  <w:endnote w:type="continuationSeparator" w:id="0">
    <w:p w14:paraId="67FB5396" w14:textId="77777777" w:rsidR="00ED2BB2" w:rsidRDefault="00ED2BB2" w:rsidP="00484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B9F57" w14:textId="77777777" w:rsidR="00ED2BB2" w:rsidRDefault="00ED2BB2" w:rsidP="0048460A">
      <w:r>
        <w:separator/>
      </w:r>
    </w:p>
  </w:footnote>
  <w:footnote w:type="continuationSeparator" w:id="0">
    <w:p w14:paraId="13DE2A93" w14:textId="77777777" w:rsidR="00ED2BB2" w:rsidRDefault="00ED2BB2" w:rsidP="0048460A">
      <w:r>
        <w:continuationSeparator/>
      </w:r>
    </w:p>
  </w:footnote>
  <w:footnote w:id="1">
    <w:p w14:paraId="250ABEC3" w14:textId="77777777" w:rsidR="00237CAD" w:rsidRPr="0027377E"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Mohammad Samiei, “Najaf and Iranian Politics: Analysing the Way the Hawzah of Najaf Influenced Iranian Politics between Two Revolutions,” in </w:t>
      </w:r>
      <w:r>
        <w:rPr>
          <w:rFonts w:ascii="Times New Roman" w:hAnsi="Times New Roman" w:cs="Times New Roman"/>
          <w:i/>
        </w:rPr>
        <w:t xml:space="preserve">Journal of Shi’a Islamic Studies, </w:t>
      </w:r>
      <w:r>
        <w:rPr>
          <w:rFonts w:ascii="Times New Roman" w:hAnsi="Times New Roman" w:cs="Times New Roman"/>
        </w:rPr>
        <w:t>Vol. V, No. 3 (ICAS Press, Summer 2012), pp. 277-294, 278</w:t>
      </w:r>
    </w:p>
  </w:footnote>
  <w:footnote w:id="2">
    <w:p w14:paraId="6E0BC1E4" w14:textId="60EBC275" w:rsidR="00237CAD" w:rsidRPr="00CC2C12"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283</w:t>
      </w:r>
    </w:p>
  </w:footnote>
  <w:footnote w:id="3">
    <w:p w14:paraId="42E2470C" w14:textId="7982A2F0" w:rsidR="00237CAD" w:rsidRPr="000B2130"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285</w:t>
      </w:r>
    </w:p>
  </w:footnote>
  <w:footnote w:id="4">
    <w:p w14:paraId="3DD4BC74" w14:textId="0C471975" w:rsidR="00237CAD" w:rsidRPr="00A67503"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Abbas Amanat, </w:t>
      </w:r>
      <w:r>
        <w:rPr>
          <w:rFonts w:ascii="Times New Roman" w:hAnsi="Times New Roman" w:cs="Times New Roman"/>
          <w:i/>
        </w:rPr>
        <w:t>Iran: A Modern History,</w:t>
      </w:r>
      <w:r>
        <w:rPr>
          <w:rFonts w:ascii="Times New Roman" w:hAnsi="Times New Roman" w:cs="Times New Roman"/>
        </w:rPr>
        <w:t xml:space="preserve"> (Yale University Press, 2017), 491</w:t>
      </w:r>
    </w:p>
  </w:footnote>
  <w:footnote w:id="5">
    <w:p w14:paraId="01AEDE40" w14:textId="3F169874" w:rsidR="00237CAD" w:rsidRPr="004E6535"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494</w:t>
      </w:r>
    </w:p>
  </w:footnote>
  <w:footnote w:id="6">
    <w:p w14:paraId="12E031A6" w14:textId="1FB74488" w:rsidR="00237CAD" w:rsidRPr="009E78F9"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495</w:t>
      </w:r>
    </w:p>
  </w:footnote>
  <w:footnote w:id="7">
    <w:p w14:paraId="481ED255" w14:textId="313AC2C6" w:rsidR="00237CAD" w:rsidRPr="0055271F"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498</w:t>
      </w:r>
    </w:p>
  </w:footnote>
  <w:footnote w:id="8">
    <w:p w14:paraId="031BA5D4" w14:textId="39B29775" w:rsidR="00237CAD" w:rsidRPr="00110F7C"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508</w:t>
      </w:r>
    </w:p>
  </w:footnote>
  <w:footnote w:id="9">
    <w:p w14:paraId="0A0B59BE" w14:textId="60F6E606" w:rsidR="00237CAD" w:rsidRPr="00DD1C6C"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Warren S. Goldstein, “Secularization and the Iranian Revolution,” in </w:t>
      </w:r>
      <w:r>
        <w:rPr>
          <w:rFonts w:ascii="Times New Roman" w:hAnsi="Times New Roman" w:cs="Times New Roman"/>
          <w:i/>
        </w:rPr>
        <w:t xml:space="preserve">Islamic Perspective, </w:t>
      </w:r>
      <w:r>
        <w:rPr>
          <w:rFonts w:ascii="Times New Roman" w:hAnsi="Times New Roman" w:cs="Times New Roman"/>
        </w:rPr>
        <w:t>No. 3 (Islamic Perspective Center for Sociological Studies, 2010),</w:t>
      </w:r>
      <w:r>
        <w:t xml:space="preserve"> </w:t>
      </w:r>
      <w:r>
        <w:rPr>
          <w:rFonts w:ascii="Times New Roman" w:hAnsi="Times New Roman" w:cs="Times New Roman"/>
        </w:rPr>
        <w:t>54</w:t>
      </w:r>
    </w:p>
  </w:footnote>
  <w:footnote w:id="10">
    <w:p w14:paraId="697D8EE8" w14:textId="0E171AFB" w:rsidR="00237CAD" w:rsidRPr="005A5FC2"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55</w:t>
      </w:r>
    </w:p>
  </w:footnote>
  <w:footnote w:id="11">
    <w:p w14:paraId="0604111F" w14:textId="15BAB7CF" w:rsidR="00237CAD" w:rsidRPr="00FF1D5F"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Federal Research Division, </w:t>
      </w:r>
      <w:r>
        <w:rPr>
          <w:rFonts w:ascii="Times New Roman" w:hAnsi="Times New Roman" w:cs="Times New Roman"/>
          <w:i/>
        </w:rPr>
        <w:t xml:space="preserve">Iran: A Country Study, </w:t>
      </w:r>
      <w:r>
        <w:rPr>
          <w:rFonts w:ascii="Times New Roman" w:hAnsi="Times New Roman" w:cs="Times New Roman"/>
        </w:rPr>
        <w:t>ed. by Glenn E. Curtis and Eric Hooglund, (Library of Congress, 2008), 35</w:t>
      </w:r>
    </w:p>
  </w:footnote>
  <w:footnote w:id="12">
    <w:p w14:paraId="1D89DB3C" w14:textId="027C812B" w:rsidR="00237CAD" w:rsidRPr="00BA2A97"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Goldstein, “Secularization and the Iranian Revolution,” 55</w:t>
      </w:r>
    </w:p>
  </w:footnote>
  <w:footnote w:id="13">
    <w:p w14:paraId="4ED44E43" w14:textId="2B9C7485" w:rsidR="00237CAD" w:rsidRPr="00BA604C"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56</w:t>
      </w:r>
    </w:p>
  </w:footnote>
  <w:footnote w:id="14">
    <w:p w14:paraId="057C3189" w14:textId="436D5843" w:rsidR="00237CAD" w:rsidRPr="001908DF"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Rustin-Petru Ciasc, “From the White Revolution to the Islamic Revolution – The Social, Economic, Legal, and Religious Context that Led to the Fall of Monarchy in Iran,” in </w:t>
      </w:r>
      <w:r>
        <w:rPr>
          <w:rFonts w:ascii="Times New Roman" w:hAnsi="Times New Roman" w:cs="Times New Roman"/>
          <w:i/>
        </w:rPr>
        <w:t xml:space="preserve">Cogito: Multidisciplinary Research Journal, </w:t>
      </w:r>
      <w:r>
        <w:rPr>
          <w:rFonts w:ascii="Times New Roman" w:hAnsi="Times New Roman" w:cs="Times New Roman"/>
        </w:rPr>
        <w:t>Vol. 5, No. 2 (Dimitre Cantemir Christian University, 2013), pp. 58-62, 58</w:t>
      </w:r>
    </w:p>
  </w:footnote>
  <w:footnote w:id="15">
    <w:p w14:paraId="4F8A232E" w14:textId="606125F1" w:rsidR="00237CAD" w:rsidRPr="00A0637E"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60</w:t>
      </w:r>
    </w:p>
  </w:footnote>
  <w:footnote w:id="16">
    <w:p w14:paraId="14E44C58" w14:textId="6FDAF008" w:rsidR="00237CAD" w:rsidRPr="00B67E3C"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61</w:t>
      </w:r>
    </w:p>
  </w:footnote>
  <w:footnote w:id="17">
    <w:p w14:paraId="20CF0115" w14:textId="062DCE37" w:rsidR="00237CAD" w:rsidRPr="00BB1417"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Samiei, “Najaf and Iranian Politics: Analysing the Way the Hawzah of Najaf Influenced Iranian Politics between Two Revolutions,” 286</w:t>
      </w:r>
    </w:p>
  </w:footnote>
  <w:footnote w:id="18">
    <w:p w14:paraId="5A7025FC" w14:textId="777155ED" w:rsidR="00237CAD" w:rsidRPr="00F82A35"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287</w:t>
      </w:r>
    </w:p>
  </w:footnote>
  <w:footnote w:id="19">
    <w:p w14:paraId="040D928F" w14:textId="7FB4B5BB" w:rsidR="00237CAD" w:rsidRPr="006B293B"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289</w:t>
      </w:r>
    </w:p>
  </w:footnote>
  <w:footnote w:id="20">
    <w:p w14:paraId="6E1F1773" w14:textId="3B9A521F" w:rsidR="00237CAD" w:rsidRPr="00624012"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Nura Hossainzadeh, “Ruhollah Khomeini’s Political Thought: Elements of Guardianship, Consent, and Representative Government,” in </w:t>
      </w:r>
      <w:r>
        <w:rPr>
          <w:rFonts w:ascii="Times New Roman" w:hAnsi="Times New Roman" w:cs="Times New Roman"/>
          <w:i/>
        </w:rPr>
        <w:t xml:space="preserve">Journal of Shi’a Islamic Studies, </w:t>
      </w:r>
      <w:r>
        <w:rPr>
          <w:rFonts w:ascii="Times New Roman" w:hAnsi="Times New Roman" w:cs="Times New Roman"/>
        </w:rPr>
        <w:t>Vol. 7, No. 2, (ICAS Press, 2014), pp. 129-150,</w:t>
      </w:r>
      <w:r>
        <w:t xml:space="preserve"> </w:t>
      </w:r>
      <w:r>
        <w:rPr>
          <w:rFonts w:ascii="Times New Roman" w:hAnsi="Times New Roman" w:cs="Times New Roman"/>
        </w:rPr>
        <w:t>136</w:t>
      </w:r>
    </w:p>
  </w:footnote>
  <w:footnote w:id="21">
    <w:p w14:paraId="0B0EEBB6" w14:textId="3D21290A" w:rsidR="00237CAD" w:rsidRPr="007D3206"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138</w:t>
      </w:r>
    </w:p>
  </w:footnote>
  <w:footnote w:id="22">
    <w:p w14:paraId="7D9D922B" w14:textId="64E553E3" w:rsidR="00237CAD" w:rsidRPr="00400F25"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CIA, “Memorandum: The Politics of Ruhollah Khomeini,” 20 November 1978, 8</w:t>
      </w:r>
    </w:p>
  </w:footnote>
  <w:footnote w:id="23">
    <w:p w14:paraId="475169A5" w14:textId="3605C9EF" w:rsidR="00237CAD" w:rsidRPr="00E07A14"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10</w:t>
      </w:r>
    </w:p>
  </w:footnote>
  <w:footnote w:id="24">
    <w:p w14:paraId="3B4BDC1C" w14:textId="402E0C6E" w:rsidR="00237CAD" w:rsidRPr="004D5494"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CIA, “Memorandum: Opposition Operations in Iran: Leadership, Organization, and Tactics,” 21 December 1978, 7</w:t>
      </w:r>
    </w:p>
  </w:footnote>
  <w:footnote w:id="25">
    <w:p w14:paraId="15511321" w14:textId="44BCED3D" w:rsidR="00237CAD" w:rsidRPr="00822C4C"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Siavash Saffari, “Two Pro-Mostazafin Discourses in the 1979 Iranian Revolution,” in </w:t>
      </w:r>
      <w:r>
        <w:rPr>
          <w:rFonts w:ascii="Times New Roman" w:hAnsi="Times New Roman" w:cs="Times New Roman"/>
          <w:i/>
        </w:rPr>
        <w:t xml:space="preserve">Contemporary Islam, </w:t>
      </w:r>
      <w:r>
        <w:rPr>
          <w:rFonts w:ascii="Times New Roman" w:hAnsi="Times New Roman" w:cs="Times New Roman"/>
        </w:rPr>
        <w:t>Vol. 11, No. 3 (Springer Verlag, 2017), pp. 287-301, 294</w:t>
      </w:r>
    </w:p>
  </w:footnote>
  <w:footnote w:id="26">
    <w:p w14:paraId="5647484B" w14:textId="45CEEEDB" w:rsidR="00237CAD" w:rsidRPr="00BA0F88"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“Imam Khomeini’s Interview with Kayhan,” in </w:t>
      </w:r>
      <w:r>
        <w:rPr>
          <w:rFonts w:ascii="Times New Roman" w:hAnsi="Times New Roman" w:cs="Times New Roman"/>
          <w:i/>
        </w:rPr>
        <w:t xml:space="preserve">Kayhan, </w:t>
      </w:r>
      <w:r>
        <w:rPr>
          <w:rFonts w:ascii="Times New Roman" w:hAnsi="Times New Roman" w:cs="Times New Roman"/>
        </w:rPr>
        <w:t>(Kayhan Institute 23 January 1979), 1</w:t>
      </w:r>
    </w:p>
  </w:footnote>
  <w:footnote w:id="27">
    <w:p w14:paraId="22014C02" w14:textId="7221297E" w:rsidR="00237CAD" w:rsidRPr="007B7D28"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Oriana Fallaci, “An Interview with Khomeini,” in </w:t>
      </w:r>
      <w:r>
        <w:rPr>
          <w:rFonts w:ascii="Times New Roman" w:hAnsi="Times New Roman" w:cs="Times New Roman"/>
          <w:i/>
        </w:rPr>
        <w:t>The New York Times</w:t>
      </w:r>
      <w:r>
        <w:rPr>
          <w:rFonts w:ascii="Times New Roman" w:hAnsi="Times New Roman" w:cs="Times New Roman"/>
        </w:rPr>
        <w:t xml:space="preserve"> (7 October 1979), 8</w:t>
      </w:r>
    </w:p>
  </w:footnote>
  <w:footnote w:id="28">
    <w:p w14:paraId="1C6B9CEB" w14:textId="437DE1F5" w:rsidR="00237CAD" w:rsidRPr="005B0C37"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w:t>
      </w:r>
    </w:p>
  </w:footnote>
  <w:footnote w:id="29">
    <w:p w14:paraId="71132477" w14:textId="02AA8179" w:rsidR="00237CAD" w:rsidRPr="00C36364"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CIA, “ Iran: Military Manpower Problems Limit War Options,” October 1983, iv</w:t>
      </w:r>
    </w:p>
  </w:footnote>
  <w:footnote w:id="30">
    <w:p w14:paraId="6ED7A150" w14:textId="6FE2A1D9" w:rsidR="00237CAD" w:rsidRPr="00D15456"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2</w:t>
      </w:r>
    </w:p>
  </w:footnote>
  <w:footnote w:id="31">
    <w:p w14:paraId="04A3219D" w14:textId="7CE54155" w:rsidR="00237CAD" w:rsidRPr="00682E5A"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7</w:t>
      </w:r>
    </w:p>
  </w:footnote>
  <w:footnote w:id="32">
    <w:p w14:paraId="0E5A25CD" w14:textId="3DA16377" w:rsidR="00237CAD" w:rsidRPr="00923C25"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CIA, “Iran’s Revolutionary Guard: Armed Pillar of the Islamic Republic,” January 1987, 11</w:t>
      </w:r>
    </w:p>
  </w:footnote>
  <w:footnote w:id="33">
    <w:p w14:paraId="72B3B5CE" w14:textId="6D65C8D1" w:rsidR="00237CAD" w:rsidRPr="008E447C" w:rsidRDefault="00237CAD">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Ibid, 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C2C57" w14:textId="77777777" w:rsidR="00237CAD" w:rsidRDefault="00237CAD" w:rsidP="0048460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06DC286" w14:textId="77777777" w:rsidR="00237CAD" w:rsidRDefault="00237CAD" w:rsidP="0048460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F27D96" w14:textId="2B3CFFF7" w:rsidR="00237CAD" w:rsidRDefault="00237CAD" w:rsidP="0048460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33A7B">
      <w:rPr>
        <w:rStyle w:val="PageNumber"/>
        <w:noProof/>
      </w:rPr>
      <w:t>2</w:t>
    </w:r>
    <w:r>
      <w:rPr>
        <w:rStyle w:val="PageNumber"/>
      </w:rPr>
      <w:fldChar w:fldCharType="end"/>
    </w:r>
  </w:p>
  <w:p w14:paraId="48C8BA8F" w14:textId="77777777" w:rsidR="00237CAD" w:rsidRPr="0048460A" w:rsidRDefault="00237CAD" w:rsidP="0048460A">
    <w:pPr>
      <w:pStyle w:val="Header"/>
      <w:ind w:right="360"/>
      <w:jc w:val="right"/>
      <w:rPr>
        <w:rFonts w:ascii="Times New Roman" w:hAnsi="Times New Roman" w:cs="Times New Roman"/>
      </w:rPr>
    </w:pPr>
    <w:r>
      <w:rPr>
        <w:rFonts w:ascii="Times New Roman" w:hAnsi="Times New Roman" w:cs="Times New Roman"/>
      </w:rPr>
      <w:t>Reed</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60A"/>
    <w:rsid w:val="00053A8A"/>
    <w:rsid w:val="00070644"/>
    <w:rsid w:val="000B117F"/>
    <w:rsid w:val="000B2130"/>
    <w:rsid w:val="000B77FD"/>
    <w:rsid w:val="000D74BF"/>
    <w:rsid w:val="000E54CF"/>
    <w:rsid w:val="001076CA"/>
    <w:rsid w:val="00110F7C"/>
    <w:rsid w:val="001131D9"/>
    <w:rsid w:val="00133A7B"/>
    <w:rsid w:val="0013685B"/>
    <w:rsid w:val="001820AB"/>
    <w:rsid w:val="001908DF"/>
    <w:rsid w:val="001A31C7"/>
    <w:rsid w:val="001F3DF9"/>
    <w:rsid w:val="001F772E"/>
    <w:rsid w:val="00213338"/>
    <w:rsid w:val="002151F9"/>
    <w:rsid w:val="002208A0"/>
    <w:rsid w:val="00221182"/>
    <w:rsid w:val="00221A92"/>
    <w:rsid w:val="00223AD1"/>
    <w:rsid w:val="00237CAD"/>
    <w:rsid w:val="00271477"/>
    <w:rsid w:val="0027377E"/>
    <w:rsid w:val="002816AB"/>
    <w:rsid w:val="002A60F4"/>
    <w:rsid w:val="002D4238"/>
    <w:rsid w:val="002D6744"/>
    <w:rsid w:val="002F2E25"/>
    <w:rsid w:val="002F45BC"/>
    <w:rsid w:val="00303C9C"/>
    <w:rsid w:val="00307472"/>
    <w:rsid w:val="00321A39"/>
    <w:rsid w:val="00325307"/>
    <w:rsid w:val="00351DC3"/>
    <w:rsid w:val="00371783"/>
    <w:rsid w:val="003843F1"/>
    <w:rsid w:val="003D2C7F"/>
    <w:rsid w:val="00400F25"/>
    <w:rsid w:val="004147E6"/>
    <w:rsid w:val="0044420C"/>
    <w:rsid w:val="004442D1"/>
    <w:rsid w:val="00451CA6"/>
    <w:rsid w:val="00455A4B"/>
    <w:rsid w:val="00471F26"/>
    <w:rsid w:val="0047631F"/>
    <w:rsid w:val="0048460A"/>
    <w:rsid w:val="004A2EE6"/>
    <w:rsid w:val="004D5494"/>
    <w:rsid w:val="004E6535"/>
    <w:rsid w:val="005238D4"/>
    <w:rsid w:val="0055271F"/>
    <w:rsid w:val="0055598F"/>
    <w:rsid w:val="00590F7F"/>
    <w:rsid w:val="005A232F"/>
    <w:rsid w:val="005A5FC2"/>
    <w:rsid w:val="005B0C37"/>
    <w:rsid w:val="005D1983"/>
    <w:rsid w:val="005D50EA"/>
    <w:rsid w:val="005E31F6"/>
    <w:rsid w:val="005F7383"/>
    <w:rsid w:val="00624012"/>
    <w:rsid w:val="00654995"/>
    <w:rsid w:val="00682E5A"/>
    <w:rsid w:val="006B293B"/>
    <w:rsid w:val="006D6363"/>
    <w:rsid w:val="007276C6"/>
    <w:rsid w:val="00747257"/>
    <w:rsid w:val="00764922"/>
    <w:rsid w:val="007931DA"/>
    <w:rsid w:val="0079687F"/>
    <w:rsid w:val="007B7D28"/>
    <w:rsid w:val="007C1992"/>
    <w:rsid w:val="007C1FF5"/>
    <w:rsid w:val="007D3206"/>
    <w:rsid w:val="007D531F"/>
    <w:rsid w:val="007E0F34"/>
    <w:rsid w:val="00822C4C"/>
    <w:rsid w:val="00842C51"/>
    <w:rsid w:val="00844C53"/>
    <w:rsid w:val="008A35DD"/>
    <w:rsid w:val="008C61A9"/>
    <w:rsid w:val="008E447C"/>
    <w:rsid w:val="0091552B"/>
    <w:rsid w:val="00921681"/>
    <w:rsid w:val="00923C25"/>
    <w:rsid w:val="00933C3A"/>
    <w:rsid w:val="00941294"/>
    <w:rsid w:val="009D3EAA"/>
    <w:rsid w:val="009E78F9"/>
    <w:rsid w:val="009F606A"/>
    <w:rsid w:val="00A026CC"/>
    <w:rsid w:val="00A0637E"/>
    <w:rsid w:val="00A543CD"/>
    <w:rsid w:val="00A54FA4"/>
    <w:rsid w:val="00A55C20"/>
    <w:rsid w:val="00A67503"/>
    <w:rsid w:val="00A77E0E"/>
    <w:rsid w:val="00A82A39"/>
    <w:rsid w:val="00AD62FD"/>
    <w:rsid w:val="00AE377A"/>
    <w:rsid w:val="00AF1015"/>
    <w:rsid w:val="00B1405B"/>
    <w:rsid w:val="00B67E3C"/>
    <w:rsid w:val="00B91B6D"/>
    <w:rsid w:val="00BA0F88"/>
    <w:rsid w:val="00BA2A97"/>
    <w:rsid w:val="00BA604C"/>
    <w:rsid w:val="00BB1417"/>
    <w:rsid w:val="00C201D2"/>
    <w:rsid w:val="00C23073"/>
    <w:rsid w:val="00C237BD"/>
    <w:rsid w:val="00C3445C"/>
    <w:rsid w:val="00C36364"/>
    <w:rsid w:val="00C96875"/>
    <w:rsid w:val="00CA7298"/>
    <w:rsid w:val="00CC2C12"/>
    <w:rsid w:val="00CD4CA2"/>
    <w:rsid w:val="00CF3DDB"/>
    <w:rsid w:val="00CF6735"/>
    <w:rsid w:val="00D067F5"/>
    <w:rsid w:val="00D15456"/>
    <w:rsid w:val="00D5436B"/>
    <w:rsid w:val="00D7008C"/>
    <w:rsid w:val="00D74BAA"/>
    <w:rsid w:val="00D95A8F"/>
    <w:rsid w:val="00DC6821"/>
    <w:rsid w:val="00DD1067"/>
    <w:rsid w:val="00DD1C6C"/>
    <w:rsid w:val="00DD4EF3"/>
    <w:rsid w:val="00E07A14"/>
    <w:rsid w:val="00E27C6D"/>
    <w:rsid w:val="00E43647"/>
    <w:rsid w:val="00E53392"/>
    <w:rsid w:val="00EC1394"/>
    <w:rsid w:val="00EC779B"/>
    <w:rsid w:val="00ED2BB2"/>
    <w:rsid w:val="00EF6A4E"/>
    <w:rsid w:val="00F3409F"/>
    <w:rsid w:val="00F82A35"/>
    <w:rsid w:val="00F836AF"/>
    <w:rsid w:val="00FC0A47"/>
    <w:rsid w:val="00FE28EC"/>
    <w:rsid w:val="00FF1D5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6BCFD5"/>
  <w14:defaultImageDpi w14:val="300"/>
  <w15:docId w15:val="{AC1F32C1-2C05-4379-B520-AFB429E60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460A"/>
    <w:pPr>
      <w:tabs>
        <w:tab w:val="center" w:pos="4320"/>
        <w:tab w:val="right" w:pos="8640"/>
      </w:tabs>
    </w:pPr>
  </w:style>
  <w:style w:type="character" w:customStyle="1" w:styleId="HeaderChar">
    <w:name w:val="Header Char"/>
    <w:basedOn w:val="DefaultParagraphFont"/>
    <w:link w:val="Header"/>
    <w:uiPriority w:val="99"/>
    <w:rsid w:val="0048460A"/>
  </w:style>
  <w:style w:type="character" w:styleId="PageNumber">
    <w:name w:val="page number"/>
    <w:basedOn w:val="DefaultParagraphFont"/>
    <w:uiPriority w:val="99"/>
    <w:semiHidden/>
    <w:unhideWhenUsed/>
    <w:rsid w:val="0048460A"/>
  </w:style>
  <w:style w:type="paragraph" w:styleId="Footer">
    <w:name w:val="footer"/>
    <w:basedOn w:val="Normal"/>
    <w:link w:val="FooterChar"/>
    <w:uiPriority w:val="99"/>
    <w:unhideWhenUsed/>
    <w:rsid w:val="0048460A"/>
    <w:pPr>
      <w:tabs>
        <w:tab w:val="center" w:pos="4320"/>
        <w:tab w:val="right" w:pos="8640"/>
      </w:tabs>
    </w:pPr>
  </w:style>
  <w:style w:type="character" w:customStyle="1" w:styleId="FooterChar">
    <w:name w:val="Footer Char"/>
    <w:basedOn w:val="DefaultParagraphFont"/>
    <w:link w:val="Footer"/>
    <w:uiPriority w:val="99"/>
    <w:rsid w:val="0048460A"/>
  </w:style>
  <w:style w:type="paragraph" w:styleId="FootnoteText">
    <w:name w:val="footnote text"/>
    <w:basedOn w:val="Normal"/>
    <w:link w:val="FootnoteTextChar"/>
    <w:uiPriority w:val="99"/>
    <w:unhideWhenUsed/>
    <w:rsid w:val="0027377E"/>
  </w:style>
  <w:style w:type="character" w:customStyle="1" w:styleId="FootnoteTextChar">
    <w:name w:val="Footnote Text Char"/>
    <w:basedOn w:val="DefaultParagraphFont"/>
    <w:link w:val="FootnoteText"/>
    <w:uiPriority w:val="99"/>
    <w:rsid w:val="0027377E"/>
  </w:style>
  <w:style w:type="character" w:styleId="FootnoteReference">
    <w:name w:val="footnote reference"/>
    <w:basedOn w:val="DefaultParagraphFont"/>
    <w:uiPriority w:val="99"/>
    <w:unhideWhenUsed/>
    <w:rsid w:val="002737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841040-D63B-4988-B59D-D14727351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2757</Words>
  <Characters>15721</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Ford Hagedorn</dc:creator>
  <cp:keywords/>
  <dc:description/>
  <cp:lastModifiedBy>Katherine E Milco</cp:lastModifiedBy>
  <cp:revision>2</cp:revision>
  <dcterms:created xsi:type="dcterms:W3CDTF">2019-05-13T14:15:00Z</dcterms:created>
  <dcterms:modified xsi:type="dcterms:W3CDTF">2019-05-13T14:15:00Z</dcterms:modified>
</cp:coreProperties>
</file>