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heme="majorBidi" w:hAnsiTheme="majorBidi" w:cstheme="majorBidi"/>
          <w:color w:val="4472C4" w:themeColor="accent1"/>
          <w:sz w:val="24"/>
          <w:szCs w:val="24"/>
        </w:rPr>
        <w:id w:val="-528495184"/>
        <w:docPartObj>
          <w:docPartGallery w:val="Cover Pages"/>
          <w:docPartUnique/>
        </w:docPartObj>
      </w:sdtPr>
      <w:sdtEndPr/>
      <w:sdtContent>
        <w:p w14:paraId="12BA439F" w14:textId="6DFF2520" w:rsidR="00EC3F4D" w:rsidRDefault="00EC3F4D">
          <w:pPr>
            <w:rPr>
              <w:rFonts w:asciiTheme="majorBidi" w:hAnsiTheme="majorBidi" w:cstheme="majorBidi"/>
              <w:color w:val="4472C4" w:themeColor="accent1"/>
              <w:sz w:val="24"/>
              <w:szCs w:val="24"/>
            </w:rPr>
          </w:pPr>
          <w:r w:rsidRPr="00EC3F4D">
            <w:rPr>
              <w:rFonts w:asciiTheme="majorBidi" w:hAnsiTheme="majorBidi" w:cstheme="majorBidi"/>
              <w:noProof/>
              <w:color w:val="4472C4" w:themeColor="accent1"/>
              <w:sz w:val="24"/>
              <w:szCs w:val="24"/>
            </w:rPr>
            <mc:AlternateContent>
              <mc:Choice Requires="wps">
                <w:drawing>
                  <wp:anchor distT="0" distB="0" distL="114300" distR="114300" simplePos="0" relativeHeight="251659264" behindDoc="0" locked="0" layoutInCell="1" allowOverlap="1" wp14:anchorId="5E743B6D" wp14:editId="2C18A256">
                    <wp:simplePos x="0" y="0"/>
                    <wp:positionH relativeFrom="page">
                      <wp:align>center</wp:align>
                    </wp:positionH>
                    <wp:positionV relativeFrom="page">
                      <wp:align>center</wp:align>
                    </wp:positionV>
                    <wp:extent cx="1712890" cy="3840480"/>
                    <wp:effectExtent l="0" t="0" r="1270" b="0"/>
                    <wp:wrapNone/>
                    <wp:docPr id="138" name="Text Box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EC3F4D" w14:paraId="35AE1007" w14:textId="77777777">
                                  <w:trPr>
                                    <w:jc w:val="center"/>
                                  </w:trPr>
                                  <w:tc>
                                    <w:tcPr>
                                      <w:tcW w:w="2568" w:type="pct"/>
                                      <w:vAlign w:val="center"/>
                                    </w:tcPr>
                                    <w:p w14:paraId="185CB8DC" w14:textId="77777777" w:rsidR="00EC3F4D" w:rsidRDefault="00EC3F4D">
                                      <w:pPr>
                                        <w:jc w:val="right"/>
                                      </w:pPr>
                                      <w:r>
                                        <w:rPr>
                                          <w:noProof/>
                                        </w:rPr>
                                        <w:drawing>
                                          <wp:inline distT="0" distB="0" distL="0" distR="0" wp14:anchorId="58ADFA72" wp14:editId="6EA07D80">
                                            <wp:extent cx="2725798" cy="3831336"/>
                                            <wp:effectExtent l="0" t="0" r="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8"/>
                                                    <a:stretch>
                                                      <a:fillRect/>
                                                    </a:stretch>
                                                  </pic:blipFill>
                                                  <pic:spPr>
                                                    <a:xfrm>
                                                      <a:off x="0" y="0"/>
                                                      <a:ext cx="2725798" cy="3831336"/>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382C9741" w14:textId="7EBA85D9" w:rsidR="00EC3F4D" w:rsidRDefault="00FF419C">
                                          <w:pPr>
                                            <w:pStyle w:val="NoSpacing"/>
                                            <w:spacing w:line="312" w:lineRule="auto"/>
                                            <w:jc w:val="right"/>
                                            <w:rPr>
                                              <w:caps/>
                                              <w:color w:val="191919" w:themeColor="text1" w:themeTint="E6"/>
                                              <w:sz w:val="72"/>
                                              <w:szCs w:val="72"/>
                                            </w:rPr>
                                          </w:pPr>
                                          <w:r>
                                            <w:rPr>
                                              <w:caps/>
                                              <w:color w:val="191919" w:themeColor="text1" w:themeTint="E6"/>
                                              <w:sz w:val="72"/>
                                              <w:szCs w:val="72"/>
                                            </w:rPr>
                                            <w:t>Eradicating the Root of Hatred</w:t>
                                          </w:r>
                                        </w:p>
                                      </w:sdtContent>
                                    </w:sdt>
                                    <w:sdt>
                                      <w:sdtPr>
                                        <w:rPr>
                                          <w:color w:val="000000" w:themeColor="text1"/>
                                          <w:sz w:val="24"/>
                                          <w:szCs w:val="24"/>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21B36F75" w14:textId="66B9F9A4" w:rsidR="00EC3F4D" w:rsidRDefault="00A137EA">
                                          <w:pPr>
                                            <w:jc w:val="right"/>
                                            <w:rPr>
                                              <w:sz w:val="24"/>
                                              <w:szCs w:val="24"/>
                                            </w:rPr>
                                          </w:pPr>
                                          <w:r>
                                            <w:rPr>
                                              <w:color w:val="000000" w:themeColor="text1"/>
                                              <w:sz w:val="24"/>
                                              <w:szCs w:val="24"/>
                                            </w:rPr>
                                            <w:t>A Survey of Bar Hebraeus's Ecumenism</w:t>
                                          </w:r>
                                        </w:p>
                                      </w:sdtContent>
                                    </w:sdt>
                                  </w:tc>
                                  <w:tc>
                                    <w:tcPr>
                                      <w:tcW w:w="2432" w:type="pct"/>
                                      <w:vAlign w:val="center"/>
                                    </w:tcPr>
                                    <w:p w14:paraId="7BC7A2FB" w14:textId="77777777" w:rsidR="00EC3F4D" w:rsidRDefault="00EC3F4D">
                                      <w:pPr>
                                        <w:pStyle w:val="NoSpacing"/>
                                        <w:rPr>
                                          <w:caps/>
                                          <w:color w:val="ED7D31" w:themeColor="accent2"/>
                                          <w:sz w:val="26"/>
                                          <w:szCs w:val="26"/>
                                        </w:rPr>
                                      </w:pPr>
                                      <w:r>
                                        <w:rPr>
                                          <w:caps/>
                                          <w:color w:val="ED7D31" w:themeColor="accent2"/>
                                          <w:sz w:val="26"/>
                                          <w:szCs w:val="26"/>
                                        </w:rPr>
                                        <w:t>Abstract</w:t>
                                      </w:r>
                                    </w:p>
                                    <w:sdt>
                                      <w:sdtPr>
                                        <w:alias w:val="Abstract"/>
                                        <w:tag w:val=""/>
                                        <w:id w:val="-2036181933"/>
                                        <w:dataBinding w:prefixMappings="xmlns:ns0='http://schemas.microsoft.com/office/2006/coverPageProps' " w:xpath="/ns0:CoverPageProperties[1]/ns0:Abstract[1]" w:storeItemID="{55AF091B-3C7A-41E3-B477-F2FDAA23CFDA}"/>
                                        <w:text/>
                                      </w:sdtPr>
                                      <w:sdtEndPr/>
                                      <w:sdtContent>
                                        <w:p w14:paraId="34C48254" w14:textId="07126704" w:rsidR="00EC3F4D" w:rsidRDefault="00EC3F4D" w:rsidP="00EC3F4D">
                                          <w:pPr>
                                            <w:rPr>
                                              <w:color w:val="000000" w:themeColor="text1"/>
                                            </w:rPr>
                                          </w:pPr>
                                          <w:r w:rsidRPr="008F4A5E">
                                            <w:t>Ecumenical discussions between Eastern Orthodox Chalcedonians and Oriental Orthodox Non-Chalcedonians have reached some major agreements in the last 30 years, but recently these talks have cooled. The 13th century Non-Chalcedonian bishop of the Syriac Orthodox Church, Bar Hebraeus, established many of the main talking points between the Chalcedonian imperial church, the Non-Ephesine Church of the East, and his own church. Bar Hebraeus’s encyclopedic knowledge came from a variety of sources, Christian and otherwise. He wrote on science, philosophy, theology, history, and more. He was a true polymath of the Syriac Renaissance. In this paper, I show the development of Bar Hebraeus’s ecumenical sympathies through several of his works</w:t>
                                          </w:r>
                                          <w:r w:rsidR="008F4A5E" w:rsidRPr="008F4A5E">
                                            <w:t xml:space="preserve"> with an emphasis on his Letter to Catholicos Dehna, the Book of the Dove, and his poems "On Disputations</w:t>
                                          </w:r>
                                          <w:r w:rsidR="00223943">
                                            <w:t>.</w:t>
                                          </w:r>
                                          <w:r w:rsidR="008F4A5E" w:rsidRPr="008F4A5E">
                                            <w:t>"</w:t>
                                          </w:r>
                                          <w:r w:rsidRPr="008F4A5E">
                                            <w:t xml:space="preserve"> The Book of the Dove shows his irenic ecumenism at its height, where he began as more reserved in his attitudes towards other churches.</w:t>
                                          </w:r>
                                          <w:r w:rsidR="008F4A5E" w:rsidRPr="008F4A5E">
                                            <w:t xml:space="preserve"> </w:t>
                                          </w:r>
                                          <w:r w:rsidRPr="008F4A5E">
                                            <w:t>Inter-communion was not established in the 13th century, nor has it been established since. I conclude this paper with an examination of the current state of discussion between Chalcedonian and Non-Chalcedonian churches, with an aim to see how Bar Hebraeus’s Christological opinions might add to the discussion. He addressed the Christological differences, and agreed statements have been issued on these questions. It is now the liturgical and ecclesiastical differences that remain.</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71C88FD4" w14:textId="05AB07DC" w:rsidR="00EC3F4D" w:rsidRDefault="00EC3F4D">
                                          <w:pPr>
                                            <w:pStyle w:val="NoSpacing"/>
                                            <w:rPr>
                                              <w:color w:val="ED7D31" w:themeColor="accent2"/>
                                              <w:sz w:val="26"/>
                                              <w:szCs w:val="26"/>
                                            </w:rPr>
                                          </w:pPr>
                                          <w:r>
                                            <w:rPr>
                                              <w:color w:val="ED7D31" w:themeColor="accent2"/>
                                              <w:sz w:val="26"/>
                                              <w:szCs w:val="26"/>
                                            </w:rPr>
                                            <w:t>Patrick Conlin</w:t>
                                          </w:r>
                                          <w:r w:rsidR="003A7FCD">
                                            <w:rPr>
                                              <w:color w:val="ED7D31" w:themeColor="accent2"/>
                                              <w:sz w:val="26"/>
                                              <w:szCs w:val="26"/>
                                            </w:rPr>
                                            <w:t xml:space="preserve"> - Marquette University</w:t>
                                          </w:r>
                                        </w:p>
                                      </w:sdtContent>
                                    </w:sdt>
                                    <w:p w14:paraId="3642A483" w14:textId="6F02E966" w:rsidR="00EC3F4D" w:rsidRDefault="0027276A">
                                      <w:pPr>
                                        <w:pStyle w:val="NoSpacing"/>
                                      </w:pPr>
                                      <w:sdt>
                                        <w:sdtPr>
                                          <w:rPr>
                                            <w:rFonts w:ascii="Times New Roman" w:hAnsi="Times New Roman" w:cs="Times New Roman"/>
                                            <w:b/>
                                            <w:bCs/>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EC3F4D" w:rsidRPr="00FF419C">
                                            <w:rPr>
                                              <w:rFonts w:ascii="Times New Roman" w:hAnsi="Times New Roman" w:cs="Times New Roman"/>
                                              <w:b/>
                                              <w:bCs/>
                                            </w:rPr>
                                            <w:t>University of Wisconsin-Milwaukee Religious Student Organization 2019 Academic Conference:</w:t>
                                          </w:r>
                                          <w:r w:rsidR="00FF419C" w:rsidRPr="00FF419C">
                                            <w:rPr>
                                              <w:rFonts w:ascii="Times New Roman" w:hAnsi="Times New Roman" w:cs="Times New Roman"/>
                                              <w:b/>
                                              <w:bCs/>
                                            </w:rPr>
                                            <w:t xml:space="preserve"> Religion and the Human Condition</w:t>
                                          </w:r>
                                        </w:sdtContent>
                                      </w:sdt>
                                    </w:p>
                                  </w:tc>
                                </w:tr>
                              </w:tbl>
                              <w:p w14:paraId="71A9BF98" w14:textId="77777777" w:rsidR="00EC3F4D" w:rsidRDefault="00EC3F4D"/>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5E743B6D" id="_x0000_t202" coordsize="21600,21600" o:spt="202" path="m,l,21600r21600,l21600,xe">
                    <v:stroke joinstyle="miter"/>
                    <v:path gradientshapeok="t" o:connecttype="rect"/>
                  </v:shapetype>
                  <v:shape id="Text Box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EC3F4D" w14:paraId="35AE1007" w14:textId="77777777">
                            <w:trPr>
                              <w:jc w:val="center"/>
                            </w:trPr>
                            <w:tc>
                              <w:tcPr>
                                <w:tcW w:w="2568" w:type="pct"/>
                                <w:vAlign w:val="center"/>
                              </w:tcPr>
                              <w:p w14:paraId="185CB8DC" w14:textId="77777777" w:rsidR="00EC3F4D" w:rsidRDefault="00EC3F4D">
                                <w:pPr>
                                  <w:jc w:val="right"/>
                                </w:pPr>
                                <w:r>
                                  <w:rPr>
                                    <w:noProof/>
                                  </w:rPr>
                                  <w:drawing>
                                    <wp:inline distT="0" distB="0" distL="0" distR="0" wp14:anchorId="58ADFA72" wp14:editId="6EA07D80">
                                      <wp:extent cx="2725798" cy="3831336"/>
                                      <wp:effectExtent l="0" t="0" r="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8"/>
                                              <a:stretch>
                                                <a:fillRect/>
                                              </a:stretch>
                                            </pic:blipFill>
                                            <pic:spPr>
                                              <a:xfrm>
                                                <a:off x="0" y="0"/>
                                                <a:ext cx="2725798" cy="3831336"/>
                                              </a:xfrm>
                                              <a:prstGeom prst="rect">
                                                <a:avLst/>
                                              </a:prstGeom>
                                            </pic:spPr>
                                          </pic:pic>
                                        </a:graphicData>
                                      </a:graphic>
                                    </wp:inline>
                                  </w:drawing>
                                </w:r>
                              </w:p>
                              <w:sdt>
                                <w:sdtPr>
                                  <w:rPr>
                                    <w:caps/>
                                    <w:color w:val="191919" w:themeColor="text1" w:themeTint="E6"/>
                                    <w:sz w:val="72"/>
                                    <w:szCs w:val="72"/>
                                  </w:rPr>
                                  <w:alias w:val="Title"/>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382C9741" w14:textId="7EBA85D9" w:rsidR="00EC3F4D" w:rsidRDefault="00FF419C">
                                    <w:pPr>
                                      <w:pStyle w:val="NoSpacing"/>
                                      <w:spacing w:line="312" w:lineRule="auto"/>
                                      <w:jc w:val="right"/>
                                      <w:rPr>
                                        <w:caps/>
                                        <w:color w:val="191919" w:themeColor="text1" w:themeTint="E6"/>
                                        <w:sz w:val="72"/>
                                        <w:szCs w:val="72"/>
                                      </w:rPr>
                                    </w:pPr>
                                    <w:r>
                                      <w:rPr>
                                        <w:caps/>
                                        <w:color w:val="191919" w:themeColor="text1" w:themeTint="E6"/>
                                        <w:sz w:val="72"/>
                                        <w:szCs w:val="72"/>
                                      </w:rPr>
                                      <w:t>Eradicating the Root of Hatred</w:t>
                                    </w:r>
                                  </w:p>
                                </w:sdtContent>
                              </w:sdt>
                              <w:sdt>
                                <w:sdtPr>
                                  <w:rPr>
                                    <w:color w:val="000000" w:themeColor="text1"/>
                                    <w:sz w:val="24"/>
                                    <w:szCs w:val="24"/>
                                  </w:rPr>
                                  <w:alias w:val="Subtitle"/>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21B36F75" w14:textId="66B9F9A4" w:rsidR="00EC3F4D" w:rsidRDefault="00A137EA">
                                    <w:pPr>
                                      <w:jc w:val="right"/>
                                      <w:rPr>
                                        <w:sz w:val="24"/>
                                        <w:szCs w:val="24"/>
                                      </w:rPr>
                                    </w:pPr>
                                    <w:r>
                                      <w:rPr>
                                        <w:color w:val="000000" w:themeColor="text1"/>
                                        <w:sz w:val="24"/>
                                        <w:szCs w:val="24"/>
                                      </w:rPr>
                                      <w:t>A Survey of Bar Hebraeus's Ecumenism</w:t>
                                    </w:r>
                                  </w:p>
                                </w:sdtContent>
                              </w:sdt>
                            </w:tc>
                            <w:tc>
                              <w:tcPr>
                                <w:tcW w:w="2432" w:type="pct"/>
                                <w:vAlign w:val="center"/>
                              </w:tcPr>
                              <w:p w14:paraId="7BC7A2FB" w14:textId="77777777" w:rsidR="00EC3F4D" w:rsidRDefault="00EC3F4D">
                                <w:pPr>
                                  <w:pStyle w:val="NoSpacing"/>
                                  <w:rPr>
                                    <w:caps/>
                                    <w:color w:val="ED7D31" w:themeColor="accent2"/>
                                    <w:sz w:val="26"/>
                                    <w:szCs w:val="26"/>
                                  </w:rPr>
                                </w:pPr>
                                <w:r>
                                  <w:rPr>
                                    <w:caps/>
                                    <w:color w:val="ED7D31" w:themeColor="accent2"/>
                                    <w:sz w:val="26"/>
                                    <w:szCs w:val="26"/>
                                  </w:rPr>
                                  <w:t>Abstract</w:t>
                                </w:r>
                              </w:p>
                              <w:sdt>
                                <w:sdtPr>
                                  <w:alias w:val="Abstract"/>
                                  <w:tag w:val=""/>
                                  <w:id w:val="-2036181933"/>
                                  <w:dataBinding w:prefixMappings="xmlns:ns0='http://schemas.microsoft.com/office/2006/coverPageProps' " w:xpath="/ns0:CoverPageProperties[1]/ns0:Abstract[1]" w:storeItemID="{55AF091B-3C7A-41E3-B477-F2FDAA23CFDA}"/>
                                  <w:text/>
                                </w:sdtPr>
                                <w:sdtEndPr/>
                                <w:sdtContent>
                                  <w:p w14:paraId="34C48254" w14:textId="07126704" w:rsidR="00EC3F4D" w:rsidRDefault="00EC3F4D" w:rsidP="00EC3F4D">
                                    <w:pPr>
                                      <w:rPr>
                                        <w:color w:val="000000" w:themeColor="text1"/>
                                      </w:rPr>
                                    </w:pPr>
                                    <w:r w:rsidRPr="008F4A5E">
                                      <w:t>Ecumenical discussions between Eastern Orthodox Chalcedonians and Oriental Orthodox Non-Chalcedonians have reached some major agreements in the last 30 years, but recently these talks have cooled. The 13th century Non-Chalcedonian bishop of the Syriac Orthodox Church, Bar Hebraeus, established many of the main talking points between the Chalcedonian imperial church, the Non-Ephesine Church of the East, and his own church. Bar Hebraeus’s encyclopedic knowledge came from a variety of sources, Christian and otherwise. He wrote on science, philosophy, theology, history, and more. He was a true polymath of the Syriac Renaissance. In this paper, I show the development of Bar Hebraeus’s ecumenical sympathies through several of his works</w:t>
                                    </w:r>
                                    <w:r w:rsidR="008F4A5E" w:rsidRPr="008F4A5E">
                                      <w:t xml:space="preserve"> with an emphasis on his Letter to Catholicos Dehna, the Book of the Dove, and his poems "On Disputations</w:t>
                                    </w:r>
                                    <w:r w:rsidR="00223943">
                                      <w:t>.</w:t>
                                    </w:r>
                                    <w:r w:rsidR="008F4A5E" w:rsidRPr="008F4A5E">
                                      <w:t>"</w:t>
                                    </w:r>
                                    <w:r w:rsidRPr="008F4A5E">
                                      <w:t xml:space="preserve"> The Book of the Dove shows his irenic ecumenism at its height, where he began as more reserved in his attitudes towards other churches.</w:t>
                                    </w:r>
                                    <w:r w:rsidR="008F4A5E" w:rsidRPr="008F4A5E">
                                      <w:t xml:space="preserve"> </w:t>
                                    </w:r>
                                    <w:r w:rsidRPr="008F4A5E">
                                      <w:t>Inter-communion was not established in the 13th century, nor has it been established since. I conclude this paper with an examination of the current state of discussion between Chalcedonian and Non-Chalcedonian churches, with an aim to see how Bar Hebraeus’s Christological opinions might add to the discussion. He addressed the Christological differences, and agreed statements have been issued on these questions. It is now the liturgical and ecclesiastical differences that remain.</w:t>
                                    </w:r>
                                  </w:p>
                                </w:sdtContent>
                              </w:sdt>
                              <w:sdt>
                                <w:sdtPr>
                                  <w:rPr>
                                    <w:color w:val="ED7D31" w:themeColor="accent2"/>
                                    <w:sz w:val="26"/>
                                    <w:szCs w:val="26"/>
                                  </w:rPr>
                                  <w:alias w:val="Author"/>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14:paraId="71C88FD4" w14:textId="05AB07DC" w:rsidR="00EC3F4D" w:rsidRDefault="00EC3F4D">
                                    <w:pPr>
                                      <w:pStyle w:val="NoSpacing"/>
                                      <w:rPr>
                                        <w:color w:val="ED7D31" w:themeColor="accent2"/>
                                        <w:sz w:val="26"/>
                                        <w:szCs w:val="26"/>
                                      </w:rPr>
                                    </w:pPr>
                                    <w:r>
                                      <w:rPr>
                                        <w:color w:val="ED7D31" w:themeColor="accent2"/>
                                        <w:sz w:val="26"/>
                                        <w:szCs w:val="26"/>
                                      </w:rPr>
                                      <w:t>Patrick Conlin</w:t>
                                    </w:r>
                                    <w:r w:rsidR="003A7FCD">
                                      <w:rPr>
                                        <w:color w:val="ED7D31" w:themeColor="accent2"/>
                                        <w:sz w:val="26"/>
                                        <w:szCs w:val="26"/>
                                      </w:rPr>
                                      <w:t xml:space="preserve"> - Marquette University</w:t>
                                    </w:r>
                                  </w:p>
                                </w:sdtContent>
                              </w:sdt>
                              <w:p w14:paraId="3642A483" w14:textId="6F02E966" w:rsidR="00EC3F4D" w:rsidRDefault="0027276A">
                                <w:pPr>
                                  <w:pStyle w:val="NoSpacing"/>
                                </w:pPr>
                                <w:sdt>
                                  <w:sdtPr>
                                    <w:rPr>
                                      <w:rFonts w:ascii="Times New Roman" w:hAnsi="Times New Roman" w:cs="Times New Roman"/>
                                      <w:b/>
                                      <w:bCs/>
                                    </w:rPr>
                                    <w:alias w:val="Course"/>
                                    <w:tag w:val="Course"/>
                                    <w:id w:val="-710501431"/>
                                    <w:dataBinding w:prefixMappings="xmlns:ns0='http://purl.org/dc/elements/1.1/' xmlns:ns1='http://schemas.openxmlformats.org/package/2006/metadata/core-properties' " w:xpath="/ns1:coreProperties[1]/ns1:category[1]" w:storeItemID="{6C3C8BC8-F283-45AE-878A-BAB7291924A1}"/>
                                    <w:text/>
                                  </w:sdtPr>
                                  <w:sdtEndPr/>
                                  <w:sdtContent>
                                    <w:r w:rsidR="00EC3F4D" w:rsidRPr="00FF419C">
                                      <w:rPr>
                                        <w:rFonts w:ascii="Times New Roman" w:hAnsi="Times New Roman" w:cs="Times New Roman"/>
                                        <w:b/>
                                        <w:bCs/>
                                      </w:rPr>
                                      <w:t>University of Wisconsin-Milwaukee Religious Student Organization 2019 Academic Conference:</w:t>
                                    </w:r>
                                    <w:r w:rsidR="00FF419C" w:rsidRPr="00FF419C">
                                      <w:rPr>
                                        <w:rFonts w:ascii="Times New Roman" w:hAnsi="Times New Roman" w:cs="Times New Roman"/>
                                        <w:b/>
                                        <w:bCs/>
                                      </w:rPr>
                                      <w:t xml:space="preserve"> Religion and the Human Condition</w:t>
                                    </w:r>
                                  </w:sdtContent>
                                </w:sdt>
                              </w:p>
                            </w:tc>
                          </w:tr>
                        </w:tbl>
                        <w:p w14:paraId="71A9BF98" w14:textId="77777777" w:rsidR="00EC3F4D" w:rsidRDefault="00EC3F4D"/>
                      </w:txbxContent>
                    </v:textbox>
                    <w10:wrap anchorx="page" anchory="page"/>
                  </v:shape>
                </w:pict>
              </mc:Fallback>
            </mc:AlternateContent>
          </w:r>
          <w:r>
            <w:rPr>
              <w:rFonts w:asciiTheme="majorBidi" w:hAnsiTheme="majorBidi" w:cstheme="majorBidi"/>
              <w:color w:val="4472C4" w:themeColor="accent1"/>
              <w:sz w:val="24"/>
              <w:szCs w:val="24"/>
            </w:rPr>
            <w:br w:type="page"/>
          </w:r>
        </w:p>
      </w:sdtContent>
    </w:sdt>
    <w:p w14:paraId="124469B7" w14:textId="5BCE41AC" w:rsidR="00EB5971" w:rsidRPr="00536927" w:rsidRDefault="00755058" w:rsidP="008F4A5E">
      <w:pPr>
        <w:spacing w:line="480" w:lineRule="auto"/>
        <w:jc w:val="center"/>
        <w:rPr>
          <w:rFonts w:asciiTheme="majorBidi" w:hAnsiTheme="majorBidi" w:cstheme="majorBidi"/>
          <w:sz w:val="24"/>
          <w:szCs w:val="24"/>
        </w:rPr>
      </w:pPr>
      <w:r w:rsidRPr="00536927">
        <w:rPr>
          <w:rFonts w:asciiTheme="majorBidi" w:hAnsiTheme="majorBidi" w:cstheme="majorBidi"/>
          <w:b/>
          <w:bCs/>
          <w:sz w:val="24"/>
          <w:szCs w:val="24"/>
        </w:rPr>
        <w:lastRenderedPageBreak/>
        <w:t>INTRODUCTION &amp; BIOGRAPHY</w:t>
      </w:r>
    </w:p>
    <w:p w14:paraId="65985AE9" w14:textId="052CA7D5" w:rsidR="00AF0CF4" w:rsidRPr="00536927" w:rsidRDefault="00637B17" w:rsidP="008F4A5E">
      <w:pPr>
        <w:spacing w:line="480" w:lineRule="auto"/>
        <w:ind w:left="720"/>
        <w:rPr>
          <w:rFonts w:asciiTheme="majorBidi" w:hAnsiTheme="majorBidi" w:cstheme="majorBidi"/>
          <w:sz w:val="24"/>
          <w:szCs w:val="24"/>
        </w:rPr>
      </w:pPr>
      <w:r w:rsidRPr="00536927">
        <w:rPr>
          <w:rFonts w:asciiTheme="majorBidi" w:hAnsiTheme="majorBidi" w:cstheme="majorBidi"/>
          <w:sz w:val="24"/>
          <w:szCs w:val="24"/>
        </w:rPr>
        <w:t>From my first youth burning with love of teachings, I was taught the holy scriptures</w:t>
      </w:r>
      <w:r w:rsidR="00912075" w:rsidRPr="00536927">
        <w:rPr>
          <w:rFonts w:asciiTheme="majorBidi" w:hAnsiTheme="majorBidi" w:cstheme="majorBidi"/>
          <w:sz w:val="24"/>
          <w:szCs w:val="24"/>
        </w:rPr>
        <w:t xml:space="preserve"> with the </w:t>
      </w:r>
      <w:r w:rsidRPr="00536927">
        <w:rPr>
          <w:rFonts w:asciiTheme="majorBidi" w:hAnsiTheme="majorBidi" w:cstheme="majorBidi"/>
          <w:sz w:val="24"/>
          <w:szCs w:val="24"/>
        </w:rPr>
        <w:t>necessary</w:t>
      </w:r>
      <w:r w:rsidR="00912075" w:rsidRPr="00536927">
        <w:rPr>
          <w:rFonts w:asciiTheme="majorBidi" w:hAnsiTheme="majorBidi" w:cstheme="majorBidi"/>
          <w:sz w:val="24"/>
          <w:szCs w:val="24"/>
        </w:rPr>
        <w:t xml:space="preserve"> explanation, and from an exquisite teacher I heard the mysteries contained in the writings of the holy doctors. When I had reached the age of twenty, the then living patriarch compelled me to receive the dignity of a bishop. Then it was inevitable for me to engage myself in disquisitions and disputations with the heads of other confessions, interior and exterior. And when I had given my thoughts and meditations to this business during some time, I became convinced, that these quarrels of Christians are not a matter of facts but of words and denominations. For all of them confess Christ, our Lord, to be wholly God and wholly man, without mixture, nivellation or mutation of natures. This bilateral likeness is called by some nature, by others person, by others hypostasis. So I saw all Christian peoples, notwithstanding these differences, possessing one unvarying equality. And I wholly eradicated the root of hatred from the depth of my heart and I absolutely forsook disputation wi</w:t>
      </w:r>
      <w:r w:rsidR="004E2AEB" w:rsidRPr="00536927">
        <w:rPr>
          <w:rFonts w:asciiTheme="majorBidi" w:hAnsiTheme="majorBidi" w:cstheme="majorBidi"/>
          <w:sz w:val="24"/>
          <w:szCs w:val="24"/>
        </w:rPr>
        <w:t>th anyone concerning confession</w:t>
      </w:r>
      <w:r w:rsidR="00573F5A" w:rsidRPr="00536927">
        <w:rPr>
          <w:rStyle w:val="FootnoteReference"/>
          <w:rFonts w:asciiTheme="majorBidi" w:hAnsiTheme="majorBidi" w:cstheme="majorBidi"/>
          <w:sz w:val="24"/>
          <w:szCs w:val="24"/>
        </w:rPr>
        <w:footnoteReference w:id="1"/>
      </w:r>
      <w:r w:rsidR="004E2AEB" w:rsidRPr="00536927">
        <w:rPr>
          <w:rFonts w:asciiTheme="majorBidi" w:hAnsiTheme="majorBidi" w:cstheme="majorBidi"/>
          <w:sz w:val="24"/>
          <w:szCs w:val="24"/>
        </w:rPr>
        <w:t>.</w:t>
      </w:r>
    </w:p>
    <w:p w14:paraId="20E476C9" w14:textId="462BD7FC" w:rsidR="00912075" w:rsidRPr="00536927" w:rsidRDefault="00573F5A" w:rsidP="008F4A5E">
      <w:pPr>
        <w:spacing w:line="480" w:lineRule="auto"/>
        <w:ind w:firstLine="720"/>
        <w:rPr>
          <w:rFonts w:asciiTheme="majorBidi" w:hAnsiTheme="majorBidi" w:cstheme="majorBidi"/>
          <w:sz w:val="24"/>
          <w:szCs w:val="24"/>
        </w:rPr>
      </w:pPr>
      <w:r w:rsidRPr="00536927">
        <w:rPr>
          <w:rFonts w:asciiTheme="majorBidi" w:hAnsiTheme="majorBidi" w:cstheme="majorBidi"/>
          <w:sz w:val="24"/>
          <w:szCs w:val="24"/>
        </w:rPr>
        <w:t xml:space="preserve">Thus reads a biographical note in Bar Hebraeus’s </w:t>
      </w:r>
      <w:r w:rsidRPr="00536927">
        <w:rPr>
          <w:rFonts w:asciiTheme="majorBidi" w:hAnsiTheme="majorBidi" w:cstheme="majorBidi"/>
          <w:i/>
          <w:iCs/>
          <w:sz w:val="24"/>
          <w:szCs w:val="24"/>
        </w:rPr>
        <w:t>Book of the Dove</w:t>
      </w:r>
      <w:r w:rsidRPr="00536927">
        <w:rPr>
          <w:rFonts w:asciiTheme="majorBidi" w:hAnsiTheme="majorBidi" w:cstheme="majorBidi"/>
          <w:sz w:val="24"/>
          <w:szCs w:val="24"/>
        </w:rPr>
        <w:t>. Bar Hebraeus was a Syriac polymath, who left writings on theology, philosophy, law, history, grammar, science, and m</w:t>
      </w:r>
      <w:r w:rsidR="008348B2" w:rsidRPr="00536927">
        <w:rPr>
          <w:rFonts w:asciiTheme="majorBidi" w:hAnsiTheme="majorBidi" w:cstheme="majorBidi"/>
          <w:sz w:val="24"/>
          <w:szCs w:val="24"/>
        </w:rPr>
        <w:t>edicine</w:t>
      </w:r>
      <w:r w:rsidR="008348B2" w:rsidRPr="00536927">
        <w:rPr>
          <w:rStyle w:val="FootnoteReference"/>
          <w:rFonts w:asciiTheme="majorBidi" w:hAnsiTheme="majorBidi" w:cstheme="majorBidi"/>
          <w:sz w:val="24"/>
          <w:szCs w:val="24"/>
        </w:rPr>
        <w:footnoteReference w:id="2"/>
      </w:r>
      <w:r w:rsidRPr="00536927">
        <w:rPr>
          <w:rFonts w:asciiTheme="majorBidi" w:hAnsiTheme="majorBidi" w:cstheme="majorBidi"/>
          <w:sz w:val="24"/>
          <w:szCs w:val="24"/>
        </w:rPr>
        <w:t xml:space="preserve">. His attitude towards </w:t>
      </w:r>
      <w:r w:rsidR="008F4A5E">
        <w:rPr>
          <w:rFonts w:asciiTheme="majorBidi" w:hAnsiTheme="majorBidi" w:cstheme="majorBidi"/>
          <w:sz w:val="24"/>
          <w:szCs w:val="24"/>
        </w:rPr>
        <w:t>other churches</w:t>
      </w:r>
      <w:r w:rsidRPr="00536927">
        <w:rPr>
          <w:rFonts w:asciiTheme="majorBidi" w:hAnsiTheme="majorBidi" w:cstheme="majorBidi"/>
          <w:sz w:val="24"/>
          <w:szCs w:val="24"/>
        </w:rPr>
        <w:t xml:space="preserve"> is the subject of this paper. The quotation above shows that he came to respect the opinions of the</w:t>
      </w:r>
      <w:r w:rsidR="008348B2" w:rsidRPr="00536927">
        <w:rPr>
          <w:rFonts w:asciiTheme="majorBidi" w:hAnsiTheme="majorBidi" w:cstheme="majorBidi"/>
          <w:sz w:val="24"/>
          <w:szCs w:val="24"/>
        </w:rPr>
        <w:t xml:space="preserve"> </w:t>
      </w:r>
      <w:r w:rsidR="00186DE8" w:rsidRPr="00536927">
        <w:rPr>
          <w:rFonts w:asciiTheme="majorBidi" w:hAnsiTheme="majorBidi" w:cstheme="majorBidi"/>
          <w:sz w:val="24"/>
          <w:szCs w:val="24"/>
        </w:rPr>
        <w:t>Church of the East</w:t>
      </w:r>
      <w:r w:rsidR="008348B2" w:rsidRPr="00536927">
        <w:rPr>
          <w:rFonts w:asciiTheme="majorBidi" w:hAnsiTheme="majorBidi" w:cstheme="majorBidi"/>
          <w:sz w:val="24"/>
          <w:szCs w:val="24"/>
        </w:rPr>
        <w:t xml:space="preserve"> and the Chalcedonian imperial church (both in its Eastern </w:t>
      </w:r>
      <w:r w:rsidR="007E6964" w:rsidRPr="00536927">
        <w:rPr>
          <w:rFonts w:asciiTheme="majorBidi" w:hAnsiTheme="majorBidi" w:cstheme="majorBidi"/>
          <w:sz w:val="24"/>
          <w:szCs w:val="24"/>
        </w:rPr>
        <w:t xml:space="preserve">Orthodox </w:t>
      </w:r>
      <w:r w:rsidR="008348B2" w:rsidRPr="00536927">
        <w:rPr>
          <w:rFonts w:asciiTheme="majorBidi" w:hAnsiTheme="majorBidi" w:cstheme="majorBidi"/>
          <w:sz w:val="24"/>
          <w:szCs w:val="24"/>
        </w:rPr>
        <w:t xml:space="preserve">and Western </w:t>
      </w:r>
      <w:r w:rsidR="007E6964" w:rsidRPr="00536927">
        <w:rPr>
          <w:rFonts w:asciiTheme="majorBidi" w:hAnsiTheme="majorBidi" w:cstheme="majorBidi"/>
          <w:sz w:val="24"/>
          <w:szCs w:val="24"/>
        </w:rPr>
        <w:t xml:space="preserve">Catholic </w:t>
      </w:r>
      <w:r w:rsidR="008348B2" w:rsidRPr="00536927">
        <w:rPr>
          <w:rFonts w:asciiTheme="majorBidi" w:hAnsiTheme="majorBidi" w:cstheme="majorBidi"/>
          <w:sz w:val="24"/>
          <w:szCs w:val="24"/>
        </w:rPr>
        <w:t xml:space="preserve">forms), along with his own </w:t>
      </w:r>
      <w:r w:rsidR="007E6964" w:rsidRPr="00536927">
        <w:rPr>
          <w:rFonts w:asciiTheme="majorBidi" w:hAnsiTheme="majorBidi" w:cstheme="majorBidi"/>
          <w:sz w:val="24"/>
          <w:szCs w:val="24"/>
        </w:rPr>
        <w:t>Syrian Orthodox</w:t>
      </w:r>
      <w:r w:rsidR="008348B2" w:rsidRPr="00536927">
        <w:rPr>
          <w:rFonts w:asciiTheme="majorBidi" w:hAnsiTheme="majorBidi" w:cstheme="majorBidi"/>
          <w:sz w:val="24"/>
          <w:szCs w:val="24"/>
        </w:rPr>
        <w:t xml:space="preserve"> church’s Christology.</w:t>
      </w:r>
      <w:r w:rsidR="007E6964" w:rsidRPr="00536927">
        <w:rPr>
          <w:rStyle w:val="FootnoteReference"/>
          <w:rFonts w:asciiTheme="majorBidi" w:hAnsiTheme="majorBidi" w:cstheme="majorBidi"/>
          <w:sz w:val="24"/>
          <w:szCs w:val="24"/>
        </w:rPr>
        <w:footnoteReference w:id="3"/>
      </w:r>
      <w:r w:rsidR="008348B2" w:rsidRPr="00536927">
        <w:rPr>
          <w:rFonts w:asciiTheme="majorBidi" w:hAnsiTheme="majorBidi" w:cstheme="majorBidi"/>
          <w:sz w:val="24"/>
          <w:szCs w:val="24"/>
        </w:rPr>
        <w:t xml:space="preserve"> I will trace this theme through Bar Hebraeus’s writings, </w:t>
      </w:r>
      <w:r w:rsidR="008348B2" w:rsidRPr="00536927">
        <w:rPr>
          <w:rFonts w:asciiTheme="majorBidi" w:hAnsiTheme="majorBidi" w:cstheme="majorBidi"/>
          <w:sz w:val="24"/>
          <w:szCs w:val="24"/>
        </w:rPr>
        <w:lastRenderedPageBreak/>
        <w:t>and show the softening of his views regarding the other two Christologies.</w:t>
      </w:r>
      <w:r w:rsidR="00615F64" w:rsidRPr="00536927">
        <w:rPr>
          <w:rFonts w:asciiTheme="majorBidi" w:hAnsiTheme="majorBidi" w:cstheme="majorBidi"/>
          <w:sz w:val="24"/>
          <w:szCs w:val="24"/>
        </w:rPr>
        <w:t xml:space="preserve"> I will examine his </w:t>
      </w:r>
      <w:r w:rsidR="008F4A5E">
        <w:rPr>
          <w:rFonts w:asciiTheme="majorBidi" w:hAnsiTheme="majorBidi" w:cstheme="majorBidi"/>
          <w:i/>
          <w:iCs/>
          <w:sz w:val="24"/>
          <w:szCs w:val="24"/>
        </w:rPr>
        <w:t>Letter to Catholicos Denha</w:t>
      </w:r>
      <w:r w:rsidR="008F4A5E">
        <w:rPr>
          <w:rFonts w:asciiTheme="majorBidi" w:hAnsiTheme="majorBidi" w:cstheme="majorBidi"/>
          <w:sz w:val="24"/>
          <w:szCs w:val="24"/>
        </w:rPr>
        <w:t xml:space="preserve">, the </w:t>
      </w:r>
      <w:r w:rsidR="008F4A5E">
        <w:rPr>
          <w:rFonts w:asciiTheme="majorBidi" w:hAnsiTheme="majorBidi" w:cstheme="majorBidi"/>
          <w:i/>
          <w:iCs/>
          <w:sz w:val="24"/>
          <w:szCs w:val="24"/>
        </w:rPr>
        <w:t>Book of the Dove</w:t>
      </w:r>
      <w:r w:rsidR="00C12BD4" w:rsidRPr="00536927">
        <w:rPr>
          <w:rFonts w:asciiTheme="majorBidi" w:hAnsiTheme="majorBidi" w:cstheme="majorBidi"/>
          <w:i/>
          <w:iCs/>
          <w:sz w:val="24"/>
          <w:szCs w:val="24"/>
        </w:rPr>
        <w:t xml:space="preserve"> </w:t>
      </w:r>
      <w:r w:rsidR="00FF419C">
        <w:rPr>
          <w:rFonts w:asciiTheme="majorBidi" w:hAnsiTheme="majorBidi" w:cstheme="majorBidi"/>
          <w:sz w:val="24"/>
          <w:szCs w:val="24"/>
        </w:rPr>
        <w:t xml:space="preserve">and finally </w:t>
      </w:r>
      <w:r w:rsidR="00C26B3C">
        <w:rPr>
          <w:rFonts w:asciiTheme="majorBidi" w:hAnsiTheme="majorBidi" w:cstheme="majorBidi"/>
          <w:sz w:val="24"/>
          <w:szCs w:val="24"/>
        </w:rPr>
        <w:t>four</w:t>
      </w:r>
      <w:r w:rsidR="00FF419C">
        <w:rPr>
          <w:rFonts w:asciiTheme="majorBidi" w:hAnsiTheme="majorBidi" w:cstheme="majorBidi"/>
          <w:sz w:val="24"/>
          <w:szCs w:val="24"/>
        </w:rPr>
        <w:t xml:space="preserve"> of his poems</w:t>
      </w:r>
      <w:r w:rsidR="008F4A5E">
        <w:rPr>
          <w:rFonts w:asciiTheme="majorBidi" w:hAnsiTheme="majorBidi" w:cstheme="majorBidi"/>
          <w:sz w:val="24"/>
          <w:szCs w:val="24"/>
        </w:rPr>
        <w:t xml:space="preserve"> "O</w:t>
      </w:r>
      <w:r w:rsidR="00FF419C">
        <w:rPr>
          <w:rFonts w:asciiTheme="majorBidi" w:hAnsiTheme="majorBidi" w:cstheme="majorBidi"/>
          <w:sz w:val="24"/>
          <w:szCs w:val="24"/>
        </w:rPr>
        <w:t xml:space="preserve">n </w:t>
      </w:r>
      <w:r w:rsidR="008F4A5E">
        <w:rPr>
          <w:rFonts w:asciiTheme="majorBidi" w:hAnsiTheme="majorBidi" w:cstheme="majorBidi"/>
          <w:sz w:val="24"/>
          <w:szCs w:val="24"/>
        </w:rPr>
        <w:t>D</w:t>
      </w:r>
      <w:r w:rsidR="00FF419C">
        <w:rPr>
          <w:rFonts w:asciiTheme="majorBidi" w:hAnsiTheme="majorBidi" w:cstheme="majorBidi"/>
          <w:sz w:val="24"/>
          <w:szCs w:val="24"/>
        </w:rPr>
        <w:t>isputations</w:t>
      </w:r>
      <w:r w:rsidR="000D1A5C">
        <w:rPr>
          <w:rFonts w:asciiTheme="majorBidi" w:hAnsiTheme="majorBidi" w:cstheme="majorBidi"/>
          <w:sz w:val="24"/>
          <w:szCs w:val="24"/>
        </w:rPr>
        <w:t>,</w:t>
      </w:r>
      <w:r w:rsidR="008F4A5E">
        <w:rPr>
          <w:rFonts w:asciiTheme="majorBidi" w:hAnsiTheme="majorBidi" w:cstheme="majorBidi"/>
          <w:sz w:val="24"/>
          <w:szCs w:val="24"/>
        </w:rPr>
        <w:t>"</w:t>
      </w:r>
      <w:r w:rsidR="000D1A5C">
        <w:rPr>
          <w:rFonts w:asciiTheme="majorBidi" w:hAnsiTheme="majorBidi" w:cstheme="majorBidi"/>
          <w:sz w:val="24"/>
          <w:szCs w:val="24"/>
        </w:rPr>
        <w:t xml:space="preserve"> showing that his attitude started more rigid, before becoming more tolerant later in his career.</w:t>
      </w:r>
    </w:p>
    <w:p w14:paraId="77ADC433" w14:textId="3A189194" w:rsidR="001F448B" w:rsidRDefault="00C12BD4" w:rsidP="008F4A5E">
      <w:pPr>
        <w:spacing w:line="480" w:lineRule="auto"/>
        <w:rPr>
          <w:rFonts w:asciiTheme="majorBidi" w:hAnsiTheme="majorBidi" w:cstheme="majorBidi"/>
          <w:sz w:val="24"/>
          <w:szCs w:val="24"/>
        </w:rPr>
      </w:pPr>
      <w:r w:rsidRPr="00536927">
        <w:rPr>
          <w:rFonts w:asciiTheme="majorBidi" w:hAnsiTheme="majorBidi" w:cstheme="majorBidi"/>
          <w:sz w:val="24"/>
          <w:szCs w:val="24"/>
        </w:rPr>
        <w:tab/>
      </w:r>
      <w:r w:rsidR="006F7D91" w:rsidRPr="00536927">
        <w:rPr>
          <w:rFonts w:asciiTheme="majorBidi" w:hAnsiTheme="majorBidi" w:cstheme="majorBidi"/>
          <w:sz w:val="24"/>
          <w:szCs w:val="24"/>
        </w:rPr>
        <w:t xml:space="preserve">Mar Gregory Abū al-Faraj Barhebraeus, better known as Bar Hebraeus, lived from 1225/6 until July 30th, 1286. He was the son of a physician, born in Melitene under Islamic rule, first by the </w:t>
      </w:r>
      <w:r w:rsidR="004455C7">
        <w:rPr>
          <w:rFonts w:asciiTheme="majorBidi" w:hAnsiTheme="majorBidi" w:cstheme="majorBidi"/>
          <w:sz w:val="24"/>
          <w:szCs w:val="24"/>
        </w:rPr>
        <w:t>Rum Seljuks</w:t>
      </w:r>
      <w:r w:rsidR="00B453BA" w:rsidRPr="00536927">
        <w:rPr>
          <w:rFonts w:asciiTheme="majorBidi" w:hAnsiTheme="majorBidi" w:cstheme="majorBidi"/>
          <w:sz w:val="24"/>
          <w:szCs w:val="24"/>
        </w:rPr>
        <w:t xml:space="preserve"> then by the Mongol Ilkhanids. He became a monk, and rose through the ecclesiastical ranks to the office of Maphrian of the East – the second highest office in the </w:t>
      </w:r>
      <w:r w:rsidR="00186DE8" w:rsidRPr="00536927">
        <w:rPr>
          <w:rFonts w:asciiTheme="majorBidi" w:hAnsiTheme="majorBidi" w:cstheme="majorBidi"/>
          <w:sz w:val="24"/>
          <w:szCs w:val="24"/>
        </w:rPr>
        <w:t>Syrian Orthodox</w:t>
      </w:r>
      <w:r w:rsidR="00B453BA" w:rsidRPr="00536927">
        <w:rPr>
          <w:rFonts w:asciiTheme="majorBidi" w:hAnsiTheme="majorBidi" w:cstheme="majorBidi"/>
          <w:sz w:val="24"/>
          <w:szCs w:val="24"/>
        </w:rPr>
        <w:t xml:space="preserve"> church. During his maphrianate (1264-86), he wrote the majority of his works. He spent most of h</w:t>
      </w:r>
      <w:r w:rsidR="001F448B" w:rsidRPr="00536927">
        <w:rPr>
          <w:rFonts w:asciiTheme="majorBidi" w:hAnsiTheme="majorBidi" w:cstheme="majorBidi"/>
          <w:sz w:val="24"/>
          <w:szCs w:val="24"/>
        </w:rPr>
        <w:t xml:space="preserve">is time in </w:t>
      </w:r>
      <w:r w:rsidR="00B863BE">
        <w:rPr>
          <w:rFonts w:asciiTheme="majorBidi" w:hAnsiTheme="majorBidi" w:cstheme="majorBidi"/>
          <w:sz w:val="24"/>
          <w:szCs w:val="24"/>
        </w:rPr>
        <w:t>Mosul</w:t>
      </w:r>
      <w:r w:rsidR="001F448B" w:rsidRPr="00536927">
        <w:rPr>
          <w:rFonts w:asciiTheme="majorBidi" w:hAnsiTheme="majorBidi" w:cstheme="majorBidi"/>
          <w:sz w:val="24"/>
          <w:szCs w:val="24"/>
        </w:rPr>
        <w:t xml:space="preserve"> and Maragha in modern-day Iraq. The Catholicos of the Church of the East also resided in Maragha, and was familiar to Bar Hebraeus, along with Muslims and Chalcedonians.</w:t>
      </w:r>
      <w:r w:rsidR="001F448B" w:rsidRPr="00536927">
        <w:rPr>
          <w:rStyle w:val="FootnoteReference"/>
          <w:rFonts w:asciiTheme="majorBidi" w:hAnsiTheme="majorBidi" w:cstheme="majorBidi"/>
          <w:sz w:val="24"/>
          <w:szCs w:val="24"/>
        </w:rPr>
        <w:footnoteReference w:id="4"/>
      </w:r>
    </w:p>
    <w:p w14:paraId="5F1EA731" w14:textId="3A8F0F6D" w:rsidR="004455C7" w:rsidRPr="00536927" w:rsidRDefault="004455C7" w:rsidP="008F4A5E">
      <w:pPr>
        <w:spacing w:line="480" w:lineRule="auto"/>
        <w:rPr>
          <w:rFonts w:asciiTheme="majorBidi" w:hAnsiTheme="majorBidi" w:cstheme="majorBidi"/>
          <w:sz w:val="24"/>
          <w:szCs w:val="24"/>
        </w:rPr>
      </w:pPr>
      <w:r>
        <w:rPr>
          <w:rFonts w:asciiTheme="majorBidi" w:hAnsiTheme="majorBidi" w:cstheme="majorBidi"/>
          <w:sz w:val="24"/>
          <w:szCs w:val="24"/>
        </w:rPr>
        <w:tab/>
        <w:t xml:space="preserve">Bar Hebraeus's hometown of Melitene flourished under the Rum Seljuks in the 12th and 13th centuries. This allowed a revival of Syriac culture among the Christians in that region, and the period is known as the Syriac Renaissance. Prior to this time, Syriac Christianity was in danger of dying out under Muslim rule. Bar Hebraeus became one of the </w:t>
      </w:r>
      <w:r w:rsidR="008F4A5E">
        <w:rPr>
          <w:rFonts w:asciiTheme="majorBidi" w:hAnsiTheme="majorBidi" w:cstheme="majorBidi"/>
          <w:sz w:val="24"/>
          <w:szCs w:val="24"/>
        </w:rPr>
        <w:t>best-known</w:t>
      </w:r>
      <w:r>
        <w:rPr>
          <w:rFonts w:asciiTheme="majorBidi" w:hAnsiTheme="majorBidi" w:cstheme="majorBidi"/>
          <w:sz w:val="24"/>
          <w:szCs w:val="24"/>
        </w:rPr>
        <w:t xml:space="preserve"> authors of the Syriac Renaissance, producing works on diverse topics including theology, Aristotelian philosophy, natural sciences, grammar, poetry, mysticism, and humor. Much of his work is compilations and translations of Arabic writings, but his capacity to take in information and </w:t>
      </w:r>
      <w:r>
        <w:rPr>
          <w:rFonts w:asciiTheme="majorBidi" w:hAnsiTheme="majorBidi" w:cstheme="majorBidi"/>
          <w:sz w:val="24"/>
          <w:szCs w:val="24"/>
        </w:rPr>
        <w:lastRenderedPageBreak/>
        <w:t>present it to his Syriac audience in an understandable way is remarkable. Much of his work remains untranslated into English and unedited.</w:t>
      </w:r>
      <w:r>
        <w:rPr>
          <w:rStyle w:val="FootnoteReference"/>
          <w:rFonts w:asciiTheme="majorBidi" w:hAnsiTheme="majorBidi" w:cstheme="majorBidi"/>
          <w:sz w:val="24"/>
          <w:szCs w:val="24"/>
        </w:rPr>
        <w:footnoteReference w:id="5"/>
      </w:r>
    </w:p>
    <w:p w14:paraId="604CC7CB" w14:textId="2B8EB812" w:rsidR="00755058" w:rsidRPr="00536927" w:rsidRDefault="001F448B" w:rsidP="008F4A5E">
      <w:pPr>
        <w:spacing w:line="480" w:lineRule="auto"/>
        <w:ind w:firstLine="720"/>
        <w:rPr>
          <w:rFonts w:asciiTheme="majorBidi" w:hAnsiTheme="majorBidi" w:cstheme="majorBidi"/>
          <w:sz w:val="24"/>
          <w:szCs w:val="24"/>
        </w:rPr>
      </w:pPr>
      <w:r w:rsidRPr="00536927">
        <w:rPr>
          <w:rFonts w:asciiTheme="majorBidi" w:hAnsiTheme="majorBidi" w:cstheme="majorBidi"/>
          <w:sz w:val="24"/>
          <w:szCs w:val="24"/>
        </w:rPr>
        <w:t xml:space="preserve">Bar Sawma, Bar Hebraeus’s brother, attached an account of his death to his brother’s </w:t>
      </w:r>
      <w:r w:rsidRPr="00536927">
        <w:rPr>
          <w:rFonts w:asciiTheme="majorBidi" w:hAnsiTheme="majorBidi" w:cstheme="majorBidi"/>
          <w:i/>
          <w:iCs/>
          <w:sz w:val="24"/>
          <w:szCs w:val="24"/>
        </w:rPr>
        <w:t>Ecclesiastical Chronicle.</w:t>
      </w:r>
      <w:r w:rsidRPr="00536927">
        <w:rPr>
          <w:rFonts w:asciiTheme="majorBidi" w:hAnsiTheme="majorBidi" w:cstheme="majorBidi"/>
          <w:sz w:val="24"/>
          <w:szCs w:val="24"/>
        </w:rPr>
        <w:t xml:space="preserve"> The “praiseworthy catholicos” Yahballaha III mourned his death along with “a crowd of Armenians and Greeks.” According to Bar Sawma, only four </w:t>
      </w:r>
      <w:r w:rsidR="00186DE8" w:rsidRPr="00536927">
        <w:rPr>
          <w:rFonts w:asciiTheme="majorBidi" w:hAnsiTheme="majorBidi" w:cstheme="majorBidi"/>
          <w:sz w:val="24"/>
          <w:szCs w:val="24"/>
        </w:rPr>
        <w:t>Syrian Orthodox</w:t>
      </w:r>
      <w:r w:rsidRPr="00536927">
        <w:rPr>
          <w:rFonts w:asciiTheme="majorBidi" w:hAnsiTheme="majorBidi" w:cstheme="majorBidi"/>
          <w:sz w:val="24"/>
          <w:szCs w:val="24"/>
        </w:rPr>
        <w:t xml:space="preserve"> elders were present</w:t>
      </w:r>
      <w:r w:rsidRPr="00536927">
        <w:rPr>
          <w:rStyle w:val="FootnoteReference"/>
          <w:rFonts w:asciiTheme="majorBidi" w:hAnsiTheme="majorBidi" w:cstheme="majorBidi"/>
          <w:sz w:val="24"/>
          <w:szCs w:val="24"/>
        </w:rPr>
        <w:footnoteReference w:id="6"/>
      </w:r>
      <w:r w:rsidR="003242C1" w:rsidRPr="00536927">
        <w:rPr>
          <w:rFonts w:asciiTheme="majorBidi" w:hAnsiTheme="majorBidi" w:cstheme="majorBidi"/>
          <w:sz w:val="24"/>
          <w:szCs w:val="24"/>
        </w:rPr>
        <w:t xml:space="preserve">. Such a funeral procession shows the fruit of Bar Hebraeus’s </w:t>
      </w:r>
      <w:r w:rsidR="008F4A5E">
        <w:rPr>
          <w:rFonts w:asciiTheme="majorBidi" w:hAnsiTheme="majorBidi" w:cstheme="majorBidi"/>
          <w:sz w:val="24"/>
          <w:szCs w:val="24"/>
        </w:rPr>
        <w:t>proto-</w:t>
      </w:r>
      <w:r w:rsidR="003242C1" w:rsidRPr="00536927">
        <w:rPr>
          <w:rFonts w:asciiTheme="majorBidi" w:hAnsiTheme="majorBidi" w:cstheme="majorBidi"/>
          <w:sz w:val="24"/>
          <w:szCs w:val="24"/>
        </w:rPr>
        <w:t xml:space="preserve">ecumenism. </w:t>
      </w:r>
      <w:r w:rsidR="008F4A5E">
        <w:rPr>
          <w:rFonts w:asciiTheme="majorBidi" w:hAnsiTheme="majorBidi" w:cstheme="majorBidi"/>
          <w:sz w:val="24"/>
          <w:szCs w:val="24"/>
        </w:rPr>
        <w:t xml:space="preserve">While it is anachronistic to refer to his opinions on other churches </w:t>
      </w:r>
      <w:r w:rsidR="000D1A5C">
        <w:rPr>
          <w:rFonts w:asciiTheme="majorBidi" w:hAnsiTheme="majorBidi" w:cstheme="majorBidi"/>
          <w:sz w:val="24"/>
          <w:szCs w:val="24"/>
        </w:rPr>
        <w:t xml:space="preserve">with the term </w:t>
      </w:r>
      <w:r w:rsidR="008F4A5E">
        <w:rPr>
          <w:rFonts w:asciiTheme="majorBidi" w:hAnsiTheme="majorBidi" w:cstheme="majorBidi"/>
          <w:sz w:val="24"/>
          <w:szCs w:val="24"/>
        </w:rPr>
        <w:t>"</w:t>
      </w:r>
      <w:r w:rsidR="000D1A5C">
        <w:rPr>
          <w:rFonts w:asciiTheme="majorBidi" w:hAnsiTheme="majorBidi" w:cstheme="majorBidi"/>
          <w:sz w:val="24"/>
          <w:szCs w:val="24"/>
        </w:rPr>
        <w:t>E</w:t>
      </w:r>
      <w:r w:rsidR="008F4A5E">
        <w:rPr>
          <w:rFonts w:asciiTheme="majorBidi" w:hAnsiTheme="majorBidi" w:cstheme="majorBidi"/>
          <w:sz w:val="24"/>
          <w:szCs w:val="24"/>
        </w:rPr>
        <w:t>cumeni</w:t>
      </w:r>
      <w:r w:rsidR="000D1A5C">
        <w:rPr>
          <w:rFonts w:asciiTheme="majorBidi" w:hAnsiTheme="majorBidi" w:cstheme="majorBidi"/>
          <w:sz w:val="24"/>
          <w:szCs w:val="24"/>
        </w:rPr>
        <w:t>sm</w:t>
      </w:r>
      <w:r w:rsidR="008F4A5E">
        <w:rPr>
          <w:rFonts w:asciiTheme="majorBidi" w:hAnsiTheme="majorBidi" w:cstheme="majorBidi"/>
          <w:sz w:val="24"/>
          <w:szCs w:val="24"/>
        </w:rPr>
        <w:t>," his sympathies towards Christians of other churches may be seen as foreshadowing of the modern movement to reconcile churches of different denominations.</w:t>
      </w:r>
      <w:r w:rsidR="00EB5971" w:rsidRPr="00536927">
        <w:rPr>
          <w:rFonts w:asciiTheme="majorBidi" w:hAnsiTheme="majorBidi" w:cstheme="majorBidi"/>
          <w:sz w:val="24"/>
          <w:szCs w:val="24"/>
        </w:rPr>
        <w:t xml:space="preserve"> </w:t>
      </w:r>
      <w:r w:rsidR="00921403" w:rsidRPr="00536927">
        <w:rPr>
          <w:rFonts w:asciiTheme="majorBidi" w:hAnsiTheme="majorBidi" w:cstheme="majorBidi"/>
          <w:sz w:val="24"/>
          <w:szCs w:val="24"/>
        </w:rPr>
        <w:t xml:space="preserve">While </w:t>
      </w:r>
      <w:r w:rsidR="003242C1" w:rsidRPr="00536927">
        <w:rPr>
          <w:rFonts w:asciiTheme="majorBidi" w:hAnsiTheme="majorBidi" w:cstheme="majorBidi"/>
          <w:sz w:val="24"/>
          <w:szCs w:val="24"/>
        </w:rPr>
        <w:t>he did not bring about any reunion of the churches in his time, modern ecumenists have looked to his writings for inspiration and guidance in their conversations across the Christological divide</w:t>
      </w:r>
      <w:r w:rsidR="00DA2B45" w:rsidRPr="00536927">
        <w:rPr>
          <w:rFonts w:asciiTheme="majorBidi" w:hAnsiTheme="majorBidi" w:cstheme="majorBidi"/>
          <w:sz w:val="24"/>
          <w:szCs w:val="24"/>
        </w:rPr>
        <w:t>.</w:t>
      </w:r>
      <w:r w:rsidR="003242C1" w:rsidRPr="00536927">
        <w:rPr>
          <w:rStyle w:val="FootnoteReference"/>
          <w:rFonts w:asciiTheme="majorBidi" w:hAnsiTheme="majorBidi" w:cstheme="majorBidi"/>
          <w:sz w:val="24"/>
          <w:szCs w:val="24"/>
        </w:rPr>
        <w:footnoteReference w:id="7"/>
      </w:r>
      <w:r w:rsidR="000D1A5C">
        <w:rPr>
          <w:rFonts w:asciiTheme="majorBidi" w:hAnsiTheme="majorBidi" w:cstheme="majorBidi"/>
          <w:sz w:val="24"/>
          <w:szCs w:val="24"/>
        </w:rPr>
        <w:t xml:space="preserve"> Almost every recent biography or encyclopedia entry on him mentions his "ecumenism," but few discuss how it progressed through his career. This paper will show that he did not always have the same spirit towards other churches that he had by the time of the writing of the </w:t>
      </w:r>
      <w:r w:rsidR="000D1A5C">
        <w:rPr>
          <w:rFonts w:asciiTheme="majorBidi" w:hAnsiTheme="majorBidi" w:cstheme="majorBidi"/>
          <w:i/>
          <w:iCs/>
          <w:sz w:val="24"/>
          <w:szCs w:val="24"/>
        </w:rPr>
        <w:t>Book of the Dove</w:t>
      </w:r>
      <w:r w:rsidR="000D1A5C">
        <w:rPr>
          <w:rFonts w:asciiTheme="majorBidi" w:hAnsiTheme="majorBidi" w:cstheme="majorBidi"/>
          <w:sz w:val="24"/>
          <w:szCs w:val="24"/>
        </w:rPr>
        <w:t>.</w:t>
      </w:r>
      <w:r w:rsidR="003242C1" w:rsidRPr="00536927">
        <w:rPr>
          <w:rFonts w:asciiTheme="majorBidi" w:hAnsiTheme="majorBidi" w:cstheme="majorBidi"/>
          <w:sz w:val="24"/>
          <w:szCs w:val="24"/>
        </w:rPr>
        <w:t xml:space="preserve"> </w:t>
      </w:r>
    </w:p>
    <w:p w14:paraId="7C99ACE8" w14:textId="6B4014F6" w:rsidR="003242C1" w:rsidRPr="00536927" w:rsidRDefault="003242C1" w:rsidP="008F4A5E">
      <w:pPr>
        <w:spacing w:line="480" w:lineRule="auto"/>
        <w:ind w:firstLine="720"/>
        <w:rPr>
          <w:rFonts w:asciiTheme="majorBidi" w:hAnsiTheme="majorBidi" w:cstheme="majorBidi"/>
          <w:sz w:val="24"/>
          <w:szCs w:val="24"/>
        </w:rPr>
      </w:pPr>
      <w:r w:rsidRPr="00536927">
        <w:rPr>
          <w:rFonts w:asciiTheme="majorBidi" w:hAnsiTheme="majorBidi" w:cstheme="majorBidi"/>
          <w:sz w:val="24"/>
          <w:szCs w:val="24"/>
        </w:rPr>
        <w:t>First, it is worthwhile to look at the history of ecumenical dialogue within the Syriac tradition itself. The Syriac churches were intellectual battlegrounds for the fifth-century Christological debates surrounding the nature(s), hypo</w:t>
      </w:r>
      <w:r w:rsidR="00C12900" w:rsidRPr="00536927">
        <w:rPr>
          <w:rFonts w:asciiTheme="majorBidi" w:hAnsiTheme="majorBidi" w:cstheme="majorBidi"/>
          <w:sz w:val="24"/>
          <w:szCs w:val="24"/>
        </w:rPr>
        <w:t xml:space="preserve">stases, and person of Christ. The majority of Christians east of Constantinople disagreed with the Chalcedonian position held by the imperial church. A mark of Syriac Christianity is the nearness of Christians with opposing Christologies. Two </w:t>
      </w:r>
      <w:r w:rsidR="006D1CF3" w:rsidRPr="00536927">
        <w:rPr>
          <w:rFonts w:asciiTheme="majorBidi" w:hAnsiTheme="majorBidi" w:cstheme="majorBidi"/>
          <w:sz w:val="24"/>
          <w:szCs w:val="24"/>
        </w:rPr>
        <w:t>bishops</w:t>
      </w:r>
      <w:r w:rsidR="00C12900" w:rsidRPr="00536927">
        <w:rPr>
          <w:rFonts w:asciiTheme="majorBidi" w:hAnsiTheme="majorBidi" w:cstheme="majorBidi"/>
          <w:sz w:val="24"/>
          <w:szCs w:val="24"/>
        </w:rPr>
        <w:t xml:space="preserve"> from the </w:t>
      </w:r>
      <w:r w:rsidR="006D1CF3" w:rsidRPr="00536927">
        <w:rPr>
          <w:rFonts w:asciiTheme="majorBidi" w:hAnsiTheme="majorBidi" w:cstheme="majorBidi"/>
          <w:sz w:val="24"/>
          <w:szCs w:val="24"/>
        </w:rPr>
        <w:t xml:space="preserve">seventh century Church of the East are noteworthy for their </w:t>
      </w:r>
      <w:r w:rsidR="006D1CF3" w:rsidRPr="00536927">
        <w:rPr>
          <w:rFonts w:asciiTheme="majorBidi" w:hAnsiTheme="majorBidi" w:cstheme="majorBidi"/>
          <w:sz w:val="24"/>
          <w:szCs w:val="24"/>
        </w:rPr>
        <w:lastRenderedPageBreak/>
        <w:t>acceptance by Christians of other traditions. Martyrius, also known as Sahdona, advocated only one person in Christ. This was a departure fro</w:t>
      </w:r>
      <w:r w:rsidR="00EB5971" w:rsidRPr="00536927">
        <w:rPr>
          <w:rFonts w:asciiTheme="majorBidi" w:hAnsiTheme="majorBidi" w:cstheme="majorBidi"/>
          <w:sz w:val="24"/>
          <w:szCs w:val="24"/>
        </w:rPr>
        <w:t>m his church’s theology</w:t>
      </w:r>
      <w:r w:rsidR="006D1CF3" w:rsidRPr="00536927">
        <w:rPr>
          <w:rFonts w:asciiTheme="majorBidi" w:hAnsiTheme="majorBidi" w:cstheme="majorBidi"/>
          <w:sz w:val="24"/>
          <w:szCs w:val="24"/>
        </w:rPr>
        <w:t xml:space="preserve"> and cost him his bishopric. His writings found posthumous favor among Chalcedonians. Isaac of Ninevah was another Church of the East bishop whose writings found favor among </w:t>
      </w:r>
      <w:r w:rsidR="00DA2B45" w:rsidRPr="00536927">
        <w:rPr>
          <w:rFonts w:asciiTheme="majorBidi" w:hAnsiTheme="majorBidi" w:cstheme="majorBidi"/>
          <w:sz w:val="24"/>
          <w:szCs w:val="24"/>
        </w:rPr>
        <w:t>Christians with different Christologies</w:t>
      </w:r>
      <w:r w:rsidR="006D1CF3" w:rsidRPr="00536927">
        <w:rPr>
          <w:rFonts w:asciiTheme="majorBidi" w:hAnsiTheme="majorBidi" w:cstheme="majorBidi"/>
          <w:sz w:val="24"/>
          <w:szCs w:val="24"/>
        </w:rPr>
        <w:t xml:space="preserve">. His writings </w:t>
      </w:r>
      <w:r w:rsidR="004455C7">
        <w:rPr>
          <w:rFonts w:asciiTheme="majorBidi" w:hAnsiTheme="majorBidi" w:cstheme="majorBidi"/>
          <w:sz w:val="24"/>
          <w:szCs w:val="24"/>
        </w:rPr>
        <w:t>remain influential among Eastern Orthodox Christians in particular</w:t>
      </w:r>
      <w:r w:rsidR="006D1CF3" w:rsidRPr="00536927">
        <w:rPr>
          <w:rFonts w:asciiTheme="majorBidi" w:hAnsiTheme="majorBidi" w:cstheme="majorBidi"/>
          <w:sz w:val="24"/>
          <w:szCs w:val="24"/>
        </w:rPr>
        <w:t>.</w:t>
      </w:r>
      <w:r w:rsidR="006D1CF3" w:rsidRPr="00536927">
        <w:rPr>
          <w:rStyle w:val="FootnoteReference"/>
          <w:rFonts w:asciiTheme="majorBidi" w:hAnsiTheme="majorBidi" w:cstheme="majorBidi"/>
          <w:sz w:val="24"/>
          <w:szCs w:val="24"/>
        </w:rPr>
        <w:footnoteReference w:id="8"/>
      </w:r>
      <w:r w:rsidR="006D1CF3" w:rsidRPr="00536927">
        <w:rPr>
          <w:rFonts w:asciiTheme="majorBidi" w:hAnsiTheme="majorBidi" w:cstheme="majorBidi"/>
          <w:sz w:val="24"/>
          <w:szCs w:val="24"/>
        </w:rPr>
        <w:t xml:space="preserve"> While these authors are not </w:t>
      </w:r>
      <w:r w:rsidR="000825CB" w:rsidRPr="00536927">
        <w:rPr>
          <w:rFonts w:asciiTheme="majorBidi" w:hAnsiTheme="majorBidi" w:cstheme="majorBidi"/>
          <w:sz w:val="24"/>
          <w:szCs w:val="24"/>
        </w:rPr>
        <w:t>considered saints</w:t>
      </w:r>
      <w:r w:rsidR="006D1CF3" w:rsidRPr="00536927">
        <w:rPr>
          <w:rFonts w:asciiTheme="majorBidi" w:hAnsiTheme="majorBidi" w:cstheme="majorBidi"/>
          <w:sz w:val="24"/>
          <w:szCs w:val="24"/>
        </w:rPr>
        <w:t xml:space="preserve"> in the </w:t>
      </w:r>
      <w:r w:rsidR="00DA2B45" w:rsidRPr="00536927">
        <w:rPr>
          <w:rFonts w:asciiTheme="majorBidi" w:hAnsiTheme="majorBidi" w:cstheme="majorBidi"/>
          <w:sz w:val="24"/>
          <w:szCs w:val="24"/>
        </w:rPr>
        <w:t>Syrian Orthodox C</w:t>
      </w:r>
      <w:r w:rsidR="006D1CF3" w:rsidRPr="00536927">
        <w:rPr>
          <w:rFonts w:asciiTheme="majorBidi" w:hAnsiTheme="majorBidi" w:cstheme="majorBidi"/>
          <w:sz w:val="24"/>
          <w:szCs w:val="24"/>
        </w:rPr>
        <w:t>hurch, their influence did spread from the Church of the East to the</w:t>
      </w:r>
      <w:r w:rsidR="00186DE8" w:rsidRPr="00536927">
        <w:rPr>
          <w:rFonts w:asciiTheme="majorBidi" w:hAnsiTheme="majorBidi" w:cstheme="majorBidi"/>
          <w:sz w:val="24"/>
          <w:szCs w:val="24"/>
        </w:rPr>
        <w:t xml:space="preserve"> </w:t>
      </w:r>
      <w:r w:rsidR="00DA2B45" w:rsidRPr="00536927">
        <w:rPr>
          <w:rFonts w:asciiTheme="majorBidi" w:hAnsiTheme="majorBidi" w:cstheme="majorBidi"/>
          <w:sz w:val="24"/>
          <w:szCs w:val="24"/>
        </w:rPr>
        <w:t>Eastern Orthodox C</w:t>
      </w:r>
      <w:r w:rsidR="00186DE8" w:rsidRPr="00536927">
        <w:rPr>
          <w:rFonts w:asciiTheme="majorBidi" w:hAnsiTheme="majorBidi" w:cstheme="majorBidi"/>
          <w:sz w:val="24"/>
          <w:szCs w:val="24"/>
        </w:rPr>
        <w:t>hurch.</w:t>
      </w:r>
    </w:p>
    <w:p w14:paraId="2E8B2B48" w14:textId="5B95BE7E" w:rsidR="006D1CF3" w:rsidRDefault="000825CB" w:rsidP="008F4A5E">
      <w:pPr>
        <w:spacing w:line="480" w:lineRule="auto"/>
        <w:ind w:firstLine="720"/>
        <w:rPr>
          <w:rFonts w:asciiTheme="majorBidi" w:hAnsiTheme="majorBidi" w:cstheme="majorBidi"/>
          <w:sz w:val="24"/>
          <w:szCs w:val="24"/>
        </w:rPr>
      </w:pPr>
      <w:r w:rsidRPr="00536927">
        <w:rPr>
          <w:rFonts w:asciiTheme="majorBidi" w:hAnsiTheme="majorBidi" w:cstheme="majorBidi"/>
          <w:sz w:val="24"/>
          <w:szCs w:val="24"/>
        </w:rPr>
        <w:t xml:space="preserve">Within the </w:t>
      </w:r>
      <w:r w:rsidR="00DA2B45" w:rsidRPr="00536927">
        <w:rPr>
          <w:rFonts w:asciiTheme="majorBidi" w:hAnsiTheme="majorBidi" w:cstheme="majorBidi"/>
          <w:sz w:val="24"/>
          <w:szCs w:val="24"/>
        </w:rPr>
        <w:t>Syrian Orthodox</w:t>
      </w:r>
      <w:r w:rsidRPr="00536927">
        <w:rPr>
          <w:rFonts w:asciiTheme="majorBidi" w:hAnsiTheme="majorBidi" w:cstheme="majorBidi"/>
          <w:sz w:val="24"/>
          <w:szCs w:val="24"/>
        </w:rPr>
        <w:t xml:space="preserve"> church, ‘Alī ibn Dāwud al-Arfādī, who lived in the 11th or 12th century believed that the differences between </w:t>
      </w:r>
      <w:r w:rsidR="0067597D">
        <w:rPr>
          <w:rFonts w:asciiTheme="majorBidi" w:hAnsiTheme="majorBidi" w:cstheme="majorBidi"/>
          <w:sz w:val="24"/>
          <w:szCs w:val="24"/>
        </w:rPr>
        <w:t>Greek Orthodox</w:t>
      </w:r>
      <w:r w:rsidRPr="00536927">
        <w:rPr>
          <w:rFonts w:asciiTheme="majorBidi" w:hAnsiTheme="majorBidi" w:cstheme="majorBidi"/>
          <w:sz w:val="24"/>
          <w:szCs w:val="24"/>
        </w:rPr>
        <w:t xml:space="preserve"> and </w:t>
      </w:r>
      <w:r w:rsidR="0067597D">
        <w:rPr>
          <w:rFonts w:asciiTheme="majorBidi" w:hAnsiTheme="majorBidi" w:cstheme="majorBidi"/>
          <w:sz w:val="24"/>
          <w:szCs w:val="24"/>
        </w:rPr>
        <w:t>Syrian Orthodox Christians</w:t>
      </w:r>
      <w:r w:rsidRPr="00536927">
        <w:rPr>
          <w:rFonts w:asciiTheme="majorBidi" w:hAnsiTheme="majorBidi" w:cstheme="majorBidi"/>
          <w:sz w:val="24"/>
          <w:szCs w:val="24"/>
        </w:rPr>
        <w:t xml:space="preserve"> are merely different ways of speaking of the same</w:t>
      </w:r>
      <w:r w:rsidR="00866E57" w:rsidRPr="00536927">
        <w:rPr>
          <w:rFonts w:asciiTheme="majorBidi" w:hAnsiTheme="majorBidi" w:cstheme="majorBidi"/>
          <w:sz w:val="24"/>
          <w:szCs w:val="24"/>
        </w:rPr>
        <w:t xml:space="preserve"> belief. </w:t>
      </w:r>
      <w:r w:rsidR="00385BF1" w:rsidRPr="00536927">
        <w:rPr>
          <w:rFonts w:asciiTheme="majorBidi" w:hAnsiTheme="majorBidi" w:cstheme="majorBidi"/>
          <w:sz w:val="24"/>
          <w:szCs w:val="24"/>
        </w:rPr>
        <w:t xml:space="preserve">On the other hand, Dionysius BarṢalībī, a 12th century writer, sees anyone outside of the </w:t>
      </w:r>
      <w:r w:rsidR="0067597D">
        <w:rPr>
          <w:rFonts w:asciiTheme="majorBidi" w:hAnsiTheme="majorBidi" w:cstheme="majorBidi"/>
          <w:sz w:val="24"/>
          <w:szCs w:val="24"/>
        </w:rPr>
        <w:t>Syrian Orthodox</w:t>
      </w:r>
      <w:r w:rsidR="00385BF1" w:rsidRPr="00536927">
        <w:rPr>
          <w:rFonts w:asciiTheme="majorBidi" w:hAnsiTheme="majorBidi" w:cstheme="majorBidi"/>
          <w:sz w:val="24"/>
          <w:szCs w:val="24"/>
        </w:rPr>
        <w:t xml:space="preserve"> church as outright heretics. </w:t>
      </w:r>
      <w:r w:rsidR="00866E57" w:rsidRPr="00536927">
        <w:rPr>
          <w:rFonts w:asciiTheme="majorBidi" w:hAnsiTheme="majorBidi" w:cstheme="majorBidi"/>
          <w:sz w:val="24"/>
          <w:szCs w:val="24"/>
        </w:rPr>
        <w:t xml:space="preserve">Michael the Syrian, </w:t>
      </w:r>
      <w:r w:rsidR="00385BF1" w:rsidRPr="00536927">
        <w:rPr>
          <w:rFonts w:asciiTheme="majorBidi" w:hAnsiTheme="majorBidi" w:cstheme="majorBidi"/>
          <w:sz w:val="24"/>
          <w:szCs w:val="24"/>
        </w:rPr>
        <w:t>in</w:t>
      </w:r>
      <w:r w:rsidR="00866E57" w:rsidRPr="00536927">
        <w:rPr>
          <w:rFonts w:asciiTheme="majorBidi" w:hAnsiTheme="majorBidi" w:cstheme="majorBidi"/>
          <w:sz w:val="24"/>
          <w:szCs w:val="24"/>
        </w:rPr>
        <w:t xml:space="preserve"> 12th century, </w:t>
      </w:r>
      <w:r w:rsidR="00385BF1" w:rsidRPr="00536927">
        <w:rPr>
          <w:rFonts w:asciiTheme="majorBidi" w:hAnsiTheme="majorBidi" w:cstheme="majorBidi"/>
          <w:sz w:val="24"/>
          <w:szCs w:val="24"/>
        </w:rPr>
        <w:t>also had a low</w:t>
      </w:r>
      <w:r w:rsidR="00866E57" w:rsidRPr="00536927">
        <w:rPr>
          <w:rFonts w:asciiTheme="majorBidi" w:hAnsiTheme="majorBidi" w:cstheme="majorBidi"/>
          <w:sz w:val="24"/>
          <w:szCs w:val="24"/>
        </w:rPr>
        <w:t xml:space="preserve"> view of </w:t>
      </w:r>
      <w:r w:rsidR="0067597D">
        <w:rPr>
          <w:rFonts w:asciiTheme="majorBidi" w:hAnsiTheme="majorBidi" w:cstheme="majorBidi"/>
          <w:sz w:val="24"/>
          <w:szCs w:val="24"/>
        </w:rPr>
        <w:t>Greek Orthodox Christians</w:t>
      </w:r>
      <w:r w:rsidR="00866E57" w:rsidRPr="00536927">
        <w:rPr>
          <w:rFonts w:asciiTheme="majorBidi" w:hAnsiTheme="majorBidi" w:cstheme="majorBidi"/>
          <w:sz w:val="24"/>
          <w:szCs w:val="24"/>
        </w:rPr>
        <w:t>, calling them “vicious and heretical,”</w:t>
      </w:r>
      <w:r w:rsidR="00866E57" w:rsidRPr="00536927">
        <w:rPr>
          <w:rStyle w:val="FootnoteReference"/>
          <w:rFonts w:asciiTheme="majorBidi" w:hAnsiTheme="majorBidi" w:cstheme="majorBidi"/>
          <w:sz w:val="24"/>
          <w:szCs w:val="24"/>
        </w:rPr>
        <w:footnoteReference w:id="9"/>
      </w:r>
      <w:r w:rsidR="00866E57" w:rsidRPr="00536927">
        <w:rPr>
          <w:rFonts w:asciiTheme="majorBidi" w:hAnsiTheme="majorBidi" w:cstheme="majorBidi"/>
          <w:sz w:val="24"/>
          <w:szCs w:val="24"/>
        </w:rPr>
        <w:t xml:space="preserve"> yet he showed some grace to the Franks who at least recognized those who “venerated the cross” as Christians. </w:t>
      </w:r>
      <w:r w:rsidR="00385BF1" w:rsidRPr="00536927">
        <w:rPr>
          <w:rFonts w:asciiTheme="majorBidi" w:hAnsiTheme="majorBidi" w:cstheme="majorBidi"/>
          <w:sz w:val="24"/>
          <w:szCs w:val="24"/>
        </w:rPr>
        <w:t xml:space="preserve">Writing only a few decades before Bar Hebraeus and in the same area, Jacob bar Shakkō shares the same exclusive views as BarṢalībī and Michael. Al-Arfādī seems to be Bar Hebraeus’s only true predecessor in the </w:t>
      </w:r>
      <w:r w:rsidR="00DA2B45" w:rsidRPr="00536927">
        <w:rPr>
          <w:rFonts w:asciiTheme="majorBidi" w:hAnsiTheme="majorBidi" w:cstheme="majorBidi"/>
          <w:sz w:val="24"/>
          <w:szCs w:val="24"/>
        </w:rPr>
        <w:t>Syrian Orthodox C</w:t>
      </w:r>
      <w:r w:rsidR="00385BF1" w:rsidRPr="00536927">
        <w:rPr>
          <w:rFonts w:asciiTheme="majorBidi" w:hAnsiTheme="majorBidi" w:cstheme="majorBidi"/>
          <w:sz w:val="24"/>
          <w:szCs w:val="24"/>
        </w:rPr>
        <w:t>hurch.</w:t>
      </w:r>
      <w:r w:rsidR="00786DEC" w:rsidRPr="00536927">
        <w:rPr>
          <w:rStyle w:val="FootnoteReference"/>
          <w:rFonts w:asciiTheme="majorBidi" w:hAnsiTheme="majorBidi" w:cstheme="majorBidi"/>
          <w:sz w:val="24"/>
          <w:szCs w:val="24"/>
        </w:rPr>
        <w:footnoteReference w:id="10"/>
      </w:r>
      <w:r w:rsidR="00385BF1" w:rsidRPr="00536927">
        <w:rPr>
          <w:rFonts w:asciiTheme="majorBidi" w:hAnsiTheme="majorBidi" w:cstheme="majorBidi"/>
          <w:sz w:val="24"/>
          <w:szCs w:val="24"/>
        </w:rPr>
        <w:t xml:space="preserve"> </w:t>
      </w:r>
    </w:p>
    <w:p w14:paraId="7626B23F" w14:textId="32BD8563" w:rsidR="008F4A5E" w:rsidRPr="008F4A5E" w:rsidRDefault="00B863BE" w:rsidP="008F4A5E">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Despite few other church leaders making any overt moves to extend fellowship to other churches, the period of the Syriac Renaissance was marked by peaceable relations between the various Christian churches and between the churches and Muslims. Bar Hebraeus himself was </w:t>
      </w:r>
      <w:r>
        <w:rPr>
          <w:rFonts w:asciiTheme="majorBidi" w:hAnsiTheme="majorBidi" w:cstheme="majorBidi"/>
          <w:sz w:val="24"/>
          <w:szCs w:val="24"/>
        </w:rPr>
        <w:lastRenderedPageBreak/>
        <w:t xml:space="preserve">even asked by </w:t>
      </w:r>
      <w:r w:rsidR="00D53151">
        <w:rPr>
          <w:rFonts w:asciiTheme="majorBidi" w:hAnsiTheme="majorBidi" w:cstheme="majorBidi"/>
          <w:sz w:val="24"/>
          <w:szCs w:val="24"/>
        </w:rPr>
        <w:t xml:space="preserve">prominent Muslim leaders in Maragha to translate his massive two-part historical work </w:t>
      </w:r>
      <w:r w:rsidR="00D53151">
        <w:rPr>
          <w:rFonts w:asciiTheme="majorBidi" w:hAnsiTheme="majorBidi" w:cstheme="majorBidi"/>
          <w:i/>
          <w:iCs/>
          <w:sz w:val="24"/>
          <w:szCs w:val="24"/>
        </w:rPr>
        <w:t xml:space="preserve">The Chronicle </w:t>
      </w:r>
      <w:r w:rsidR="00D53151">
        <w:rPr>
          <w:rFonts w:asciiTheme="majorBidi" w:hAnsiTheme="majorBidi" w:cstheme="majorBidi"/>
          <w:sz w:val="24"/>
          <w:szCs w:val="24"/>
        </w:rPr>
        <w:t>into Arabic. He did so, abridging certain sections and slightly modifying the text to fit a Muslim audience instead.</w:t>
      </w:r>
      <w:r w:rsidR="00D53151">
        <w:rPr>
          <w:rStyle w:val="FootnoteReference"/>
          <w:rFonts w:asciiTheme="majorBidi" w:hAnsiTheme="majorBidi" w:cstheme="majorBidi"/>
          <w:sz w:val="24"/>
          <w:szCs w:val="24"/>
        </w:rPr>
        <w:footnoteReference w:id="11"/>
      </w:r>
      <w:r w:rsidR="00620E73">
        <w:rPr>
          <w:rFonts w:asciiTheme="majorBidi" w:hAnsiTheme="majorBidi" w:cstheme="majorBidi"/>
          <w:sz w:val="24"/>
          <w:szCs w:val="24"/>
        </w:rPr>
        <w:t xml:space="preserve"> This shows the cordiality between Muslims and Christians during his time. While there were certainly politically-motivated violent conflicts that took place,</w:t>
      </w:r>
      <w:r w:rsidR="00620E73">
        <w:rPr>
          <w:rStyle w:val="FootnoteReference"/>
          <w:rFonts w:asciiTheme="majorBidi" w:hAnsiTheme="majorBidi" w:cstheme="majorBidi"/>
          <w:sz w:val="24"/>
          <w:szCs w:val="24"/>
        </w:rPr>
        <w:footnoteReference w:id="12"/>
      </w:r>
      <w:r w:rsidR="00620E73">
        <w:rPr>
          <w:rFonts w:asciiTheme="majorBidi" w:hAnsiTheme="majorBidi" w:cstheme="majorBidi"/>
          <w:sz w:val="24"/>
          <w:szCs w:val="24"/>
        </w:rPr>
        <w:t xml:space="preserve"> it would be overly simple to think that Bar Hebraeus's ecumenical tolerance could be a plea for strength in numbers against a hostile Muslim majority.</w:t>
      </w:r>
    </w:p>
    <w:p w14:paraId="292557EC" w14:textId="79CF04FA" w:rsidR="008F4A5E" w:rsidRDefault="008F4A5E" w:rsidP="008F4A5E">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SURVERY OF HIS WORKS</w:t>
      </w:r>
    </w:p>
    <w:p w14:paraId="15FEE1E2" w14:textId="43C6EE64" w:rsidR="00190EF4" w:rsidRPr="00190EF4" w:rsidRDefault="00190EF4" w:rsidP="008F4A5E">
      <w:pPr>
        <w:spacing w:line="480" w:lineRule="auto"/>
        <w:jc w:val="center"/>
        <w:rPr>
          <w:rFonts w:asciiTheme="majorBidi" w:hAnsiTheme="majorBidi" w:cstheme="majorBidi"/>
          <w:sz w:val="24"/>
          <w:szCs w:val="24"/>
        </w:rPr>
      </w:pPr>
      <w:r>
        <w:rPr>
          <w:rFonts w:asciiTheme="majorBidi" w:hAnsiTheme="majorBidi" w:cstheme="majorBidi"/>
          <w:i/>
          <w:iCs/>
          <w:sz w:val="24"/>
          <w:szCs w:val="24"/>
        </w:rPr>
        <w:t>The Lamp of the Sanctuary</w:t>
      </w:r>
    </w:p>
    <w:p w14:paraId="43EE927D" w14:textId="2AED8B12" w:rsidR="00D249B0" w:rsidRDefault="008F4A5E" w:rsidP="00190EF4">
      <w:pPr>
        <w:spacing w:line="480" w:lineRule="auto"/>
        <w:rPr>
          <w:rFonts w:asciiTheme="majorBidi" w:hAnsiTheme="majorBidi" w:cstheme="majorBidi"/>
          <w:sz w:val="24"/>
          <w:szCs w:val="24"/>
          <w:lang w:bidi="syr-SY"/>
        </w:rPr>
      </w:pPr>
      <w:r>
        <w:rPr>
          <w:rFonts w:asciiTheme="majorBidi" w:hAnsiTheme="majorBidi" w:cstheme="majorBidi"/>
          <w:sz w:val="24"/>
          <w:szCs w:val="24"/>
        </w:rPr>
        <w:tab/>
      </w:r>
      <w:r w:rsidR="00492936">
        <w:rPr>
          <w:rFonts w:asciiTheme="majorBidi" w:hAnsiTheme="majorBidi" w:cstheme="majorBidi"/>
          <w:sz w:val="24"/>
          <w:szCs w:val="24"/>
        </w:rPr>
        <w:t xml:space="preserve">Although this paper will specifically focus on </w:t>
      </w:r>
      <w:r w:rsidR="00F94185">
        <w:rPr>
          <w:rFonts w:asciiTheme="majorBidi" w:hAnsiTheme="majorBidi" w:cstheme="majorBidi"/>
          <w:sz w:val="24"/>
          <w:szCs w:val="24"/>
        </w:rPr>
        <w:t xml:space="preserve">three of Bar Hebraeus's works, it is worthwhile to survey his other works for indications of his sympathies towards the Church of the East and the Chalcedonian churches. One of his earliest works, the </w:t>
      </w:r>
      <w:r w:rsidR="00F94185">
        <w:rPr>
          <w:rFonts w:asciiTheme="majorBidi" w:hAnsiTheme="majorBidi" w:cstheme="majorBidi"/>
          <w:i/>
          <w:iCs/>
          <w:sz w:val="24"/>
          <w:szCs w:val="24"/>
        </w:rPr>
        <w:t>Lamp of the Sanctuary</w:t>
      </w:r>
      <w:r w:rsidR="00F94185">
        <w:rPr>
          <w:rFonts w:asciiTheme="majorBidi" w:hAnsiTheme="majorBidi" w:cstheme="majorBidi"/>
          <w:sz w:val="24"/>
          <w:szCs w:val="24"/>
        </w:rPr>
        <w:t>, focuses on 12 "bases" (</w:t>
      </w:r>
      <w:r w:rsidR="00F94185">
        <w:rPr>
          <w:rFonts w:asciiTheme="majorBidi" w:hAnsiTheme="majorBidi" w:cstheme="majorBidi"/>
          <w:i/>
          <w:iCs/>
          <w:sz w:val="24"/>
          <w:szCs w:val="24"/>
          <w:lang w:bidi="syr-SY"/>
        </w:rPr>
        <w:t>shetessē</w:t>
      </w:r>
      <w:r w:rsidR="00F94185">
        <w:rPr>
          <w:rFonts w:asciiTheme="majorBidi" w:hAnsiTheme="majorBidi" w:cstheme="majorBidi"/>
          <w:sz w:val="24"/>
          <w:szCs w:val="24"/>
          <w:lang w:bidi="syr-SY"/>
        </w:rPr>
        <w:t>) of dogmatic theology. In the fourth base, "On the Incarnation," he advances the Syrian Orthodox position that because the second person of the Trinity is a single hypostasis, Jesus can have only a single nature. Within his miaphysite Christology, there can be no actualization of a nature without a hypostasis.</w:t>
      </w:r>
      <w:r w:rsidR="00AA3164" w:rsidRPr="00536927">
        <w:rPr>
          <w:rStyle w:val="FootnoteReference"/>
          <w:rFonts w:asciiTheme="majorBidi" w:hAnsiTheme="majorBidi" w:cstheme="majorBidi"/>
          <w:sz w:val="24"/>
          <w:szCs w:val="24"/>
          <w:lang w:bidi="syr-SY"/>
        </w:rPr>
        <w:footnoteReference w:id="13"/>
      </w:r>
      <w:r w:rsidR="004C4C73" w:rsidRPr="00536927">
        <w:rPr>
          <w:rFonts w:asciiTheme="majorBidi" w:hAnsiTheme="majorBidi" w:cstheme="majorBidi"/>
          <w:sz w:val="24"/>
          <w:szCs w:val="24"/>
          <w:lang w:bidi="syr-SY"/>
        </w:rPr>
        <w:t xml:space="preserve"> </w:t>
      </w:r>
      <w:r w:rsidR="00F94185">
        <w:rPr>
          <w:rFonts w:asciiTheme="majorBidi" w:hAnsiTheme="majorBidi" w:cstheme="majorBidi"/>
          <w:sz w:val="24"/>
          <w:szCs w:val="24"/>
          <w:lang w:bidi="syr-SY"/>
        </w:rPr>
        <w:t>He also affirms that Christ is one person, to a greater degree of unity than the Church of the East would affirm.</w:t>
      </w:r>
      <w:r w:rsidR="00AA3164" w:rsidRPr="00536927">
        <w:rPr>
          <w:rStyle w:val="FootnoteReference"/>
          <w:rFonts w:asciiTheme="majorBidi" w:hAnsiTheme="majorBidi" w:cstheme="majorBidi"/>
          <w:sz w:val="24"/>
          <w:szCs w:val="24"/>
          <w:lang w:bidi="syr-SY"/>
        </w:rPr>
        <w:footnoteReference w:id="14"/>
      </w:r>
      <w:r w:rsidR="00F94185">
        <w:rPr>
          <w:rFonts w:asciiTheme="majorBidi" w:hAnsiTheme="majorBidi" w:cstheme="majorBidi"/>
          <w:sz w:val="24"/>
          <w:szCs w:val="24"/>
          <w:lang w:bidi="syr-SY"/>
        </w:rPr>
        <w:t xml:space="preserve"> This base </w:t>
      </w:r>
      <w:r w:rsidR="00F94185">
        <w:rPr>
          <w:rFonts w:asciiTheme="majorBidi" w:hAnsiTheme="majorBidi" w:cstheme="majorBidi"/>
          <w:sz w:val="24"/>
          <w:szCs w:val="24"/>
          <w:lang w:bidi="syr-SY"/>
        </w:rPr>
        <w:lastRenderedPageBreak/>
        <w:t xml:space="preserve">concludes with a list of </w:t>
      </w:r>
      <w:r w:rsidR="00190EF4">
        <w:rPr>
          <w:rFonts w:asciiTheme="majorBidi" w:hAnsiTheme="majorBidi" w:cstheme="majorBidi"/>
          <w:sz w:val="24"/>
          <w:szCs w:val="24"/>
          <w:lang w:bidi="syr-SY"/>
        </w:rPr>
        <w:t xml:space="preserve">historical </w:t>
      </w:r>
      <w:r w:rsidR="00F94185">
        <w:rPr>
          <w:rFonts w:asciiTheme="majorBidi" w:hAnsiTheme="majorBidi" w:cstheme="majorBidi"/>
          <w:sz w:val="24"/>
          <w:szCs w:val="24"/>
          <w:lang w:bidi="syr-SY"/>
        </w:rPr>
        <w:t>Christological heresies</w:t>
      </w:r>
      <w:r w:rsidR="00190EF4">
        <w:rPr>
          <w:rFonts w:asciiTheme="majorBidi" w:hAnsiTheme="majorBidi" w:cstheme="majorBidi"/>
          <w:sz w:val="24"/>
          <w:szCs w:val="24"/>
          <w:lang w:bidi="syr-SY"/>
        </w:rPr>
        <w:t>, which significantly does not include the Church of the East, the Greek Orthodox, or the Roman Catholic churches.</w:t>
      </w:r>
      <w:r w:rsidR="00A95969" w:rsidRPr="00536927">
        <w:rPr>
          <w:rStyle w:val="FootnoteReference"/>
          <w:rFonts w:asciiTheme="majorBidi" w:hAnsiTheme="majorBidi" w:cstheme="majorBidi"/>
          <w:sz w:val="24"/>
          <w:szCs w:val="24"/>
          <w:lang w:bidi="syr-SY"/>
        </w:rPr>
        <w:footnoteReference w:id="15"/>
      </w:r>
      <w:r w:rsidR="00102475" w:rsidRPr="00536927">
        <w:rPr>
          <w:rFonts w:asciiTheme="majorBidi" w:hAnsiTheme="majorBidi" w:cstheme="majorBidi"/>
          <w:sz w:val="24"/>
          <w:szCs w:val="24"/>
          <w:lang w:bidi="syr-SY"/>
        </w:rPr>
        <w:t xml:space="preserve"> </w:t>
      </w:r>
    </w:p>
    <w:p w14:paraId="75FD02C2" w14:textId="7FF5205B" w:rsidR="00C26B3C" w:rsidRPr="00C26B3C" w:rsidRDefault="00C26B3C" w:rsidP="00C26B3C">
      <w:pPr>
        <w:spacing w:line="480" w:lineRule="auto"/>
        <w:jc w:val="center"/>
        <w:rPr>
          <w:rFonts w:asciiTheme="majorBidi" w:hAnsiTheme="majorBidi" w:cstheme="majorBidi"/>
          <w:i/>
          <w:iCs/>
          <w:sz w:val="24"/>
          <w:szCs w:val="24"/>
          <w:lang w:bidi="syr-SY"/>
        </w:rPr>
      </w:pPr>
      <w:r>
        <w:rPr>
          <w:rFonts w:asciiTheme="majorBidi" w:hAnsiTheme="majorBidi" w:cstheme="majorBidi"/>
          <w:i/>
          <w:iCs/>
          <w:sz w:val="24"/>
          <w:szCs w:val="24"/>
          <w:lang w:bidi="syr-SY"/>
        </w:rPr>
        <w:t>Other Works</w:t>
      </w:r>
    </w:p>
    <w:p w14:paraId="3C7363F3" w14:textId="7582235A" w:rsidR="00190EF4" w:rsidRDefault="00190EF4" w:rsidP="009A548D">
      <w:pPr>
        <w:spacing w:line="480" w:lineRule="auto"/>
        <w:ind w:firstLine="720"/>
        <w:rPr>
          <w:rFonts w:asciiTheme="majorBidi" w:hAnsiTheme="majorBidi" w:cstheme="majorBidi"/>
          <w:sz w:val="24"/>
          <w:szCs w:val="24"/>
          <w:lang w:bidi="syr-SY"/>
        </w:rPr>
      </w:pPr>
      <w:r>
        <w:rPr>
          <w:rFonts w:asciiTheme="majorBidi" w:hAnsiTheme="majorBidi" w:cstheme="majorBidi"/>
          <w:sz w:val="24"/>
          <w:szCs w:val="24"/>
          <w:lang w:bidi="syr-SY"/>
        </w:rPr>
        <w:t>Not only did he show tolerance towards the other Christian churches that he was familiar with, but he also had an appreciation for non-Christian works. It is unlikely he could read Greek himself,</w:t>
      </w:r>
      <w:r>
        <w:rPr>
          <w:rStyle w:val="FootnoteReference"/>
          <w:rFonts w:asciiTheme="majorBidi" w:hAnsiTheme="majorBidi" w:cstheme="majorBidi"/>
          <w:sz w:val="24"/>
          <w:szCs w:val="24"/>
          <w:lang w:bidi="syr-SY"/>
        </w:rPr>
        <w:footnoteReference w:id="16"/>
      </w:r>
      <w:r>
        <w:rPr>
          <w:rFonts w:asciiTheme="majorBidi" w:hAnsiTheme="majorBidi" w:cstheme="majorBidi"/>
          <w:sz w:val="24"/>
          <w:szCs w:val="24"/>
          <w:lang w:bidi="syr-SY"/>
        </w:rPr>
        <w:t xml:space="preserve"> but he was familiar with Aristotelian philosophy through Ibn Sīnā and al-Ghazāli. He made use of Aristotle's "unmoved mover" </w:t>
      </w:r>
      <w:r w:rsidR="00ED3A1D">
        <w:rPr>
          <w:rFonts w:asciiTheme="majorBidi" w:hAnsiTheme="majorBidi" w:cstheme="majorBidi"/>
          <w:sz w:val="24"/>
          <w:szCs w:val="24"/>
          <w:lang w:bidi="syr-SY"/>
        </w:rPr>
        <w:t xml:space="preserve">cosmological argument in his </w:t>
      </w:r>
      <w:r w:rsidR="00ED3A1D">
        <w:rPr>
          <w:rFonts w:asciiTheme="majorBidi" w:hAnsiTheme="majorBidi" w:cstheme="majorBidi"/>
          <w:i/>
          <w:iCs/>
          <w:sz w:val="24"/>
          <w:szCs w:val="24"/>
          <w:lang w:bidi="syr-SY"/>
        </w:rPr>
        <w:t>Cream of Wisdom</w:t>
      </w:r>
      <w:r w:rsidR="00ED3A1D">
        <w:rPr>
          <w:rStyle w:val="FootnoteReference"/>
          <w:rFonts w:asciiTheme="majorBidi" w:hAnsiTheme="majorBidi" w:cstheme="majorBidi"/>
          <w:i/>
          <w:iCs/>
          <w:sz w:val="24"/>
          <w:szCs w:val="24"/>
          <w:lang w:bidi="syr-SY"/>
        </w:rPr>
        <w:footnoteReference w:id="17"/>
      </w:r>
      <w:r w:rsidR="00ED3A1D">
        <w:rPr>
          <w:rFonts w:asciiTheme="majorBidi" w:hAnsiTheme="majorBidi" w:cstheme="majorBidi"/>
          <w:sz w:val="24"/>
          <w:szCs w:val="24"/>
          <w:lang w:bidi="syr-SY"/>
        </w:rPr>
        <w:t xml:space="preserve"> and his poem, "On Perfection."</w:t>
      </w:r>
      <w:r w:rsidR="00ED3A1D">
        <w:rPr>
          <w:rStyle w:val="FootnoteReference"/>
          <w:rFonts w:asciiTheme="majorBidi" w:hAnsiTheme="majorBidi" w:cstheme="majorBidi"/>
          <w:sz w:val="24"/>
          <w:szCs w:val="24"/>
          <w:lang w:bidi="syr-SY"/>
        </w:rPr>
        <w:footnoteReference w:id="18"/>
      </w:r>
      <w:r w:rsidR="00ED3A1D">
        <w:rPr>
          <w:rFonts w:asciiTheme="majorBidi" w:hAnsiTheme="majorBidi" w:cstheme="majorBidi"/>
          <w:sz w:val="24"/>
          <w:szCs w:val="24"/>
          <w:lang w:bidi="syr-SY"/>
        </w:rPr>
        <w:t xml:space="preserve"> He also was deeply indebted to Muslim scholars for their own thinking. His </w:t>
      </w:r>
      <w:r w:rsidR="00ED3A1D">
        <w:rPr>
          <w:rFonts w:asciiTheme="majorBidi" w:hAnsiTheme="majorBidi" w:cstheme="majorBidi"/>
          <w:i/>
          <w:iCs/>
          <w:sz w:val="24"/>
          <w:szCs w:val="24"/>
          <w:lang w:bidi="syr-SY"/>
        </w:rPr>
        <w:t>Laughable Stories</w:t>
      </w:r>
      <w:r w:rsidR="00ED3A1D">
        <w:rPr>
          <w:rFonts w:asciiTheme="majorBidi" w:hAnsiTheme="majorBidi" w:cstheme="majorBidi"/>
          <w:sz w:val="24"/>
          <w:szCs w:val="24"/>
          <w:lang w:bidi="syr-SY"/>
        </w:rPr>
        <w:t xml:space="preserve"> is mostly a translation of </w:t>
      </w:r>
      <w:r w:rsidR="00ED3A1D" w:rsidRPr="00ED3A1D">
        <w:rPr>
          <w:rFonts w:asciiTheme="majorBidi" w:hAnsiTheme="majorBidi" w:cstheme="majorBidi"/>
          <w:sz w:val="24"/>
          <w:szCs w:val="24"/>
          <w:lang w:bidi="syr-SY"/>
        </w:rPr>
        <w:t>Ab</w:t>
      </w:r>
      <w:r w:rsidR="00ED3A1D">
        <w:rPr>
          <w:rFonts w:asciiTheme="majorBidi" w:hAnsiTheme="majorBidi" w:cstheme="majorBidi"/>
          <w:sz w:val="24"/>
          <w:szCs w:val="24"/>
          <w:lang w:bidi="syr-SY"/>
        </w:rPr>
        <w:t>ū</w:t>
      </w:r>
      <w:r w:rsidR="00ED3A1D" w:rsidRPr="00ED3A1D">
        <w:rPr>
          <w:rFonts w:asciiTheme="majorBidi" w:hAnsiTheme="majorBidi" w:cstheme="majorBidi"/>
          <w:sz w:val="24"/>
          <w:szCs w:val="24"/>
          <w:lang w:bidi="syr-SY"/>
        </w:rPr>
        <w:t xml:space="preserve"> Sa</w:t>
      </w:r>
      <w:r w:rsidR="00ED3A1D">
        <w:rPr>
          <w:rFonts w:asciiTheme="majorBidi" w:hAnsiTheme="majorBidi" w:cstheme="majorBidi"/>
          <w:sz w:val="24"/>
          <w:szCs w:val="24"/>
          <w:lang w:bidi="syr-SY"/>
        </w:rPr>
        <w:t>‘</w:t>
      </w:r>
      <w:r w:rsidR="00ED3A1D" w:rsidRPr="00ED3A1D">
        <w:rPr>
          <w:rFonts w:asciiTheme="majorBidi" w:hAnsiTheme="majorBidi" w:cstheme="majorBidi"/>
          <w:sz w:val="24"/>
          <w:szCs w:val="24"/>
          <w:lang w:bidi="syr-SY"/>
        </w:rPr>
        <w:t>d Man</w:t>
      </w:r>
      <w:r w:rsidR="00ED3A1D">
        <w:rPr>
          <w:rFonts w:asciiTheme="majorBidi" w:hAnsiTheme="majorBidi" w:cstheme="majorBidi"/>
          <w:sz w:val="24"/>
          <w:szCs w:val="24"/>
          <w:lang w:bidi="syr-SY"/>
        </w:rPr>
        <w:t>ṣū</w:t>
      </w:r>
      <w:r w:rsidR="00ED3A1D" w:rsidRPr="00ED3A1D">
        <w:rPr>
          <w:rFonts w:asciiTheme="majorBidi" w:hAnsiTheme="majorBidi" w:cstheme="majorBidi"/>
          <w:sz w:val="24"/>
          <w:szCs w:val="24"/>
          <w:lang w:bidi="syr-SY"/>
        </w:rPr>
        <w:t>r b. al-</w:t>
      </w:r>
      <w:r w:rsidR="00ED3A1D">
        <w:rPr>
          <w:rFonts w:asciiTheme="majorBidi" w:hAnsiTheme="majorBidi" w:cstheme="majorBidi"/>
          <w:sz w:val="24"/>
          <w:szCs w:val="24"/>
          <w:lang w:bidi="syr-SY"/>
        </w:rPr>
        <w:t>Ḥ</w:t>
      </w:r>
      <w:r w:rsidR="00ED3A1D" w:rsidRPr="00ED3A1D">
        <w:rPr>
          <w:rFonts w:asciiTheme="majorBidi" w:hAnsiTheme="majorBidi" w:cstheme="majorBidi"/>
          <w:sz w:val="24"/>
          <w:szCs w:val="24"/>
          <w:lang w:bidi="syr-SY"/>
        </w:rPr>
        <w:t>usain a</w:t>
      </w:r>
      <w:r w:rsidR="00ED3A1D">
        <w:rPr>
          <w:rFonts w:asciiTheme="majorBidi" w:hAnsiTheme="majorBidi" w:cstheme="majorBidi"/>
          <w:sz w:val="24"/>
          <w:szCs w:val="24"/>
          <w:lang w:bidi="syr-SY"/>
        </w:rPr>
        <w:t>l</w:t>
      </w:r>
      <w:r w:rsidR="00ED3A1D" w:rsidRPr="00ED3A1D">
        <w:rPr>
          <w:rFonts w:asciiTheme="majorBidi" w:hAnsiTheme="majorBidi" w:cstheme="majorBidi"/>
          <w:sz w:val="24"/>
          <w:szCs w:val="24"/>
          <w:lang w:bidi="syr-SY"/>
        </w:rPr>
        <w:t>-</w:t>
      </w:r>
      <w:r w:rsidR="00ED3A1D">
        <w:rPr>
          <w:rFonts w:asciiTheme="majorBidi" w:hAnsiTheme="majorBidi" w:cstheme="majorBidi"/>
          <w:sz w:val="24"/>
          <w:szCs w:val="24"/>
          <w:lang w:bidi="syr-SY"/>
        </w:rPr>
        <w:t>Ā</w:t>
      </w:r>
      <w:r w:rsidR="00ED3A1D" w:rsidRPr="00ED3A1D">
        <w:rPr>
          <w:rFonts w:asciiTheme="majorBidi" w:hAnsiTheme="majorBidi" w:cstheme="majorBidi"/>
          <w:sz w:val="24"/>
          <w:szCs w:val="24"/>
          <w:lang w:bidi="syr-SY"/>
        </w:rPr>
        <w:t>b</w:t>
      </w:r>
      <w:r w:rsidR="00ED3A1D">
        <w:rPr>
          <w:rFonts w:asciiTheme="majorBidi" w:hAnsiTheme="majorBidi" w:cstheme="majorBidi"/>
          <w:sz w:val="24"/>
          <w:szCs w:val="24"/>
          <w:lang w:bidi="syr-SY"/>
        </w:rPr>
        <w:t xml:space="preserve">ī's </w:t>
      </w:r>
      <w:r w:rsidR="00ED3A1D">
        <w:rPr>
          <w:rFonts w:asciiTheme="majorBidi" w:hAnsiTheme="majorBidi" w:cstheme="majorBidi"/>
          <w:i/>
          <w:iCs/>
          <w:sz w:val="24"/>
          <w:szCs w:val="24"/>
          <w:lang w:bidi="syr-SY"/>
        </w:rPr>
        <w:t>K</w:t>
      </w:r>
      <w:r w:rsidR="00464D8D">
        <w:rPr>
          <w:rFonts w:asciiTheme="majorBidi" w:hAnsiTheme="majorBidi" w:cstheme="majorBidi"/>
          <w:i/>
          <w:iCs/>
          <w:sz w:val="24"/>
          <w:szCs w:val="24"/>
          <w:lang w:bidi="syr-SY"/>
        </w:rPr>
        <w:t>itāb</w:t>
      </w:r>
      <w:r w:rsidR="00ED3A1D">
        <w:rPr>
          <w:rFonts w:asciiTheme="majorBidi" w:hAnsiTheme="majorBidi" w:cstheme="majorBidi"/>
          <w:i/>
          <w:iCs/>
          <w:sz w:val="24"/>
          <w:szCs w:val="24"/>
          <w:lang w:bidi="syr-SY"/>
        </w:rPr>
        <w:t xml:space="preserve"> nathr al-durr</w:t>
      </w:r>
      <w:r w:rsidR="00ED3A1D">
        <w:rPr>
          <w:rFonts w:asciiTheme="majorBidi" w:hAnsiTheme="majorBidi" w:cstheme="majorBidi"/>
          <w:sz w:val="24"/>
          <w:szCs w:val="24"/>
          <w:lang w:bidi="syr-SY"/>
        </w:rPr>
        <w:t>,</w:t>
      </w:r>
      <w:r w:rsidR="00464D8D">
        <w:rPr>
          <w:rStyle w:val="FootnoteReference"/>
          <w:rFonts w:asciiTheme="majorBidi" w:hAnsiTheme="majorBidi" w:cstheme="majorBidi"/>
          <w:sz w:val="24"/>
          <w:szCs w:val="24"/>
          <w:lang w:bidi="syr-SY"/>
        </w:rPr>
        <w:footnoteReference w:id="19"/>
      </w:r>
      <w:r w:rsidR="00464D8D">
        <w:rPr>
          <w:rFonts w:asciiTheme="majorBidi" w:hAnsiTheme="majorBidi" w:cstheme="majorBidi"/>
          <w:sz w:val="24"/>
          <w:szCs w:val="24"/>
          <w:lang w:bidi="syr-SY"/>
        </w:rPr>
        <w:t xml:space="preserve"> and he translated Ibn Sīnā's </w:t>
      </w:r>
      <w:r w:rsidR="00464D8D" w:rsidRPr="00464D8D">
        <w:rPr>
          <w:rFonts w:asciiTheme="majorBidi" w:hAnsiTheme="majorBidi" w:cstheme="majorBidi"/>
          <w:i/>
          <w:iCs/>
          <w:sz w:val="24"/>
          <w:szCs w:val="24"/>
          <w:lang w:bidi="syr-SY"/>
        </w:rPr>
        <w:t>Kitāb al-</w:t>
      </w:r>
      <w:r w:rsidR="00464D8D">
        <w:rPr>
          <w:rFonts w:asciiTheme="majorBidi" w:hAnsiTheme="majorBidi" w:cstheme="majorBidi"/>
          <w:i/>
          <w:iCs/>
          <w:sz w:val="24"/>
          <w:szCs w:val="24"/>
          <w:lang w:bidi="syr-SY"/>
        </w:rPr>
        <w:t>I</w:t>
      </w:r>
      <w:r w:rsidR="00464D8D" w:rsidRPr="00464D8D">
        <w:rPr>
          <w:rFonts w:asciiTheme="majorBidi" w:hAnsiTheme="majorBidi" w:cstheme="majorBidi"/>
          <w:i/>
          <w:iCs/>
          <w:sz w:val="24"/>
          <w:szCs w:val="24"/>
          <w:lang w:bidi="syr-SY"/>
        </w:rPr>
        <w:t>šārāt wa l-</w:t>
      </w:r>
      <w:r w:rsidR="00464D8D">
        <w:rPr>
          <w:rFonts w:asciiTheme="majorBidi" w:hAnsiTheme="majorBidi" w:cstheme="majorBidi"/>
          <w:i/>
          <w:iCs/>
          <w:sz w:val="24"/>
          <w:szCs w:val="24"/>
          <w:lang w:bidi="syr-SY"/>
        </w:rPr>
        <w:t>T</w:t>
      </w:r>
      <w:r w:rsidR="00464D8D" w:rsidRPr="00464D8D">
        <w:rPr>
          <w:rFonts w:asciiTheme="majorBidi" w:hAnsiTheme="majorBidi" w:cstheme="majorBidi"/>
          <w:i/>
          <w:iCs/>
          <w:sz w:val="24"/>
          <w:szCs w:val="24"/>
          <w:lang w:bidi="syr-SY"/>
        </w:rPr>
        <w:t>anbīhā</w:t>
      </w:r>
      <w:r w:rsidR="00464D8D">
        <w:rPr>
          <w:rFonts w:asciiTheme="majorBidi" w:hAnsiTheme="majorBidi" w:cstheme="majorBidi"/>
          <w:i/>
          <w:iCs/>
          <w:sz w:val="24"/>
          <w:szCs w:val="24"/>
          <w:lang w:bidi="syr-SY"/>
        </w:rPr>
        <w:t xml:space="preserve"> </w:t>
      </w:r>
      <w:r w:rsidR="00464D8D">
        <w:rPr>
          <w:rFonts w:asciiTheme="majorBidi" w:hAnsiTheme="majorBidi" w:cstheme="majorBidi"/>
          <w:sz w:val="24"/>
          <w:szCs w:val="24"/>
          <w:lang w:bidi="syr-SY"/>
        </w:rPr>
        <w:t>into Syriac, accepting much of his philosophy.</w:t>
      </w:r>
      <w:r w:rsidR="00464D8D">
        <w:rPr>
          <w:rStyle w:val="FootnoteReference"/>
          <w:rFonts w:asciiTheme="majorBidi" w:hAnsiTheme="majorBidi" w:cstheme="majorBidi"/>
          <w:sz w:val="24"/>
          <w:szCs w:val="24"/>
          <w:lang w:bidi="syr-SY"/>
        </w:rPr>
        <w:footnoteReference w:id="20"/>
      </w:r>
      <w:r w:rsidR="00464D8D">
        <w:rPr>
          <w:rFonts w:asciiTheme="majorBidi" w:hAnsiTheme="majorBidi" w:cstheme="majorBidi"/>
          <w:sz w:val="24"/>
          <w:szCs w:val="24"/>
          <w:lang w:bidi="syr-SY"/>
        </w:rPr>
        <w:t xml:space="preserve"> He reciprocated to the Arabic-speaking community by producing a summary of his </w:t>
      </w:r>
      <w:r w:rsidR="00464D8D">
        <w:rPr>
          <w:rFonts w:asciiTheme="majorBidi" w:hAnsiTheme="majorBidi" w:cstheme="majorBidi"/>
          <w:i/>
          <w:iCs/>
          <w:sz w:val="24"/>
          <w:szCs w:val="24"/>
          <w:lang w:bidi="syr-SY"/>
        </w:rPr>
        <w:t xml:space="preserve">Chronicon </w:t>
      </w:r>
      <w:r w:rsidR="00464D8D">
        <w:rPr>
          <w:rFonts w:asciiTheme="majorBidi" w:hAnsiTheme="majorBidi" w:cstheme="majorBidi"/>
          <w:sz w:val="24"/>
          <w:szCs w:val="24"/>
          <w:lang w:bidi="syr-SY"/>
        </w:rPr>
        <w:t>of world history at the request of Muslims in Maragha.</w:t>
      </w:r>
      <w:r w:rsidR="00464D8D">
        <w:rPr>
          <w:rStyle w:val="FootnoteReference"/>
          <w:rFonts w:asciiTheme="majorBidi" w:hAnsiTheme="majorBidi" w:cstheme="majorBidi"/>
          <w:sz w:val="24"/>
          <w:szCs w:val="24"/>
          <w:lang w:bidi="syr-SY"/>
        </w:rPr>
        <w:footnoteReference w:id="21"/>
      </w:r>
      <w:r w:rsidR="00DD3621">
        <w:rPr>
          <w:rFonts w:asciiTheme="majorBidi" w:hAnsiTheme="majorBidi" w:cstheme="majorBidi"/>
          <w:sz w:val="24"/>
          <w:szCs w:val="24"/>
          <w:lang w:bidi="syr-SY"/>
        </w:rPr>
        <w:t xml:space="preserve"> Despite this appreciation of the truths that can be found in Greek and Islamic authors, he did not accept their faiths, and refuted their theologies in several works.</w:t>
      </w:r>
      <w:r w:rsidR="00DD3621">
        <w:rPr>
          <w:rStyle w:val="FootnoteReference"/>
          <w:rFonts w:asciiTheme="majorBidi" w:hAnsiTheme="majorBidi" w:cstheme="majorBidi"/>
          <w:sz w:val="24"/>
          <w:szCs w:val="24"/>
          <w:lang w:bidi="syr-SY"/>
        </w:rPr>
        <w:footnoteReference w:id="22"/>
      </w:r>
    </w:p>
    <w:p w14:paraId="1C9334A6" w14:textId="270972F7" w:rsidR="009A548D" w:rsidRDefault="009A548D" w:rsidP="00DE54A5">
      <w:pPr>
        <w:spacing w:line="480" w:lineRule="auto"/>
        <w:jc w:val="center"/>
        <w:rPr>
          <w:rFonts w:asciiTheme="majorBidi" w:hAnsiTheme="majorBidi" w:cstheme="majorBidi"/>
          <w:b/>
          <w:sz w:val="24"/>
          <w:szCs w:val="24"/>
          <w:lang w:bidi="syr-SY"/>
        </w:rPr>
      </w:pPr>
      <w:r>
        <w:rPr>
          <w:rFonts w:asciiTheme="majorBidi" w:hAnsiTheme="majorBidi" w:cstheme="majorBidi"/>
          <w:b/>
          <w:sz w:val="24"/>
          <w:szCs w:val="24"/>
          <w:lang w:bidi="syr-SY"/>
        </w:rPr>
        <w:t>LETTER TO MAR DENHA I</w:t>
      </w:r>
    </w:p>
    <w:p w14:paraId="513BD535" w14:textId="675C9211" w:rsidR="009A548D" w:rsidRDefault="009A548D" w:rsidP="009A548D">
      <w:pPr>
        <w:spacing w:line="480" w:lineRule="auto"/>
        <w:rPr>
          <w:rFonts w:asciiTheme="majorBidi" w:hAnsiTheme="majorBidi" w:cstheme="majorBidi"/>
          <w:sz w:val="24"/>
          <w:szCs w:val="24"/>
          <w:lang w:bidi="syr-SY"/>
        </w:rPr>
      </w:pPr>
      <w:r>
        <w:rPr>
          <w:rFonts w:asciiTheme="majorBidi" w:hAnsiTheme="majorBidi" w:cstheme="majorBidi"/>
          <w:sz w:val="24"/>
          <w:szCs w:val="24"/>
          <w:lang w:bidi="syr-SY"/>
        </w:rPr>
        <w:lastRenderedPageBreak/>
        <w:tab/>
      </w:r>
      <w:r w:rsidR="007220E0">
        <w:rPr>
          <w:rFonts w:asciiTheme="majorBidi" w:hAnsiTheme="majorBidi" w:cstheme="majorBidi"/>
          <w:sz w:val="24"/>
          <w:szCs w:val="24"/>
          <w:lang w:bidi="syr-SY"/>
        </w:rPr>
        <w:t>While his opinion towards other Christian churches was even more charitable</w:t>
      </w:r>
      <w:r w:rsidR="00C26B3C">
        <w:rPr>
          <w:rFonts w:asciiTheme="majorBidi" w:hAnsiTheme="majorBidi" w:cstheme="majorBidi"/>
          <w:sz w:val="24"/>
          <w:szCs w:val="24"/>
          <w:lang w:bidi="syr-SY"/>
        </w:rPr>
        <w:t>,</w:t>
      </w:r>
      <w:r>
        <w:rPr>
          <w:rFonts w:asciiTheme="majorBidi" w:hAnsiTheme="majorBidi" w:cstheme="majorBidi"/>
          <w:sz w:val="24"/>
          <w:szCs w:val="24"/>
          <w:lang w:bidi="syr-SY"/>
        </w:rPr>
        <w:t xml:space="preserve"> he was far from indifferent about the differences between </w:t>
      </w:r>
      <w:r w:rsidR="007220E0">
        <w:rPr>
          <w:rFonts w:asciiTheme="majorBidi" w:hAnsiTheme="majorBidi" w:cstheme="majorBidi"/>
          <w:sz w:val="24"/>
          <w:szCs w:val="24"/>
          <w:lang w:bidi="syr-SY"/>
        </w:rPr>
        <w:t>them.</w:t>
      </w:r>
      <w:r>
        <w:rPr>
          <w:rFonts w:asciiTheme="majorBidi" w:hAnsiTheme="majorBidi" w:cstheme="majorBidi"/>
          <w:sz w:val="24"/>
          <w:szCs w:val="24"/>
          <w:lang w:bidi="syr-SY"/>
        </w:rPr>
        <w:t xml:space="preserve"> In an undated letter to the Catholicos of the Church of the East, Mar Denha I, he refutes the legitimacy of the Catholicos and his church’s Nestorian Christology. While this letter is undated, Denha served his church as Catholicos from 1265 – 1281, which overlaps with Bar Hebraeus’s maphriante completely. Given the ecumenical tendencies present in his later works, this is likely to be from earlier in their terms of church leadership. </w:t>
      </w:r>
    </w:p>
    <w:p w14:paraId="7CA8A95B" w14:textId="2D875753" w:rsidR="001E027B" w:rsidRDefault="00EE2A3D" w:rsidP="009A548D">
      <w:pPr>
        <w:spacing w:line="480" w:lineRule="auto"/>
        <w:rPr>
          <w:rFonts w:asciiTheme="majorBidi" w:hAnsiTheme="majorBidi" w:cstheme="majorBidi"/>
          <w:sz w:val="24"/>
          <w:szCs w:val="24"/>
          <w:lang w:bidi="syr-SY"/>
        </w:rPr>
      </w:pPr>
      <w:r>
        <w:rPr>
          <w:rFonts w:asciiTheme="majorBidi" w:hAnsiTheme="majorBidi" w:cstheme="majorBidi"/>
          <w:sz w:val="24"/>
          <w:szCs w:val="24"/>
          <w:lang w:bidi="syr-SY"/>
        </w:rPr>
        <w:tab/>
        <w:t xml:space="preserve">Bar Hebraeus shows great personal respect for Denha, praising him and comparing him to many heroic figures from the Hebrew Scriptures. However, after the long introduction of praise, Bar Hebraeus begins to dissect the Church of the East’s separation of the divine nature of Christ and the human nature of Christ. He uses Scripture and patristic quotations to show that the </w:t>
      </w:r>
      <w:r w:rsidR="0041120A">
        <w:rPr>
          <w:rFonts w:asciiTheme="majorBidi" w:hAnsiTheme="majorBidi" w:cstheme="majorBidi"/>
          <w:sz w:val="24"/>
          <w:szCs w:val="24"/>
          <w:lang w:bidi="syr-SY"/>
        </w:rPr>
        <w:t xml:space="preserve">second person of the Trinity is one, </w:t>
      </w:r>
      <w:r w:rsidR="007220E0">
        <w:rPr>
          <w:rFonts w:asciiTheme="majorBidi" w:hAnsiTheme="majorBidi" w:cstheme="majorBidi"/>
          <w:sz w:val="24"/>
          <w:szCs w:val="24"/>
          <w:lang w:bidi="syr-SY"/>
        </w:rPr>
        <w:t xml:space="preserve">having </w:t>
      </w:r>
      <w:r w:rsidR="0041120A">
        <w:rPr>
          <w:rFonts w:asciiTheme="majorBidi" w:hAnsiTheme="majorBidi" w:cstheme="majorBidi"/>
          <w:sz w:val="24"/>
          <w:szCs w:val="24"/>
          <w:lang w:bidi="syr-SY"/>
        </w:rPr>
        <w:t>perfectly united divinity and humanity</w:t>
      </w:r>
      <w:r w:rsidR="001E027B">
        <w:rPr>
          <w:rFonts w:asciiTheme="majorBidi" w:hAnsiTheme="majorBidi" w:cstheme="majorBidi"/>
          <w:sz w:val="24"/>
          <w:szCs w:val="24"/>
          <w:lang w:bidi="syr-SY"/>
        </w:rPr>
        <w:t>.</w:t>
      </w:r>
      <w:r w:rsidR="008E22C2">
        <w:rPr>
          <w:rStyle w:val="FootnoteReference"/>
          <w:rFonts w:asciiTheme="majorBidi" w:hAnsiTheme="majorBidi" w:cstheme="majorBidi"/>
          <w:sz w:val="24"/>
          <w:szCs w:val="24"/>
          <w:lang w:bidi="syr-SY"/>
        </w:rPr>
        <w:footnoteReference w:id="23"/>
      </w:r>
    </w:p>
    <w:p w14:paraId="31384C2B" w14:textId="796A8E7C" w:rsidR="001E027B" w:rsidRDefault="001E027B" w:rsidP="009A548D">
      <w:pPr>
        <w:spacing w:line="480" w:lineRule="auto"/>
        <w:rPr>
          <w:rFonts w:asciiTheme="majorBidi" w:hAnsiTheme="majorBidi" w:cstheme="majorBidi"/>
          <w:sz w:val="24"/>
          <w:szCs w:val="24"/>
          <w:lang w:bidi="syr-SY"/>
        </w:rPr>
      </w:pPr>
      <w:r>
        <w:rPr>
          <w:rFonts w:asciiTheme="majorBidi" w:hAnsiTheme="majorBidi" w:cstheme="majorBidi"/>
          <w:sz w:val="24"/>
          <w:szCs w:val="24"/>
          <w:lang w:bidi="syr-SY"/>
        </w:rPr>
        <w:tab/>
        <w:t>Despite the letter being mostly a refutation of Nestorian Christology, Bar Hebraeus’s appreciation for Denha is evident. After the section that advocates Miaphysitism, Bar Hebraeus says,</w:t>
      </w:r>
      <w:r w:rsidR="008468D9">
        <w:rPr>
          <w:rFonts w:asciiTheme="majorBidi" w:hAnsiTheme="majorBidi" w:cstheme="majorBidi"/>
          <w:sz w:val="24"/>
          <w:szCs w:val="24"/>
          <w:lang w:bidi="syr-SY"/>
        </w:rPr>
        <w:t xml:space="preserve"> </w:t>
      </w:r>
      <w:r w:rsidR="00A10E85">
        <w:rPr>
          <w:rFonts w:ascii="Serto Jerusalem" w:hAnsi="Serto Jerusalem" w:cs="Serto Jerusalem" w:hint="cs"/>
          <w:sz w:val="24"/>
          <w:szCs w:val="24"/>
          <w:rtl/>
          <w:lang w:bidi="syr-SY"/>
        </w:rPr>
        <w:t xml:space="preserve">ܐܡ̇ܪܢܐ ܠܟ ܕܠܐ ܐܘ ܡܫܒܚܐ. ܐܣܬܟܠ ܡܼܢ ܩܪܝܢܐ: ܕܟܬܝܒ ܗܘܼ ܕܠܐ ܚܪܝܢܐ. </w:t>
      </w:r>
      <w:r w:rsidR="00A10E85">
        <w:rPr>
          <w:rFonts w:ascii="Serto Jerusalem" w:hAnsi="Serto Jerusalem" w:cs="Serto Jerusalem"/>
          <w:sz w:val="24"/>
          <w:szCs w:val="24"/>
          <w:lang w:bidi="syr-SY"/>
        </w:rPr>
        <w:t xml:space="preserve"> </w:t>
      </w:r>
      <w:r w:rsidR="00A10E85">
        <w:rPr>
          <w:rFonts w:asciiTheme="majorBidi" w:hAnsiTheme="majorBidi" w:cstheme="majorBidi"/>
          <w:sz w:val="24"/>
          <w:szCs w:val="24"/>
          <w:lang w:bidi="syr-SY"/>
        </w:rPr>
        <w:t xml:space="preserve">, "I trust, that you, o excellent one from the East, understand of this writing, </w:t>
      </w:r>
      <w:r w:rsidR="009A5EEF">
        <w:rPr>
          <w:rFonts w:asciiTheme="majorBidi" w:hAnsiTheme="majorBidi" w:cstheme="majorBidi"/>
          <w:sz w:val="24"/>
          <w:szCs w:val="24"/>
          <w:lang w:bidi="syr-SY"/>
        </w:rPr>
        <w:t>that it is without contention."</w:t>
      </w:r>
      <w:r w:rsidR="009A5EEF">
        <w:rPr>
          <w:rStyle w:val="FootnoteReference"/>
          <w:rFonts w:asciiTheme="majorBidi" w:hAnsiTheme="majorBidi" w:cstheme="majorBidi"/>
          <w:sz w:val="24"/>
          <w:szCs w:val="24"/>
          <w:lang w:bidi="syr-SY"/>
        </w:rPr>
        <w:footnoteReference w:id="24"/>
      </w:r>
      <w:r w:rsidR="009A5EEF">
        <w:rPr>
          <w:rFonts w:asciiTheme="majorBidi" w:hAnsiTheme="majorBidi" w:cstheme="majorBidi"/>
          <w:sz w:val="24"/>
          <w:szCs w:val="24"/>
          <w:lang w:bidi="syr-SY"/>
        </w:rPr>
        <w:t xml:space="preserve"> He then describes the history of the catholicoi, showing how they were initially deceived by Nestorian doctrine, and urges Denha to agree with the majority of Christians in the Syriac world by forsaking Nestorianism in favor of Miaphysitism.</w:t>
      </w:r>
      <w:r w:rsidR="009A5EEF">
        <w:rPr>
          <w:rStyle w:val="FootnoteReference"/>
          <w:rFonts w:asciiTheme="majorBidi" w:hAnsiTheme="majorBidi" w:cstheme="majorBidi"/>
          <w:sz w:val="24"/>
          <w:szCs w:val="24"/>
          <w:lang w:bidi="syr-SY"/>
        </w:rPr>
        <w:footnoteReference w:id="25"/>
      </w:r>
      <w:r w:rsidR="009A5EEF">
        <w:rPr>
          <w:rFonts w:asciiTheme="majorBidi" w:hAnsiTheme="majorBidi" w:cstheme="majorBidi"/>
          <w:sz w:val="24"/>
          <w:szCs w:val="24"/>
          <w:lang w:bidi="syr-SY"/>
        </w:rPr>
        <w:t xml:space="preserve"> This letter is an example of the "disputations" that he would forsake by the time of the </w:t>
      </w:r>
      <w:r w:rsidR="009A5EEF">
        <w:rPr>
          <w:rFonts w:asciiTheme="majorBidi" w:hAnsiTheme="majorBidi" w:cstheme="majorBidi"/>
          <w:i/>
          <w:iCs/>
          <w:sz w:val="24"/>
          <w:szCs w:val="24"/>
          <w:lang w:bidi="syr-SY"/>
        </w:rPr>
        <w:t>Book of the Dove</w:t>
      </w:r>
      <w:r w:rsidR="009A5EEF">
        <w:rPr>
          <w:rFonts w:asciiTheme="majorBidi" w:hAnsiTheme="majorBidi" w:cstheme="majorBidi"/>
          <w:sz w:val="24"/>
          <w:szCs w:val="24"/>
          <w:lang w:bidi="syr-SY"/>
        </w:rPr>
        <w:t>.</w:t>
      </w:r>
    </w:p>
    <w:p w14:paraId="1677F012" w14:textId="77777777" w:rsidR="009A5EEF" w:rsidRPr="00536927" w:rsidRDefault="009A5EEF" w:rsidP="009A5EEF">
      <w:pPr>
        <w:spacing w:line="480" w:lineRule="auto"/>
        <w:jc w:val="center"/>
        <w:rPr>
          <w:rFonts w:asciiTheme="majorBidi" w:hAnsiTheme="majorBidi" w:cstheme="majorBidi"/>
          <w:b/>
          <w:bCs/>
          <w:sz w:val="24"/>
          <w:szCs w:val="24"/>
          <w:lang w:bidi="syr-SY"/>
        </w:rPr>
      </w:pPr>
      <w:r>
        <w:rPr>
          <w:rFonts w:asciiTheme="majorBidi" w:hAnsiTheme="majorBidi" w:cstheme="majorBidi"/>
          <w:b/>
          <w:bCs/>
          <w:sz w:val="24"/>
          <w:szCs w:val="24"/>
          <w:lang w:bidi="syr-SY"/>
        </w:rPr>
        <w:lastRenderedPageBreak/>
        <w:t>POEMS "ON DISPUTATIONS"</w:t>
      </w:r>
    </w:p>
    <w:p w14:paraId="7D7D5713" w14:textId="73FDB800" w:rsidR="009A5EEF" w:rsidRDefault="009A5EEF" w:rsidP="009A5EEF">
      <w:pPr>
        <w:spacing w:line="480" w:lineRule="auto"/>
        <w:ind w:firstLine="720"/>
        <w:rPr>
          <w:rFonts w:asciiTheme="majorBidi" w:hAnsiTheme="majorBidi" w:cstheme="majorBidi"/>
          <w:sz w:val="24"/>
          <w:szCs w:val="24"/>
          <w:lang w:bidi="syr-SY"/>
        </w:rPr>
      </w:pPr>
      <w:r w:rsidRPr="00536927">
        <w:rPr>
          <w:rFonts w:asciiTheme="majorBidi" w:hAnsiTheme="majorBidi" w:cstheme="majorBidi"/>
          <w:sz w:val="24"/>
          <w:szCs w:val="24"/>
          <w:lang w:bidi="syr-SY"/>
        </w:rPr>
        <w:t xml:space="preserve">The </w:t>
      </w:r>
      <w:r w:rsidR="007220E0">
        <w:rPr>
          <w:rFonts w:asciiTheme="majorBidi" w:hAnsiTheme="majorBidi" w:cstheme="majorBidi"/>
          <w:sz w:val="24"/>
          <w:szCs w:val="24"/>
          <w:lang w:bidi="syr-SY"/>
        </w:rPr>
        <w:t>next</w:t>
      </w:r>
      <w:r w:rsidRPr="00536927">
        <w:rPr>
          <w:rFonts w:asciiTheme="majorBidi" w:hAnsiTheme="majorBidi" w:cstheme="majorBidi"/>
          <w:sz w:val="24"/>
          <w:szCs w:val="24"/>
          <w:lang w:bidi="syr-SY"/>
        </w:rPr>
        <w:t xml:space="preserve"> text</w:t>
      </w:r>
      <w:r>
        <w:rPr>
          <w:rFonts w:asciiTheme="majorBidi" w:hAnsiTheme="majorBidi" w:cstheme="majorBidi"/>
          <w:sz w:val="24"/>
          <w:szCs w:val="24"/>
          <w:lang w:bidi="syr-SY"/>
        </w:rPr>
        <w:t xml:space="preserve">s that I will examine will be </w:t>
      </w:r>
      <w:r w:rsidR="007220E0">
        <w:rPr>
          <w:rFonts w:asciiTheme="majorBidi" w:hAnsiTheme="majorBidi" w:cstheme="majorBidi"/>
          <w:sz w:val="24"/>
          <w:szCs w:val="24"/>
          <w:lang w:bidi="syr-SY"/>
        </w:rPr>
        <w:t>four</w:t>
      </w:r>
      <w:r>
        <w:rPr>
          <w:rFonts w:asciiTheme="majorBidi" w:hAnsiTheme="majorBidi" w:cstheme="majorBidi"/>
          <w:sz w:val="24"/>
          <w:szCs w:val="24"/>
          <w:lang w:bidi="syr-SY"/>
        </w:rPr>
        <w:t xml:space="preserve"> poems </w:t>
      </w:r>
      <w:r w:rsidR="00552678">
        <w:rPr>
          <w:rFonts w:asciiTheme="majorBidi" w:hAnsiTheme="majorBidi" w:cstheme="majorBidi"/>
          <w:sz w:val="24"/>
          <w:szCs w:val="24"/>
          <w:lang w:bidi="syr-SY"/>
        </w:rPr>
        <w:t>that have been collected by Patriarch Philoxenos Dolabani</w:t>
      </w:r>
      <w:r w:rsidR="007220E0">
        <w:rPr>
          <w:rFonts w:asciiTheme="majorBidi" w:hAnsiTheme="majorBidi" w:cstheme="majorBidi"/>
          <w:sz w:val="24"/>
          <w:szCs w:val="24"/>
          <w:lang w:bidi="syr-SY"/>
        </w:rPr>
        <w:t xml:space="preserve"> </w:t>
      </w:r>
      <w:r w:rsidR="00552678">
        <w:rPr>
          <w:rFonts w:asciiTheme="majorBidi" w:hAnsiTheme="majorBidi" w:cstheme="majorBidi"/>
          <w:sz w:val="24"/>
          <w:szCs w:val="24"/>
          <w:lang w:bidi="syr-SY"/>
        </w:rPr>
        <w:t>in 1929. He grouped these poems and one other under the heading "On Disputations." The first poem, "An admonition and commentary of the divisions from those who love guides,"</w:t>
      </w:r>
      <w:r w:rsidR="00552678">
        <w:rPr>
          <w:rStyle w:val="FootnoteReference"/>
          <w:rFonts w:asciiTheme="majorBidi" w:hAnsiTheme="majorBidi" w:cstheme="majorBidi"/>
          <w:sz w:val="24"/>
          <w:szCs w:val="24"/>
          <w:lang w:bidi="syr-SY"/>
        </w:rPr>
        <w:footnoteReference w:id="26"/>
      </w:r>
      <w:r w:rsidR="00552678">
        <w:rPr>
          <w:rFonts w:asciiTheme="majorBidi" w:hAnsiTheme="majorBidi" w:cstheme="majorBidi"/>
          <w:sz w:val="24"/>
          <w:szCs w:val="24"/>
          <w:lang w:bidi="syr-SY"/>
        </w:rPr>
        <w:t xml:space="preserve"> praises "Theophilus" who does not love Nestorius or Cyril more than Jesus. Bar Hebraeus alludes to 1 Cor</w:t>
      </w:r>
      <w:r w:rsidR="00EF3FB7">
        <w:rPr>
          <w:rFonts w:asciiTheme="majorBidi" w:hAnsiTheme="majorBidi" w:cstheme="majorBidi"/>
          <w:sz w:val="24"/>
          <w:szCs w:val="24"/>
          <w:lang w:bidi="syr-SY"/>
        </w:rPr>
        <w:t xml:space="preserve"> 3:4</w:t>
      </w:r>
      <w:r w:rsidR="00552678">
        <w:rPr>
          <w:rFonts w:asciiTheme="majorBidi" w:hAnsiTheme="majorBidi" w:cstheme="majorBidi"/>
          <w:sz w:val="24"/>
          <w:szCs w:val="24"/>
          <w:lang w:bidi="syr-SY"/>
        </w:rPr>
        <w:t xml:space="preserve">, chastising both his fellow Syrian Orthodox Christians and the Church of the East Christians. This seems to be the same attitude he demonstrated in the </w:t>
      </w:r>
      <w:r w:rsidR="00552678">
        <w:rPr>
          <w:rFonts w:asciiTheme="majorBidi" w:hAnsiTheme="majorBidi" w:cstheme="majorBidi"/>
          <w:i/>
          <w:iCs/>
          <w:sz w:val="24"/>
          <w:szCs w:val="24"/>
          <w:lang w:bidi="syr-SY"/>
        </w:rPr>
        <w:t xml:space="preserve">Book of the Dove; </w:t>
      </w:r>
      <w:r w:rsidR="00552678">
        <w:rPr>
          <w:rFonts w:asciiTheme="majorBidi" w:hAnsiTheme="majorBidi" w:cstheme="majorBidi"/>
          <w:sz w:val="24"/>
          <w:szCs w:val="24"/>
          <w:lang w:bidi="syr-SY"/>
        </w:rPr>
        <w:t xml:space="preserve">neither whole-heartedly endorsing the Church of the East's Christology, but neither </w:t>
      </w:r>
      <w:r w:rsidR="00164781">
        <w:rPr>
          <w:rFonts w:asciiTheme="majorBidi" w:hAnsiTheme="majorBidi" w:cstheme="majorBidi"/>
          <w:sz w:val="24"/>
          <w:szCs w:val="24"/>
          <w:lang w:bidi="syr-SY"/>
        </w:rPr>
        <w:t>pushing the issue to the point of dispute, and above all seeking peace.</w:t>
      </w:r>
    </w:p>
    <w:p w14:paraId="4C825DB3" w14:textId="58EE0F29" w:rsidR="009A5EEF" w:rsidRDefault="00164781" w:rsidP="00AC5750">
      <w:pPr>
        <w:spacing w:line="480" w:lineRule="auto"/>
        <w:ind w:firstLine="720"/>
        <w:rPr>
          <w:rFonts w:asciiTheme="majorBidi" w:hAnsiTheme="majorBidi" w:cstheme="majorBidi"/>
          <w:sz w:val="24"/>
          <w:szCs w:val="24"/>
          <w:lang w:bidi="syr-SY"/>
        </w:rPr>
      </w:pPr>
      <w:r>
        <w:rPr>
          <w:rFonts w:asciiTheme="majorBidi" w:hAnsiTheme="majorBidi" w:cstheme="majorBidi"/>
          <w:sz w:val="24"/>
          <w:szCs w:val="24"/>
          <w:lang w:bidi="syr-SY"/>
        </w:rPr>
        <w:t xml:space="preserve">The next poems in Dolabani's critical edition are not actually from Bar Hebraeus, but set the stage for a reply of his. They are a brief exchange between Khamis </w:t>
      </w:r>
      <w:r w:rsidR="00A8190E">
        <w:rPr>
          <w:rFonts w:asciiTheme="majorBidi" w:hAnsiTheme="majorBidi" w:cstheme="majorBidi"/>
          <w:sz w:val="24"/>
          <w:szCs w:val="24"/>
          <w:lang w:bidi="syr-SY"/>
        </w:rPr>
        <w:t>bar Qardahe</w:t>
      </w:r>
      <w:r>
        <w:rPr>
          <w:rFonts w:asciiTheme="majorBidi" w:hAnsiTheme="majorBidi" w:cstheme="majorBidi"/>
          <w:sz w:val="24"/>
          <w:szCs w:val="24"/>
          <w:lang w:bidi="syr-SY"/>
        </w:rPr>
        <w:t xml:space="preserve"> </w:t>
      </w:r>
      <w:r w:rsidR="00AC5750">
        <w:rPr>
          <w:rFonts w:asciiTheme="majorBidi" w:hAnsiTheme="majorBidi" w:cstheme="majorBidi"/>
          <w:sz w:val="24"/>
          <w:szCs w:val="24"/>
          <w:lang w:bidi="syr-SY"/>
        </w:rPr>
        <w:t>from the Church of the East</w:t>
      </w:r>
      <w:r w:rsidR="00223943">
        <w:rPr>
          <w:rStyle w:val="FootnoteReference"/>
          <w:rFonts w:asciiTheme="majorBidi" w:hAnsiTheme="majorBidi" w:cstheme="majorBidi"/>
          <w:sz w:val="24"/>
          <w:szCs w:val="24"/>
          <w:lang w:bidi="syr-SY"/>
        </w:rPr>
        <w:footnoteReference w:id="27"/>
      </w:r>
      <w:r w:rsidR="00AC5750">
        <w:rPr>
          <w:rFonts w:asciiTheme="majorBidi" w:hAnsiTheme="majorBidi" w:cstheme="majorBidi"/>
          <w:sz w:val="24"/>
          <w:szCs w:val="24"/>
          <w:lang w:bidi="syr-SY"/>
        </w:rPr>
        <w:t xml:space="preserve"> </w:t>
      </w:r>
      <w:r>
        <w:rPr>
          <w:rFonts w:asciiTheme="majorBidi" w:hAnsiTheme="majorBidi" w:cstheme="majorBidi"/>
          <w:sz w:val="24"/>
          <w:szCs w:val="24"/>
          <w:lang w:bidi="syr-SY"/>
        </w:rPr>
        <w:t>and Daniel bar Hattab from the Syrian</w:t>
      </w:r>
      <w:r w:rsidR="00AC5750">
        <w:rPr>
          <w:rFonts w:asciiTheme="majorBidi" w:hAnsiTheme="majorBidi" w:cstheme="majorBidi"/>
          <w:sz w:val="24"/>
          <w:szCs w:val="24"/>
          <w:lang w:bidi="syr-SY"/>
        </w:rPr>
        <w:t xml:space="preserve"> Orthodox Church.</w:t>
      </w:r>
      <w:r w:rsidR="00687E94">
        <w:rPr>
          <w:rStyle w:val="FootnoteReference"/>
          <w:rFonts w:asciiTheme="majorBidi" w:hAnsiTheme="majorBidi" w:cstheme="majorBidi"/>
          <w:sz w:val="24"/>
          <w:szCs w:val="24"/>
          <w:lang w:bidi="syr-SY"/>
        </w:rPr>
        <w:footnoteReference w:id="28"/>
      </w:r>
      <w:r w:rsidR="00AC5750">
        <w:rPr>
          <w:rFonts w:asciiTheme="majorBidi" w:hAnsiTheme="majorBidi" w:cstheme="majorBidi"/>
          <w:sz w:val="24"/>
          <w:szCs w:val="24"/>
          <w:lang w:bidi="syr-SY"/>
        </w:rPr>
        <w:t xml:space="preserve"> Khamis asks whether, according to the "ten simple measures" (Aristotle's categories)</w:t>
      </w:r>
      <w:r w:rsidR="00A8190E">
        <w:rPr>
          <w:rFonts w:asciiTheme="majorBidi" w:hAnsiTheme="majorBidi" w:cstheme="majorBidi"/>
          <w:sz w:val="24"/>
          <w:szCs w:val="24"/>
          <w:lang w:bidi="syr-SY"/>
        </w:rPr>
        <w:t>,</w:t>
      </w:r>
      <w:r w:rsidR="00AC5750">
        <w:rPr>
          <w:rStyle w:val="FootnoteReference"/>
          <w:rFonts w:asciiTheme="majorBidi" w:hAnsiTheme="majorBidi" w:cstheme="majorBidi"/>
          <w:sz w:val="24"/>
          <w:szCs w:val="24"/>
          <w:lang w:bidi="syr-SY"/>
        </w:rPr>
        <w:footnoteReference w:id="29"/>
      </w:r>
      <w:r w:rsidR="00A8190E">
        <w:rPr>
          <w:rFonts w:asciiTheme="majorBidi" w:hAnsiTheme="majorBidi" w:cstheme="majorBidi"/>
          <w:sz w:val="24"/>
          <w:szCs w:val="24"/>
          <w:lang w:bidi="syr-SY"/>
        </w:rPr>
        <w:t xml:space="preserve"> Jesus's divinity could be confined in a body of flesh. Bar Hattab replies that Jesus's divinity is not limited in bodily sense, although he does not fully explain the Miaphysite Christology beyond this.</w:t>
      </w:r>
      <w:r w:rsidR="00A8190E">
        <w:rPr>
          <w:rStyle w:val="FootnoteReference"/>
          <w:rFonts w:asciiTheme="majorBidi" w:hAnsiTheme="majorBidi" w:cstheme="majorBidi"/>
          <w:sz w:val="24"/>
          <w:szCs w:val="24"/>
          <w:lang w:bidi="syr-SY"/>
        </w:rPr>
        <w:footnoteReference w:id="30"/>
      </w:r>
    </w:p>
    <w:p w14:paraId="07E92688" w14:textId="410E1C80" w:rsidR="009A5EEF" w:rsidRPr="002C5C50" w:rsidRDefault="00A8190E" w:rsidP="00A8190E">
      <w:pPr>
        <w:spacing w:line="480" w:lineRule="auto"/>
        <w:ind w:firstLine="720"/>
        <w:rPr>
          <w:rFonts w:asciiTheme="majorBidi" w:hAnsiTheme="majorBidi" w:cs="Estrangelo Edessa"/>
          <w:sz w:val="24"/>
          <w:szCs w:val="24"/>
          <w:lang w:bidi="syr-SY"/>
        </w:rPr>
      </w:pPr>
      <w:r>
        <w:rPr>
          <w:rFonts w:asciiTheme="majorBidi" w:hAnsiTheme="majorBidi" w:cstheme="majorBidi"/>
          <w:sz w:val="24"/>
          <w:szCs w:val="24"/>
          <w:lang w:bidi="syr-SY"/>
        </w:rPr>
        <w:lastRenderedPageBreak/>
        <w:t>In his reply</w:t>
      </w:r>
      <w:r w:rsidR="00223943">
        <w:rPr>
          <w:rFonts w:asciiTheme="majorBidi" w:hAnsiTheme="majorBidi" w:cstheme="majorBidi"/>
          <w:sz w:val="24"/>
          <w:szCs w:val="24"/>
          <w:lang w:bidi="syr-SY"/>
        </w:rPr>
        <w:t>, Bar Hebraeus praises the greatness of Khamis</w:t>
      </w:r>
      <w:r w:rsidR="00687E94">
        <w:rPr>
          <w:rFonts w:asciiTheme="majorBidi" w:hAnsiTheme="majorBidi" w:cstheme="majorBidi"/>
          <w:sz w:val="24"/>
          <w:szCs w:val="24"/>
          <w:lang w:bidi="syr-SY"/>
        </w:rPr>
        <w:t xml:space="preserve">. He seems to truly respect this fellow poet, despite his divergent Christology. </w:t>
      </w:r>
      <w:r w:rsidR="002C5C50">
        <w:rPr>
          <w:rFonts w:asciiTheme="majorBidi" w:hAnsiTheme="majorBidi" w:cstheme="majorBidi"/>
          <w:sz w:val="24"/>
          <w:szCs w:val="24"/>
          <w:lang w:bidi="syr-SY"/>
        </w:rPr>
        <w:t xml:space="preserve">As in the </w:t>
      </w:r>
      <w:r w:rsidR="002C5C50">
        <w:rPr>
          <w:rFonts w:asciiTheme="majorBidi" w:hAnsiTheme="majorBidi" w:cstheme="majorBidi"/>
          <w:i/>
          <w:iCs/>
          <w:sz w:val="24"/>
          <w:szCs w:val="24"/>
          <w:lang w:bidi="syr-SY"/>
        </w:rPr>
        <w:t>Letter to Denha</w:t>
      </w:r>
      <w:r w:rsidR="002C5C50">
        <w:rPr>
          <w:rFonts w:asciiTheme="majorBidi" w:hAnsiTheme="majorBidi" w:cstheme="majorBidi"/>
          <w:sz w:val="24"/>
          <w:szCs w:val="24"/>
          <w:lang w:bidi="syr-SY"/>
        </w:rPr>
        <w:t>, he upholds his own church's doctrine, but urges Khamis to seek true wisdom rather than doctrine, and by so doing drive out errors.</w:t>
      </w:r>
      <w:r w:rsidR="002C5C50">
        <w:rPr>
          <w:rStyle w:val="FootnoteReference"/>
          <w:rFonts w:asciiTheme="majorBidi" w:hAnsiTheme="majorBidi" w:cstheme="majorBidi"/>
          <w:sz w:val="24"/>
          <w:szCs w:val="24"/>
          <w:lang w:bidi="syr-SY"/>
        </w:rPr>
        <w:footnoteReference w:id="31"/>
      </w:r>
      <w:r w:rsidR="002C5C50">
        <w:rPr>
          <w:rFonts w:asciiTheme="majorBidi" w:hAnsiTheme="majorBidi" w:cstheme="majorBidi"/>
          <w:sz w:val="24"/>
          <w:szCs w:val="24"/>
          <w:lang w:bidi="syr-SY"/>
        </w:rPr>
        <w:t xml:space="preserve"> The tone throughout the letter is cordial and friendly to Khamis, but he still refutes Khamis's Christology on the basis of it not fitting under Aristotelian categories.</w:t>
      </w:r>
    </w:p>
    <w:p w14:paraId="7DE6A338" w14:textId="1A8F47BE" w:rsidR="00755058" w:rsidRPr="00536927" w:rsidRDefault="008D719A" w:rsidP="008F4A5E">
      <w:pPr>
        <w:spacing w:line="480" w:lineRule="auto"/>
        <w:jc w:val="center"/>
        <w:rPr>
          <w:rFonts w:asciiTheme="majorBidi" w:hAnsiTheme="majorBidi" w:cstheme="majorBidi"/>
          <w:b/>
          <w:bCs/>
          <w:sz w:val="24"/>
          <w:szCs w:val="24"/>
          <w:lang w:bidi="syr-SY"/>
        </w:rPr>
      </w:pPr>
      <w:r>
        <w:rPr>
          <w:rFonts w:asciiTheme="majorBidi" w:hAnsiTheme="majorBidi" w:cstheme="majorBidi"/>
          <w:b/>
          <w:bCs/>
          <w:sz w:val="24"/>
          <w:szCs w:val="24"/>
          <w:lang w:bidi="syr-SY"/>
        </w:rPr>
        <w:t>THE BOOK OF THE DOVE</w:t>
      </w:r>
    </w:p>
    <w:p w14:paraId="62287A73" w14:textId="4C5601EC" w:rsidR="00755058" w:rsidRPr="00536927" w:rsidRDefault="00DD3621" w:rsidP="008D719A">
      <w:pPr>
        <w:spacing w:line="480" w:lineRule="auto"/>
        <w:ind w:firstLine="720"/>
        <w:rPr>
          <w:rFonts w:asciiTheme="majorBidi" w:hAnsiTheme="majorBidi" w:cstheme="majorBidi"/>
          <w:b/>
          <w:bCs/>
          <w:sz w:val="24"/>
          <w:szCs w:val="24"/>
          <w:lang w:bidi="syr-SY"/>
        </w:rPr>
      </w:pPr>
      <w:r>
        <w:rPr>
          <w:rFonts w:asciiTheme="majorBidi" w:hAnsiTheme="majorBidi" w:cstheme="majorBidi"/>
          <w:sz w:val="24"/>
          <w:szCs w:val="24"/>
          <w:lang w:bidi="syr-SY"/>
        </w:rPr>
        <w:t>As can be seen in the quote that opened this paper, the</w:t>
      </w:r>
      <w:r w:rsidR="007026F7" w:rsidRPr="00536927">
        <w:rPr>
          <w:rFonts w:asciiTheme="majorBidi" w:hAnsiTheme="majorBidi" w:cstheme="majorBidi"/>
          <w:sz w:val="24"/>
          <w:szCs w:val="24"/>
          <w:lang w:bidi="syr-SY"/>
        </w:rPr>
        <w:t xml:space="preserve"> </w:t>
      </w:r>
      <w:r w:rsidR="007026F7" w:rsidRPr="00536927">
        <w:rPr>
          <w:rFonts w:asciiTheme="majorBidi" w:hAnsiTheme="majorBidi" w:cstheme="majorBidi"/>
          <w:i/>
          <w:iCs/>
          <w:sz w:val="24"/>
          <w:szCs w:val="24"/>
          <w:lang w:bidi="syr-SY"/>
        </w:rPr>
        <w:t>Book of the Dove</w:t>
      </w:r>
      <w:r w:rsidR="007026F7" w:rsidRPr="00536927">
        <w:rPr>
          <w:rFonts w:asciiTheme="majorBidi" w:hAnsiTheme="majorBidi" w:cstheme="majorBidi"/>
          <w:sz w:val="24"/>
          <w:szCs w:val="24"/>
          <w:lang w:bidi="syr-SY"/>
        </w:rPr>
        <w:t xml:space="preserve"> contains </w:t>
      </w:r>
      <w:r>
        <w:rPr>
          <w:rFonts w:asciiTheme="majorBidi" w:hAnsiTheme="majorBidi" w:cstheme="majorBidi"/>
          <w:sz w:val="24"/>
          <w:szCs w:val="24"/>
          <w:lang w:bidi="syr-SY"/>
        </w:rPr>
        <w:t>Bar Hebraeus's greatest ecumenical statements</w:t>
      </w:r>
      <w:r w:rsidR="007026F7" w:rsidRPr="00536927">
        <w:rPr>
          <w:rFonts w:asciiTheme="majorBidi" w:hAnsiTheme="majorBidi" w:cstheme="majorBidi"/>
          <w:sz w:val="24"/>
          <w:szCs w:val="24"/>
          <w:lang w:bidi="syr-SY"/>
        </w:rPr>
        <w:t xml:space="preserve">. Most likely this book was written </w:t>
      </w:r>
      <w:r w:rsidR="00086C8E" w:rsidRPr="00536927">
        <w:rPr>
          <w:rFonts w:asciiTheme="majorBidi" w:hAnsiTheme="majorBidi" w:cstheme="majorBidi"/>
          <w:sz w:val="24"/>
          <w:szCs w:val="24"/>
          <w:lang w:bidi="syr-SY"/>
        </w:rPr>
        <w:t>after</w:t>
      </w:r>
      <w:r w:rsidR="007026F7" w:rsidRPr="00536927">
        <w:rPr>
          <w:rFonts w:asciiTheme="majorBidi" w:hAnsiTheme="majorBidi" w:cstheme="majorBidi"/>
          <w:sz w:val="24"/>
          <w:szCs w:val="24"/>
          <w:lang w:bidi="syr-SY"/>
        </w:rPr>
        <w:t xml:space="preserve"> </w:t>
      </w:r>
      <w:r w:rsidR="003C0F00" w:rsidRPr="00536927">
        <w:rPr>
          <w:rFonts w:asciiTheme="majorBidi" w:hAnsiTheme="majorBidi" w:cstheme="majorBidi"/>
          <w:sz w:val="24"/>
          <w:szCs w:val="24"/>
          <w:lang w:bidi="syr-SY"/>
        </w:rPr>
        <w:t xml:space="preserve">the </w:t>
      </w:r>
      <w:r w:rsidR="003C0F00" w:rsidRPr="00536927">
        <w:rPr>
          <w:rFonts w:asciiTheme="majorBidi" w:hAnsiTheme="majorBidi" w:cstheme="majorBidi"/>
          <w:i/>
          <w:iCs/>
          <w:sz w:val="24"/>
          <w:szCs w:val="24"/>
          <w:lang w:bidi="syr-SY"/>
        </w:rPr>
        <w:t>Ethikon</w:t>
      </w:r>
      <w:r w:rsidR="007026F7" w:rsidRPr="00536927">
        <w:rPr>
          <w:rFonts w:asciiTheme="majorBidi" w:hAnsiTheme="majorBidi" w:cstheme="majorBidi"/>
          <w:sz w:val="24"/>
          <w:szCs w:val="24"/>
          <w:lang w:bidi="syr-SY"/>
        </w:rPr>
        <w:t xml:space="preserve"> </w:t>
      </w:r>
      <w:r w:rsidR="00086C8E" w:rsidRPr="00536927">
        <w:rPr>
          <w:rFonts w:asciiTheme="majorBidi" w:hAnsiTheme="majorBidi" w:cstheme="majorBidi"/>
          <w:sz w:val="24"/>
          <w:szCs w:val="24"/>
          <w:lang w:bidi="syr-SY"/>
        </w:rPr>
        <w:t>which can be dated to 1278.</w:t>
      </w:r>
      <w:r w:rsidR="00086C8E" w:rsidRPr="00536927">
        <w:rPr>
          <w:rStyle w:val="FootnoteReference"/>
          <w:rFonts w:asciiTheme="majorBidi" w:hAnsiTheme="majorBidi" w:cstheme="majorBidi"/>
          <w:sz w:val="24"/>
          <w:szCs w:val="24"/>
          <w:lang w:bidi="syr-SY"/>
        </w:rPr>
        <w:footnoteReference w:id="32"/>
      </w:r>
      <w:r w:rsidR="00086C8E" w:rsidRPr="00536927">
        <w:rPr>
          <w:rFonts w:asciiTheme="majorBidi" w:hAnsiTheme="majorBidi" w:cstheme="majorBidi"/>
          <w:sz w:val="24"/>
          <w:szCs w:val="24"/>
          <w:lang w:bidi="syr-SY"/>
        </w:rPr>
        <w:t xml:space="preserve"> That brings this writing to </w:t>
      </w:r>
      <w:r>
        <w:rPr>
          <w:rFonts w:asciiTheme="majorBidi" w:hAnsiTheme="majorBidi" w:cstheme="majorBidi"/>
          <w:sz w:val="24"/>
          <w:szCs w:val="24"/>
          <w:lang w:bidi="syr-SY"/>
        </w:rPr>
        <w:t>the last eight years of his life, and so may be seen as the final stage of his development in his appreciation for other Christian churches.</w:t>
      </w:r>
      <w:r>
        <w:rPr>
          <w:rStyle w:val="FootnoteReference"/>
          <w:rFonts w:asciiTheme="majorBidi" w:hAnsiTheme="majorBidi" w:cstheme="majorBidi"/>
          <w:sz w:val="24"/>
          <w:szCs w:val="24"/>
          <w:lang w:bidi="syr-SY"/>
        </w:rPr>
        <w:footnoteReference w:id="33"/>
      </w:r>
      <w:r w:rsidR="00B03E5D" w:rsidRPr="00536927">
        <w:rPr>
          <w:rFonts w:asciiTheme="majorBidi" w:hAnsiTheme="majorBidi" w:cstheme="majorBidi"/>
          <w:sz w:val="24"/>
          <w:szCs w:val="24"/>
          <w:lang w:bidi="syr-SY"/>
        </w:rPr>
        <w:t xml:space="preserve"> </w:t>
      </w:r>
    </w:p>
    <w:p w14:paraId="45EE721B" w14:textId="5143728D" w:rsidR="003C0F00" w:rsidRDefault="003C0F00" w:rsidP="008F4A5E">
      <w:pPr>
        <w:spacing w:line="480" w:lineRule="auto"/>
        <w:ind w:firstLine="720"/>
        <w:rPr>
          <w:rFonts w:asciiTheme="majorBidi" w:hAnsiTheme="majorBidi" w:cstheme="majorBidi"/>
          <w:sz w:val="24"/>
          <w:szCs w:val="24"/>
          <w:lang w:bidi="syr-SY"/>
        </w:rPr>
      </w:pPr>
      <w:r w:rsidRPr="00536927">
        <w:rPr>
          <w:rFonts w:asciiTheme="majorBidi" w:hAnsiTheme="majorBidi" w:cstheme="majorBidi"/>
          <w:sz w:val="24"/>
          <w:szCs w:val="24"/>
          <w:lang w:bidi="syr-SY"/>
        </w:rPr>
        <w:t xml:space="preserve">The autobiographic section </w:t>
      </w:r>
      <w:r w:rsidR="00870267" w:rsidRPr="00536927">
        <w:rPr>
          <w:rFonts w:asciiTheme="majorBidi" w:hAnsiTheme="majorBidi" w:cstheme="majorBidi"/>
          <w:sz w:val="24"/>
          <w:szCs w:val="24"/>
          <w:lang w:bidi="syr-SY"/>
        </w:rPr>
        <w:t>that begins</w:t>
      </w:r>
      <w:r w:rsidRPr="00536927">
        <w:rPr>
          <w:rFonts w:asciiTheme="majorBidi" w:hAnsiTheme="majorBidi" w:cstheme="majorBidi"/>
          <w:sz w:val="24"/>
          <w:szCs w:val="24"/>
          <w:lang w:bidi="syr-SY"/>
        </w:rPr>
        <w:t xml:space="preserve"> chapter four of the </w:t>
      </w:r>
      <w:r w:rsidRPr="00536927">
        <w:rPr>
          <w:rFonts w:asciiTheme="majorBidi" w:hAnsiTheme="majorBidi" w:cstheme="majorBidi"/>
          <w:i/>
          <w:iCs/>
          <w:sz w:val="24"/>
          <w:szCs w:val="24"/>
          <w:lang w:bidi="syr-SY"/>
        </w:rPr>
        <w:t>Book of the Dove</w:t>
      </w:r>
      <w:r w:rsidRPr="00536927">
        <w:rPr>
          <w:rFonts w:asciiTheme="majorBidi" w:hAnsiTheme="majorBidi" w:cstheme="majorBidi"/>
          <w:sz w:val="24"/>
          <w:szCs w:val="24"/>
          <w:lang w:bidi="syr-SY"/>
        </w:rPr>
        <w:t xml:space="preserve"> </w:t>
      </w:r>
      <w:r w:rsidR="00870267" w:rsidRPr="00536927">
        <w:rPr>
          <w:rFonts w:asciiTheme="majorBidi" w:hAnsiTheme="majorBidi" w:cstheme="majorBidi"/>
          <w:sz w:val="24"/>
          <w:szCs w:val="24"/>
          <w:lang w:bidi="syr-SY"/>
        </w:rPr>
        <w:t>is undoubtedly the crux of Bar Hebraeus’s ecumenism.</w:t>
      </w:r>
      <w:r w:rsidR="00AA6534" w:rsidRPr="00536927">
        <w:rPr>
          <w:rFonts w:asciiTheme="majorBidi" w:hAnsiTheme="majorBidi" w:cstheme="majorBidi"/>
          <w:sz w:val="24"/>
          <w:szCs w:val="24"/>
          <w:lang w:bidi="syr-SY"/>
        </w:rPr>
        <w:t xml:space="preserve"> </w:t>
      </w:r>
      <w:r w:rsidR="00EF3FB7">
        <w:rPr>
          <w:rFonts w:asciiTheme="majorBidi" w:hAnsiTheme="majorBidi" w:cstheme="majorBidi"/>
          <w:sz w:val="24"/>
          <w:szCs w:val="24"/>
          <w:lang w:bidi="syr-SY"/>
        </w:rPr>
        <w:t>T</w:t>
      </w:r>
      <w:r w:rsidR="00AA6534" w:rsidRPr="00536927">
        <w:rPr>
          <w:rFonts w:asciiTheme="majorBidi" w:hAnsiTheme="majorBidi" w:cstheme="majorBidi"/>
          <w:sz w:val="24"/>
          <w:szCs w:val="24"/>
          <w:lang w:bidi="syr-SY"/>
        </w:rPr>
        <w:t>h</w:t>
      </w:r>
      <w:r w:rsidR="00EF3FB7">
        <w:rPr>
          <w:rFonts w:asciiTheme="majorBidi" w:hAnsiTheme="majorBidi" w:cstheme="majorBidi"/>
          <w:sz w:val="24"/>
          <w:szCs w:val="24"/>
          <w:lang w:bidi="syr-SY"/>
        </w:rPr>
        <w:t>is chapter of the</w:t>
      </w:r>
      <w:r w:rsidR="00AA6534" w:rsidRPr="00536927">
        <w:rPr>
          <w:rFonts w:asciiTheme="majorBidi" w:hAnsiTheme="majorBidi" w:cstheme="majorBidi"/>
          <w:sz w:val="24"/>
          <w:szCs w:val="24"/>
          <w:lang w:bidi="syr-SY"/>
        </w:rPr>
        <w:t xml:space="preserve"> </w:t>
      </w:r>
      <w:r w:rsidR="00AA6534" w:rsidRPr="00536927">
        <w:rPr>
          <w:rFonts w:asciiTheme="majorBidi" w:hAnsiTheme="majorBidi" w:cstheme="majorBidi"/>
          <w:i/>
          <w:iCs/>
          <w:sz w:val="24"/>
          <w:szCs w:val="24"/>
          <w:lang w:bidi="syr-SY"/>
        </w:rPr>
        <w:t>Book of the Dove</w:t>
      </w:r>
      <w:r w:rsidR="00AA6534" w:rsidRPr="00536927">
        <w:rPr>
          <w:rFonts w:asciiTheme="majorBidi" w:hAnsiTheme="majorBidi" w:cstheme="majorBidi"/>
          <w:sz w:val="24"/>
          <w:szCs w:val="24"/>
          <w:lang w:bidi="syr-SY"/>
        </w:rPr>
        <w:t xml:space="preserve"> describes a mystical experience </w:t>
      </w:r>
      <w:r w:rsidR="00EF3FB7">
        <w:rPr>
          <w:rFonts w:asciiTheme="majorBidi" w:hAnsiTheme="majorBidi" w:cstheme="majorBidi"/>
          <w:sz w:val="24"/>
          <w:szCs w:val="24"/>
          <w:lang w:bidi="syr-SY"/>
        </w:rPr>
        <w:t>in which</w:t>
      </w:r>
      <w:r w:rsidR="002C28D8" w:rsidRPr="00536927">
        <w:rPr>
          <w:rFonts w:asciiTheme="majorBidi" w:hAnsiTheme="majorBidi" w:cstheme="majorBidi"/>
          <w:sz w:val="24"/>
          <w:szCs w:val="24"/>
          <w:lang w:bidi="syr-SY"/>
        </w:rPr>
        <w:t xml:space="preserve"> the author encountered the Holy Spirit in a way that confirmed his devotion to God</w:t>
      </w:r>
      <w:r w:rsidR="00EF3FB7">
        <w:rPr>
          <w:rFonts w:asciiTheme="majorBidi" w:hAnsiTheme="majorBidi" w:cstheme="majorBidi"/>
          <w:sz w:val="24"/>
          <w:szCs w:val="24"/>
          <w:lang w:bidi="syr-SY"/>
        </w:rPr>
        <w:t>. The sincerity of this section in particular has been questioned on the basis of its similarities to experiences recorded by the Muslim mystic, al-Ghazāli;</w:t>
      </w:r>
      <w:r w:rsidR="00EF3FB7">
        <w:rPr>
          <w:rStyle w:val="FootnoteReference"/>
          <w:rFonts w:asciiTheme="majorBidi" w:hAnsiTheme="majorBidi" w:cstheme="majorBidi"/>
          <w:sz w:val="24"/>
          <w:szCs w:val="24"/>
          <w:lang w:bidi="syr-SY"/>
        </w:rPr>
        <w:footnoteReference w:id="34"/>
      </w:r>
      <w:r w:rsidR="00EF3FB7">
        <w:rPr>
          <w:rFonts w:asciiTheme="majorBidi" w:hAnsiTheme="majorBidi" w:cstheme="majorBidi"/>
          <w:sz w:val="24"/>
          <w:szCs w:val="24"/>
          <w:lang w:bidi="syr-SY"/>
        </w:rPr>
        <w:t xml:space="preserve"> based on his previous attitudes towards the Church of the East, though, it is best to read this an authentic expression of Bar Hebraeus's own experience, even he is using the words of another author to help him describe it. </w:t>
      </w:r>
    </w:p>
    <w:p w14:paraId="238E65F6" w14:textId="18F77CDA" w:rsidR="00EF3FB7" w:rsidRPr="00EF3FB7" w:rsidRDefault="00EF3FB7" w:rsidP="00EF3FB7">
      <w:pPr>
        <w:spacing w:line="480" w:lineRule="auto"/>
        <w:jc w:val="center"/>
        <w:rPr>
          <w:rFonts w:asciiTheme="majorBidi" w:hAnsiTheme="majorBidi" w:cstheme="majorBidi"/>
          <w:sz w:val="24"/>
          <w:szCs w:val="24"/>
          <w:lang w:bidi="syr-SY"/>
        </w:rPr>
      </w:pPr>
      <w:r>
        <w:rPr>
          <w:rFonts w:asciiTheme="majorBidi" w:hAnsiTheme="majorBidi" w:cstheme="majorBidi"/>
          <w:b/>
          <w:bCs/>
          <w:sz w:val="24"/>
          <w:szCs w:val="24"/>
          <w:lang w:bidi="syr-SY"/>
        </w:rPr>
        <w:lastRenderedPageBreak/>
        <w:t>CONCLUSION</w:t>
      </w:r>
    </w:p>
    <w:p w14:paraId="679C57F6" w14:textId="1E4D77D5" w:rsidR="007872D9" w:rsidRPr="00536927" w:rsidRDefault="0087060F" w:rsidP="008F4A5E">
      <w:pPr>
        <w:spacing w:line="480" w:lineRule="auto"/>
        <w:ind w:firstLine="720"/>
        <w:rPr>
          <w:rFonts w:asciiTheme="majorBidi" w:hAnsiTheme="majorBidi" w:cstheme="majorBidi"/>
          <w:sz w:val="24"/>
          <w:szCs w:val="24"/>
          <w:lang w:bidi="syr-SY"/>
        </w:rPr>
      </w:pPr>
      <w:r w:rsidRPr="00536927">
        <w:rPr>
          <w:rFonts w:asciiTheme="majorBidi" w:hAnsiTheme="majorBidi" w:cstheme="majorBidi"/>
          <w:sz w:val="24"/>
          <w:szCs w:val="24"/>
          <w:lang w:bidi="syr-SY"/>
        </w:rPr>
        <w:t>This section is marked by its candidness</w:t>
      </w:r>
      <w:r w:rsidR="00271EA8" w:rsidRPr="00536927">
        <w:rPr>
          <w:rFonts w:asciiTheme="majorBidi" w:hAnsiTheme="majorBidi" w:cstheme="majorBidi"/>
          <w:sz w:val="24"/>
          <w:szCs w:val="24"/>
          <w:lang w:bidi="syr-SY"/>
        </w:rPr>
        <w:t>, giving readers a taste of Bar Hebraeus’s personal thoughts. Despite Bar Hebraeus’s voluminous corpus, the majority of his works are compilations of other sources</w:t>
      </w:r>
      <w:r w:rsidRPr="00536927">
        <w:rPr>
          <w:rFonts w:asciiTheme="majorBidi" w:hAnsiTheme="majorBidi" w:cstheme="majorBidi"/>
          <w:sz w:val="24"/>
          <w:szCs w:val="24"/>
          <w:lang w:bidi="syr-SY"/>
        </w:rPr>
        <w:t>.</w:t>
      </w:r>
      <w:r w:rsidR="00271EA8" w:rsidRPr="00536927">
        <w:rPr>
          <w:rFonts w:asciiTheme="majorBidi" w:hAnsiTheme="majorBidi" w:cstheme="majorBidi"/>
          <w:sz w:val="24"/>
          <w:szCs w:val="24"/>
          <w:lang w:bidi="syr-SY"/>
        </w:rPr>
        <w:t xml:space="preserve"> This section gives us insight into how he personally thought about Christology and theology.</w:t>
      </w:r>
      <w:r w:rsidRPr="00536927">
        <w:rPr>
          <w:rFonts w:asciiTheme="majorBidi" w:hAnsiTheme="majorBidi" w:cstheme="majorBidi"/>
          <w:sz w:val="24"/>
          <w:szCs w:val="24"/>
          <w:lang w:bidi="syr-SY"/>
        </w:rPr>
        <w:t xml:space="preserve"> As Maphrian, Bar Hebr</w:t>
      </w:r>
      <w:r w:rsidR="00EB5971" w:rsidRPr="00536927">
        <w:rPr>
          <w:rFonts w:asciiTheme="majorBidi" w:hAnsiTheme="majorBidi" w:cstheme="majorBidi"/>
          <w:sz w:val="24"/>
          <w:szCs w:val="24"/>
          <w:lang w:bidi="syr-SY"/>
        </w:rPr>
        <w:t>aeus did defend his Miaphysite beliefs</w:t>
      </w:r>
      <w:r w:rsidRPr="00536927">
        <w:rPr>
          <w:rFonts w:asciiTheme="majorBidi" w:hAnsiTheme="majorBidi" w:cstheme="majorBidi"/>
          <w:sz w:val="24"/>
          <w:szCs w:val="24"/>
          <w:lang w:bidi="syr-SY"/>
        </w:rPr>
        <w:t xml:space="preserve">. However, his talk of having “eradicated the root of hatred” seems to be an exaggeration of his earlier views. Perhaps before the </w:t>
      </w:r>
      <w:r w:rsidRPr="00536927">
        <w:rPr>
          <w:rFonts w:asciiTheme="majorBidi" w:hAnsiTheme="majorBidi" w:cstheme="majorBidi"/>
          <w:i/>
          <w:iCs/>
          <w:sz w:val="24"/>
          <w:szCs w:val="24"/>
          <w:lang w:bidi="syr-SY"/>
        </w:rPr>
        <w:t>Lamp of the Sanctuary</w:t>
      </w:r>
      <w:r w:rsidRPr="00536927">
        <w:rPr>
          <w:rFonts w:asciiTheme="majorBidi" w:hAnsiTheme="majorBidi" w:cstheme="majorBidi"/>
          <w:sz w:val="24"/>
          <w:szCs w:val="24"/>
          <w:lang w:bidi="syr-SY"/>
        </w:rPr>
        <w:t xml:space="preserve"> in his youth he held more polemic views, but from his election to the Maphrianate, </w:t>
      </w:r>
      <w:r w:rsidR="00396AC0">
        <w:rPr>
          <w:rFonts w:asciiTheme="majorBidi" w:hAnsiTheme="majorBidi" w:cstheme="majorBidi"/>
          <w:sz w:val="24"/>
          <w:szCs w:val="24"/>
          <w:lang w:bidi="syr-SY"/>
        </w:rPr>
        <w:t>"hatred" seems too strong a word to describe what his views towards other churches were.</w:t>
      </w:r>
    </w:p>
    <w:p w14:paraId="520B009A" w14:textId="669D30A7" w:rsidR="00022BA2" w:rsidRDefault="00A24805" w:rsidP="008F4A5E">
      <w:pPr>
        <w:spacing w:line="480" w:lineRule="auto"/>
        <w:ind w:firstLine="720"/>
        <w:rPr>
          <w:rFonts w:asciiTheme="majorBidi" w:hAnsiTheme="majorBidi" w:cstheme="majorBidi"/>
          <w:sz w:val="24"/>
          <w:szCs w:val="24"/>
        </w:rPr>
      </w:pPr>
      <w:r w:rsidRPr="00536927">
        <w:rPr>
          <w:rFonts w:asciiTheme="majorBidi" w:hAnsiTheme="majorBidi" w:cstheme="majorBidi"/>
          <w:sz w:val="24"/>
          <w:szCs w:val="24"/>
        </w:rPr>
        <w:t xml:space="preserve">It is evident from the texts discussed above that Bar Hebraeus saw the debates between Christians holding different Christologies doing more harm than good. This was evident from his earlier work, although it did develop more fully later in his life. </w:t>
      </w:r>
      <w:r w:rsidR="00396AC0">
        <w:rPr>
          <w:rFonts w:asciiTheme="majorBidi" w:hAnsiTheme="majorBidi" w:cstheme="majorBidi"/>
          <w:sz w:val="24"/>
          <w:szCs w:val="24"/>
        </w:rPr>
        <w:t>Bar Hebraeus did not achieve a reunion of the Syrian Orthodox and Church of the East, nor is there evidence he sought to. However, in the last 70 years, modern ecumenists have reached significant conclusions about the compatibility of the views of different churches. The charitable spirit of fellowship and appreciation of such groups as the World Council of Churches and Pro Oriente are reminiscent of Bar Hebraeus's attitude 800 years ago. While not every Christological or ecclesiological difference can be explained as merely semantics, a spirit of humility and graciousness may yet bear greater fruit in the dialogue between these churches and each other and between other Christian churches in general.</w:t>
      </w:r>
      <w:r w:rsidR="00396AC0">
        <w:rPr>
          <w:rStyle w:val="FootnoteReference"/>
          <w:rFonts w:asciiTheme="majorBidi" w:hAnsiTheme="majorBidi" w:cstheme="majorBidi"/>
          <w:sz w:val="24"/>
          <w:szCs w:val="24"/>
        </w:rPr>
        <w:footnoteReference w:id="35"/>
      </w:r>
    </w:p>
    <w:p w14:paraId="398D68BB" w14:textId="77777777" w:rsidR="00DC6ED9" w:rsidRPr="00536927" w:rsidRDefault="00DC6ED9" w:rsidP="000D1A5C">
      <w:pPr>
        <w:jc w:val="center"/>
        <w:rPr>
          <w:rFonts w:asciiTheme="majorBidi" w:hAnsiTheme="majorBidi" w:cstheme="majorBidi"/>
          <w:sz w:val="24"/>
          <w:szCs w:val="24"/>
          <w:u w:val="single"/>
        </w:rPr>
      </w:pPr>
      <w:r w:rsidRPr="00536927">
        <w:rPr>
          <w:rFonts w:asciiTheme="majorBidi" w:hAnsiTheme="majorBidi" w:cstheme="majorBidi"/>
          <w:sz w:val="24"/>
          <w:szCs w:val="24"/>
          <w:u w:val="single"/>
        </w:rPr>
        <w:lastRenderedPageBreak/>
        <w:t>Bibliography</w:t>
      </w:r>
    </w:p>
    <w:p w14:paraId="376B5A7C" w14:textId="77777777" w:rsidR="00DE54A5" w:rsidRPr="00DE54A5" w:rsidRDefault="00DC6ED9" w:rsidP="00DE54A5">
      <w:pPr>
        <w:pStyle w:val="Bibliography"/>
        <w:rPr>
          <w:sz w:val="24"/>
        </w:rPr>
      </w:pPr>
      <w:r w:rsidRPr="00536927">
        <w:rPr>
          <w:rFonts w:asciiTheme="majorBidi" w:hAnsiTheme="majorBidi" w:cstheme="majorBidi"/>
        </w:rPr>
        <w:fldChar w:fldCharType="begin"/>
      </w:r>
      <w:r w:rsidR="00DE54A5">
        <w:rPr>
          <w:rFonts w:asciiTheme="majorBidi" w:hAnsiTheme="majorBidi" w:cstheme="majorBidi"/>
        </w:rPr>
        <w:instrText xml:space="preserve"> ADDIN ZOTERO_BIBL {"uncited":[],"omitted":[],"custom":[]} CSL_BIBLIOGRAPHY </w:instrText>
      </w:r>
      <w:r w:rsidRPr="00536927">
        <w:rPr>
          <w:rFonts w:asciiTheme="majorBidi" w:hAnsiTheme="majorBidi" w:cstheme="majorBidi"/>
        </w:rPr>
        <w:fldChar w:fldCharType="separate"/>
      </w:r>
      <w:r w:rsidR="00DE54A5" w:rsidRPr="00DE54A5">
        <w:rPr>
          <w:sz w:val="24"/>
        </w:rPr>
        <w:t xml:space="preserve">Bar Hebraeus. </w:t>
      </w:r>
      <w:r w:rsidR="00DE54A5" w:rsidRPr="00DE54A5">
        <w:rPr>
          <w:i/>
          <w:iCs/>
          <w:sz w:val="24"/>
        </w:rPr>
        <w:t>Aristotelian Meteorology in Syriac: Barhebraeus, Butyrum Sapientiae, Books of Mineralogy and Meteorology</w:t>
      </w:r>
      <w:r w:rsidR="00DE54A5" w:rsidRPr="00DE54A5">
        <w:rPr>
          <w:sz w:val="24"/>
        </w:rPr>
        <w:t>. Translated by Hidemi Takahashi. Aristoteles Semitico-Latinus: 15. Boston: Brill, 2004.</w:t>
      </w:r>
    </w:p>
    <w:p w14:paraId="2C7B29E1" w14:textId="77777777" w:rsidR="00DE54A5" w:rsidRPr="00DE54A5" w:rsidRDefault="00DE54A5" w:rsidP="00DE54A5">
      <w:pPr>
        <w:pStyle w:val="Bibliography"/>
        <w:rPr>
          <w:sz w:val="24"/>
        </w:rPr>
      </w:pPr>
      <w:r w:rsidRPr="00DE54A5">
        <w:rPr>
          <w:sz w:val="24"/>
        </w:rPr>
        <w:t xml:space="preserve">———. </w:t>
      </w:r>
      <w:r w:rsidRPr="00DE54A5">
        <w:rPr>
          <w:i/>
          <w:iCs/>
          <w:sz w:val="24"/>
        </w:rPr>
        <w:t>Bar Hebraeus’s Book of the Dove Together with Some Chapters from His Ethikon</w:t>
      </w:r>
      <w:r w:rsidRPr="00DE54A5">
        <w:rPr>
          <w:sz w:val="24"/>
        </w:rPr>
        <w:t>. Translated by A.J. Wensinck. Leyden: E. J. Brill, 1919.</w:t>
      </w:r>
    </w:p>
    <w:p w14:paraId="0C02669F" w14:textId="77777777" w:rsidR="00DE54A5" w:rsidRPr="00DE54A5" w:rsidRDefault="00DE54A5" w:rsidP="00DE54A5">
      <w:pPr>
        <w:pStyle w:val="Bibliography"/>
        <w:rPr>
          <w:sz w:val="24"/>
        </w:rPr>
      </w:pPr>
      <w:r w:rsidRPr="00DE54A5">
        <w:rPr>
          <w:sz w:val="24"/>
        </w:rPr>
        <w:t xml:space="preserve">———. </w:t>
      </w:r>
      <w:r w:rsidRPr="00DE54A5">
        <w:rPr>
          <w:i/>
          <w:iCs/>
          <w:sz w:val="24"/>
        </w:rPr>
        <w:t>Bar Hebraeus’s Mushʼhotho Book</w:t>
      </w:r>
      <w:r w:rsidRPr="00DE54A5">
        <w:rPr>
          <w:sz w:val="24"/>
        </w:rPr>
        <w:t>. Edited by Philoxenos Yuhanon Dolabani. Glane, Holland: Monastery of St. Ephrem the Syrian Publications, 1983.</w:t>
      </w:r>
    </w:p>
    <w:p w14:paraId="532798FC" w14:textId="77777777" w:rsidR="00DE54A5" w:rsidRPr="00DE54A5" w:rsidRDefault="00DE54A5" w:rsidP="00DE54A5">
      <w:pPr>
        <w:pStyle w:val="Bibliography"/>
        <w:rPr>
          <w:sz w:val="24"/>
        </w:rPr>
      </w:pPr>
      <w:r w:rsidRPr="00DE54A5">
        <w:rPr>
          <w:sz w:val="24"/>
        </w:rPr>
        <w:t xml:space="preserve">———. “Ecclesiae Antiochenae Syrorum Nomocanon a Gregorio Abulpharagio Bar-Hebraeo Syriace Compositus et a Iosepho Aloysio Assemano in Latinam Linguam Conversus.” In </w:t>
      </w:r>
      <w:r w:rsidRPr="00DE54A5">
        <w:rPr>
          <w:i/>
          <w:iCs/>
          <w:sz w:val="24"/>
        </w:rPr>
        <w:t>Scriptorum Veterum Nova Collectio e Vaticanis Codicibus Edita</w:t>
      </w:r>
      <w:r w:rsidRPr="00DE54A5">
        <w:rPr>
          <w:sz w:val="24"/>
        </w:rPr>
        <w:t>, edited by Angelo Mai, translated by Aloysio Assemano, X:1–268. Rome: Typ. Collegii Urbani, 1838.</w:t>
      </w:r>
    </w:p>
    <w:p w14:paraId="3124D05E" w14:textId="77777777" w:rsidR="00DE54A5" w:rsidRPr="00DE54A5" w:rsidRDefault="00DE54A5" w:rsidP="00DE54A5">
      <w:pPr>
        <w:pStyle w:val="Bibliography"/>
        <w:rPr>
          <w:sz w:val="24"/>
        </w:rPr>
      </w:pPr>
      <w:r w:rsidRPr="00DE54A5">
        <w:rPr>
          <w:sz w:val="24"/>
        </w:rPr>
        <w:t xml:space="preserve">———. “Le Candélabre Du Sanctuaire de Grégoire Abou’lfaradj Dit Barhebraeus. Quatrième Base: De l’Incarnation.” In </w:t>
      </w:r>
      <w:r w:rsidRPr="00DE54A5">
        <w:rPr>
          <w:i/>
          <w:iCs/>
          <w:sz w:val="24"/>
        </w:rPr>
        <w:t>Patrologia Orientalis 31</w:t>
      </w:r>
      <w:r w:rsidRPr="00DE54A5">
        <w:rPr>
          <w:sz w:val="24"/>
        </w:rPr>
        <w:t>, translated by Joseph Khoury, 1:1–268. PO 31. Paris: Firmin-Didot, 1965.</w:t>
      </w:r>
    </w:p>
    <w:p w14:paraId="6C5A714D" w14:textId="77777777" w:rsidR="00DE54A5" w:rsidRPr="00DE54A5" w:rsidRDefault="00DE54A5" w:rsidP="00DE54A5">
      <w:pPr>
        <w:pStyle w:val="Bibliography"/>
        <w:rPr>
          <w:sz w:val="24"/>
        </w:rPr>
      </w:pPr>
      <w:r w:rsidRPr="00DE54A5">
        <w:rPr>
          <w:sz w:val="24"/>
        </w:rPr>
        <w:t xml:space="preserve">———. “Le Candélabre Du Sanctuaire de Grégoire Abou’lfaradj Dit Barhebraeus. Troisième Base: De La Theologie.” In </w:t>
      </w:r>
      <w:r w:rsidRPr="00DE54A5">
        <w:rPr>
          <w:i/>
          <w:iCs/>
          <w:sz w:val="24"/>
        </w:rPr>
        <w:t>Patrologia Orientalis Tome XXVII - Fascicule 4</w:t>
      </w:r>
      <w:r w:rsidRPr="00DE54A5">
        <w:rPr>
          <w:sz w:val="24"/>
        </w:rPr>
        <w:t>, translated by François Graffin, 4:451–626. PO 27. Paris: Firmin-Didot, 1957.</w:t>
      </w:r>
    </w:p>
    <w:p w14:paraId="64B977EE" w14:textId="77777777" w:rsidR="00DE54A5" w:rsidRPr="00DE54A5" w:rsidRDefault="00DE54A5" w:rsidP="00DE54A5">
      <w:pPr>
        <w:pStyle w:val="Bibliography"/>
        <w:rPr>
          <w:sz w:val="24"/>
        </w:rPr>
      </w:pPr>
      <w:r w:rsidRPr="00DE54A5">
        <w:rPr>
          <w:sz w:val="24"/>
        </w:rPr>
        <w:t xml:space="preserve">———. </w:t>
      </w:r>
      <w:r w:rsidRPr="00DE54A5">
        <w:rPr>
          <w:i/>
          <w:iCs/>
          <w:sz w:val="24"/>
        </w:rPr>
        <w:t>The Ecclesiastical Chronicle: An English Translation</w:t>
      </w:r>
      <w:r w:rsidRPr="00DE54A5">
        <w:rPr>
          <w:sz w:val="24"/>
        </w:rPr>
        <w:t>. Translated by David Wilmshurst. Gorgias Eastern Christian Studies 40. Piscataway, NJ: Gorgias Press, 2016. http://0-search.ebscohost.com.libus.csd.mu.edu/login.aspx?direct=true&amp;db=cat02292a&amp;AN=mar.b3510829&amp;site=eds-live.</w:t>
      </w:r>
    </w:p>
    <w:p w14:paraId="3A3AC119" w14:textId="77777777" w:rsidR="00DE54A5" w:rsidRPr="00DE54A5" w:rsidRDefault="00DE54A5" w:rsidP="00DE54A5">
      <w:pPr>
        <w:pStyle w:val="Bibliography"/>
        <w:rPr>
          <w:sz w:val="24"/>
        </w:rPr>
      </w:pPr>
      <w:r w:rsidRPr="00DE54A5">
        <w:rPr>
          <w:sz w:val="24"/>
        </w:rPr>
        <w:t xml:space="preserve">———. “Une Lettre de Bar Hébréus Au Catholicos Denḥa I.” Translated by J. B. Chabot. </w:t>
      </w:r>
      <w:r w:rsidRPr="00DE54A5">
        <w:rPr>
          <w:i/>
          <w:iCs/>
          <w:sz w:val="24"/>
        </w:rPr>
        <w:t>Journal Asiatique</w:t>
      </w:r>
      <w:r w:rsidRPr="00DE54A5">
        <w:rPr>
          <w:sz w:val="24"/>
        </w:rPr>
        <w:t xml:space="preserve"> 9, no. 11 (1898): 75–128.</w:t>
      </w:r>
    </w:p>
    <w:p w14:paraId="7B0EBB8A" w14:textId="77777777" w:rsidR="00DE54A5" w:rsidRPr="00DE54A5" w:rsidRDefault="00DE54A5" w:rsidP="00DE54A5">
      <w:pPr>
        <w:pStyle w:val="Bibliography"/>
        <w:rPr>
          <w:sz w:val="24"/>
        </w:rPr>
      </w:pPr>
      <w:r w:rsidRPr="00DE54A5">
        <w:rPr>
          <w:sz w:val="24"/>
        </w:rPr>
        <w:t xml:space="preserve">Brock, Sebastian P. “Daniel of Mardin.” In </w:t>
      </w:r>
      <w:r w:rsidRPr="00DE54A5">
        <w:rPr>
          <w:i/>
          <w:iCs/>
          <w:sz w:val="24"/>
        </w:rPr>
        <w:t>Gorgias Encyclopedic Dictionary of the Syriac Heritage: Electronic Edition</w:t>
      </w:r>
      <w:r w:rsidRPr="00DE54A5">
        <w:rPr>
          <w:sz w:val="24"/>
        </w:rPr>
        <w:t>, edited by Sebastian P. Brock, Aaron M. Butts, George A. Kiraz, and Lucas Van Rompay. Piscataway, NJ: Gorgias Press, 2011. https://gedsh.bethmardutho.org/Khamis-bar-Qardahe.</w:t>
      </w:r>
    </w:p>
    <w:p w14:paraId="7F3D86B4" w14:textId="77777777" w:rsidR="00DE54A5" w:rsidRPr="00DE54A5" w:rsidRDefault="00DE54A5" w:rsidP="00DE54A5">
      <w:pPr>
        <w:pStyle w:val="Bibliography"/>
        <w:rPr>
          <w:sz w:val="24"/>
        </w:rPr>
      </w:pPr>
      <w:r w:rsidRPr="00DE54A5">
        <w:rPr>
          <w:sz w:val="24"/>
        </w:rPr>
        <w:t xml:space="preserve">Conrad, I. Lawrence. “On the Arabic Chronicle of Bar Hebraeus: His Aims and Audience.” </w:t>
      </w:r>
      <w:r w:rsidRPr="00DE54A5">
        <w:rPr>
          <w:i/>
          <w:iCs/>
          <w:sz w:val="24"/>
        </w:rPr>
        <w:t>Parole de l’Oriente</w:t>
      </w:r>
      <w:r w:rsidRPr="00DE54A5">
        <w:rPr>
          <w:sz w:val="24"/>
        </w:rPr>
        <w:t xml:space="preserve"> 19 (1994): 319–78.</w:t>
      </w:r>
    </w:p>
    <w:p w14:paraId="7665A50B" w14:textId="77777777" w:rsidR="00DE54A5" w:rsidRPr="00DE54A5" w:rsidRDefault="00DE54A5" w:rsidP="00DE54A5">
      <w:pPr>
        <w:pStyle w:val="Bibliography"/>
        <w:rPr>
          <w:sz w:val="24"/>
        </w:rPr>
      </w:pPr>
      <w:r w:rsidRPr="00DE54A5">
        <w:rPr>
          <w:sz w:val="24"/>
        </w:rPr>
        <w:t xml:space="preserve">Dinno, Khalid S. “The Syrian Orthodox Church: Name as a Marker of Identity.” </w:t>
      </w:r>
      <w:r w:rsidRPr="00DE54A5">
        <w:rPr>
          <w:i/>
          <w:iCs/>
          <w:sz w:val="24"/>
        </w:rPr>
        <w:t>Parole de l’Oriente</w:t>
      </w:r>
      <w:r w:rsidRPr="00DE54A5">
        <w:rPr>
          <w:sz w:val="24"/>
        </w:rPr>
        <w:t xml:space="preserve"> 38 (2013): 193–211.</w:t>
      </w:r>
    </w:p>
    <w:p w14:paraId="3479885D" w14:textId="77777777" w:rsidR="00DE54A5" w:rsidRPr="00DE54A5" w:rsidRDefault="00DE54A5" w:rsidP="00DE54A5">
      <w:pPr>
        <w:pStyle w:val="Bibliography"/>
        <w:rPr>
          <w:sz w:val="24"/>
        </w:rPr>
      </w:pPr>
      <w:r w:rsidRPr="00DE54A5">
        <w:rPr>
          <w:sz w:val="24"/>
        </w:rPr>
        <w:lastRenderedPageBreak/>
        <w:t xml:space="preserve">Hage, Wolfgang. “Chambésy 1990 Und Zwei Syrische Stimmen Aus Dem Mittelalter.” In </w:t>
      </w:r>
      <w:r w:rsidRPr="00DE54A5">
        <w:rPr>
          <w:i/>
          <w:iCs/>
          <w:sz w:val="24"/>
        </w:rPr>
        <w:t>Trinitäts- Und Christusdogma: Ihre Bedeutung Für Beten Und Handeln Der Kirche. Festschrift Für Jouko Martikainen</w:t>
      </w:r>
      <w:r w:rsidRPr="00DE54A5">
        <w:rPr>
          <w:sz w:val="24"/>
        </w:rPr>
        <w:t>, edited by Jobst Reller and Martin Tamcke, 9–20. Studien Zur Orientalischen Kirchengeschichte 12. Münster: LIT, 2001.</w:t>
      </w:r>
    </w:p>
    <w:p w14:paraId="35712AE2" w14:textId="77777777" w:rsidR="00DE54A5" w:rsidRPr="00DE54A5" w:rsidRDefault="00DE54A5" w:rsidP="00DE54A5">
      <w:pPr>
        <w:pStyle w:val="Bibliography"/>
        <w:rPr>
          <w:sz w:val="24"/>
        </w:rPr>
      </w:pPr>
      <w:r w:rsidRPr="00DE54A5">
        <w:rPr>
          <w:sz w:val="24"/>
        </w:rPr>
        <w:t xml:space="preserve">“Hulagu Khan.” In </w:t>
      </w:r>
      <w:r w:rsidRPr="00DE54A5">
        <w:rPr>
          <w:i/>
          <w:iCs/>
          <w:sz w:val="24"/>
        </w:rPr>
        <w:t>Columbia Electronic Encyclopedia</w:t>
      </w:r>
      <w:r w:rsidRPr="00DE54A5">
        <w:rPr>
          <w:sz w:val="24"/>
        </w:rPr>
        <w:t>, 1–1, January 2019.</w:t>
      </w:r>
    </w:p>
    <w:p w14:paraId="5186E46F" w14:textId="77777777" w:rsidR="00DE54A5" w:rsidRPr="00DE54A5" w:rsidRDefault="00DE54A5" w:rsidP="00DE54A5">
      <w:pPr>
        <w:pStyle w:val="Bibliography"/>
        <w:rPr>
          <w:sz w:val="24"/>
        </w:rPr>
      </w:pPr>
      <w:r w:rsidRPr="00DE54A5">
        <w:rPr>
          <w:sz w:val="24"/>
        </w:rPr>
        <w:t>Joint Commission Of The Theological Dialogue Between The Orthodox Church And The Oriental Orthodox Churches. “Second Agreed Statement.” Orthodox Center of the Ecumenical Patriarchate, 1990. https://orthodoxjointcommission.wordpress.com/2013/12/14/second-agreed-statement-1990/.</w:t>
      </w:r>
    </w:p>
    <w:p w14:paraId="3EF66957" w14:textId="77777777" w:rsidR="00DE54A5" w:rsidRPr="00DE54A5" w:rsidRDefault="00DE54A5" w:rsidP="00DE54A5">
      <w:pPr>
        <w:pStyle w:val="Bibliography"/>
        <w:rPr>
          <w:sz w:val="24"/>
        </w:rPr>
      </w:pPr>
      <w:r w:rsidRPr="00DE54A5">
        <w:rPr>
          <w:sz w:val="24"/>
        </w:rPr>
        <w:t xml:space="preserve">Kitchen, Robert A. “The Syriac Tradition.” In </w:t>
      </w:r>
      <w:r w:rsidRPr="00DE54A5">
        <w:rPr>
          <w:i/>
          <w:iCs/>
          <w:sz w:val="24"/>
        </w:rPr>
        <w:t>The Orthodox Christian World</w:t>
      </w:r>
      <w:r w:rsidRPr="00DE54A5">
        <w:rPr>
          <w:sz w:val="24"/>
        </w:rPr>
        <w:t>, edited by Augustine Casiday, 66–77. New York: Routledge, 2012. https://babel.hathitrust.org/cgi/pt?id=uc1.c3027048;view=1up;seq=37.</w:t>
      </w:r>
    </w:p>
    <w:p w14:paraId="0E34017B" w14:textId="77777777" w:rsidR="00DE54A5" w:rsidRPr="00DE54A5" w:rsidRDefault="00DE54A5" w:rsidP="00DE54A5">
      <w:pPr>
        <w:pStyle w:val="Bibliography"/>
        <w:rPr>
          <w:sz w:val="24"/>
        </w:rPr>
      </w:pPr>
      <w:r w:rsidRPr="00DE54A5">
        <w:rPr>
          <w:sz w:val="24"/>
        </w:rPr>
        <w:t xml:space="preserve">Marzolph, Ulrich. “Die Quelle Der Ergötzlichen Erzählungen Des Bar Hebräus.” </w:t>
      </w:r>
      <w:r w:rsidRPr="00DE54A5">
        <w:rPr>
          <w:i/>
          <w:iCs/>
          <w:sz w:val="24"/>
        </w:rPr>
        <w:t>Oriens Christianus</w:t>
      </w:r>
      <w:r w:rsidRPr="00DE54A5">
        <w:rPr>
          <w:sz w:val="24"/>
        </w:rPr>
        <w:t xml:space="preserve"> 69 (1985): 81–125.</w:t>
      </w:r>
    </w:p>
    <w:p w14:paraId="7C297B1C" w14:textId="77777777" w:rsidR="00DE54A5" w:rsidRPr="00DE54A5" w:rsidRDefault="00DE54A5" w:rsidP="00DE54A5">
      <w:pPr>
        <w:pStyle w:val="Bibliography"/>
        <w:rPr>
          <w:sz w:val="24"/>
        </w:rPr>
      </w:pPr>
      <w:r w:rsidRPr="00DE54A5">
        <w:rPr>
          <w:sz w:val="24"/>
        </w:rPr>
        <w:t xml:space="preserve">Mengozzi, Alessandro. “Khamis Bar Qardaḥe.” In </w:t>
      </w:r>
      <w:r w:rsidRPr="00DE54A5">
        <w:rPr>
          <w:i/>
          <w:iCs/>
          <w:sz w:val="24"/>
        </w:rPr>
        <w:t>Gorgias Encyclopedic Dictionary of the Syriac Heritage: Electronic Edition</w:t>
      </w:r>
      <w:r w:rsidRPr="00DE54A5">
        <w:rPr>
          <w:sz w:val="24"/>
        </w:rPr>
        <w:t>, edited by Sebastian P. Brock, Aaron M. Butts, George A. Kiraz, and Lucas Van Rompay. Piscataway, NJ: Gorgias Press, 2011. https://gedsh.bethmardutho.org/Khamis-bar-Qardahe.</w:t>
      </w:r>
    </w:p>
    <w:p w14:paraId="5E64E08C" w14:textId="77777777" w:rsidR="00DE54A5" w:rsidRPr="00DE54A5" w:rsidRDefault="00DE54A5" w:rsidP="00DE54A5">
      <w:pPr>
        <w:pStyle w:val="Bibliography"/>
        <w:rPr>
          <w:sz w:val="24"/>
        </w:rPr>
      </w:pPr>
      <w:r w:rsidRPr="00DE54A5">
        <w:rPr>
          <w:sz w:val="24"/>
        </w:rPr>
        <w:t xml:space="preserve">Michael the Syrian. </w:t>
      </w:r>
      <w:r w:rsidRPr="00DE54A5">
        <w:rPr>
          <w:i/>
          <w:iCs/>
          <w:sz w:val="24"/>
        </w:rPr>
        <w:t>Chronique de Michel Le Syrien</w:t>
      </w:r>
      <w:r w:rsidRPr="00DE54A5">
        <w:rPr>
          <w:sz w:val="24"/>
        </w:rPr>
        <w:t>. Translated by J. B. Chabot. Vol. 3. 4 vols. Paris: Roger Pearse, 1905.</w:t>
      </w:r>
    </w:p>
    <w:p w14:paraId="5F0752F8" w14:textId="77777777" w:rsidR="00DE54A5" w:rsidRPr="00DE54A5" w:rsidRDefault="00DE54A5" w:rsidP="00DE54A5">
      <w:pPr>
        <w:pStyle w:val="Bibliography"/>
        <w:rPr>
          <w:sz w:val="24"/>
        </w:rPr>
      </w:pPr>
      <w:r w:rsidRPr="00DE54A5">
        <w:rPr>
          <w:sz w:val="24"/>
        </w:rPr>
        <w:t>Mount Athos. “Concerning the Dialogue Between the Orthodox and Non-Chalcedonian Churches: A Memorandum of the Sacred Community of Mount Athos.” Accessed December 4, 2017. http://orthodoxinfo.com/ecumenism/mono_athos.aspx.</w:t>
      </w:r>
    </w:p>
    <w:p w14:paraId="3706D474" w14:textId="77777777" w:rsidR="00DE54A5" w:rsidRPr="00DE54A5" w:rsidRDefault="00DE54A5" w:rsidP="00DE54A5">
      <w:pPr>
        <w:pStyle w:val="Bibliography"/>
        <w:rPr>
          <w:sz w:val="24"/>
        </w:rPr>
      </w:pPr>
      <w:r w:rsidRPr="00DE54A5">
        <w:rPr>
          <w:sz w:val="24"/>
        </w:rPr>
        <w:t>Payne Smith, Robert. “</w:t>
      </w:r>
      <w:r w:rsidRPr="00DE54A5">
        <w:rPr>
          <w:rFonts w:cs="Estrangelo Edessa"/>
          <w:sz w:val="24"/>
          <w:rtl/>
          <w:lang w:bidi="syr-SY"/>
        </w:rPr>
        <w:t>ܦܫܰܛ</w:t>
      </w:r>
      <w:r w:rsidRPr="00DE54A5">
        <w:rPr>
          <w:sz w:val="24"/>
        </w:rPr>
        <w:t xml:space="preserve">.” In </w:t>
      </w:r>
      <w:r w:rsidRPr="00DE54A5">
        <w:rPr>
          <w:i/>
          <w:iCs/>
          <w:sz w:val="24"/>
        </w:rPr>
        <w:t>A Compendius Syriac Dictionary: Founded upon the Thesaurus Syriacus of R. Payne Smith</w:t>
      </w:r>
      <w:r w:rsidRPr="00DE54A5">
        <w:rPr>
          <w:sz w:val="24"/>
        </w:rPr>
        <w:t>, edited by Jessie Payne Smith, 467. New York: Clarendon Press, 1903.</w:t>
      </w:r>
    </w:p>
    <w:p w14:paraId="1C11303F" w14:textId="77777777" w:rsidR="00DE54A5" w:rsidRPr="00DE54A5" w:rsidRDefault="00DE54A5" w:rsidP="00DE54A5">
      <w:pPr>
        <w:pStyle w:val="Bibliography"/>
        <w:rPr>
          <w:sz w:val="24"/>
        </w:rPr>
      </w:pPr>
      <w:r w:rsidRPr="00DE54A5">
        <w:rPr>
          <w:sz w:val="24"/>
        </w:rPr>
        <w:t xml:space="preserve">Takahashi, Hidemi. </w:t>
      </w:r>
      <w:r w:rsidRPr="00DE54A5">
        <w:rPr>
          <w:i/>
          <w:iCs/>
          <w:sz w:val="24"/>
        </w:rPr>
        <w:t>Barhebraeus: A Bio-Bibliography</w:t>
      </w:r>
      <w:r w:rsidRPr="00DE54A5">
        <w:rPr>
          <w:sz w:val="24"/>
        </w:rPr>
        <w:t>. 2nd Gorgias Press Ed edition. Piscataway, N.J: Gorgias Press LLC, 2005.</w:t>
      </w:r>
    </w:p>
    <w:p w14:paraId="5A74AD03" w14:textId="77777777" w:rsidR="00DE54A5" w:rsidRPr="00DE54A5" w:rsidRDefault="00DE54A5" w:rsidP="00DE54A5">
      <w:pPr>
        <w:pStyle w:val="Bibliography"/>
        <w:rPr>
          <w:sz w:val="24"/>
        </w:rPr>
      </w:pPr>
      <w:r w:rsidRPr="00DE54A5">
        <w:rPr>
          <w:sz w:val="24"/>
        </w:rPr>
        <w:t xml:space="preserve">———. “The Poems of Barhebraeus: A Preliminary Concordance.” </w:t>
      </w:r>
      <w:r w:rsidRPr="00DE54A5">
        <w:rPr>
          <w:i/>
          <w:iCs/>
          <w:sz w:val="24"/>
        </w:rPr>
        <w:t>Khristianskiĭ Vostok</w:t>
      </w:r>
      <w:r w:rsidRPr="00DE54A5">
        <w:rPr>
          <w:sz w:val="24"/>
        </w:rPr>
        <w:t xml:space="preserve"> 6, no. 7 (2013): 78–139.</w:t>
      </w:r>
    </w:p>
    <w:p w14:paraId="491E3AE9" w14:textId="77777777" w:rsidR="00DE54A5" w:rsidRPr="00DE54A5" w:rsidRDefault="00DE54A5" w:rsidP="00DE54A5">
      <w:pPr>
        <w:pStyle w:val="Bibliography"/>
        <w:rPr>
          <w:sz w:val="24"/>
        </w:rPr>
      </w:pPr>
      <w:r w:rsidRPr="00DE54A5">
        <w:rPr>
          <w:sz w:val="24"/>
        </w:rPr>
        <w:t xml:space="preserve">Teule, Herman G. B. “It Is Not Right to Call Ourselves Orthodox and the Others Heretics: Ecumenical Attitudes in the Jacobite Church in the Time of the Crusades.” In </w:t>
      </w:r>
      <w:r w:rsidRPr="00DE54A5">
        <w:rPr>
          <w:i/>
          <w:iCs/>
          <w:sz w:val="24"/>
        </w:rPr>
        <w:t>East and West in the Crusader States: Context - Contacts - Confrontations: Acta of the Congress Held at Hernen Castle in May 1997</w:t>
      </w:r>
      <w:r w:rsidRPr="00DE54A5">
        <w:rPr>
          <w:sz w:val="24"/>
        </w:rPr>
        <w:t>, 13–27. Louvain: Peeters, 1999. http://0-search.ebscohost.com.libus.csd.mu.edu/login.aspx?direct=true&amp;db=rfh&amp;AN=ATLA0001228995&amp;site=eds-live.</w:t>
      </w:r>
    </w:p>
    <w:p w14:paraId="27C6C8EC" w14:textId="77777777" w:rsidR="00DE54A5" w:rsidRPr="00DE54A5" w:rsidRDefault="00DE54A5" w:rsidP="00DE54A5">
      <w:pPr>
        <w:pStyle w:val="Bibliography"/>
        <w:rPr>
          <w:sz w:val="24"/>
        </w:rPr>
      </w:pPr>
      <w:r w:rsidRPr="00DE54A5">
        <w:rPr>
          <w:sz w:val="24"/>
        </w:rPr>
        <w:lastRenderedPageBreak/>
        <w:t xml:space="preserve">———. “The Syriac Renaissance.” In </w:t>
      </w:r>
      <w:r w:rsidRPr="00DE54A5">
        <w:rPr>
          <w:i/>
          <w:iCs/>
          <w:sz w:val="24"/>
        </w:rPr>
        <w:t>The Syriac Renaissance.</w:t>
      </w:r>
      <w:r w:rsidRPr="00DE54A5">
        <w:rPr>
          <w:sz w:val="24"/>
        </w:rPr>
        <w:t>, edited by Herman G. B. Teule, Carmen Fotescu Tauwinkl, R. B. ter Haar Romeny, and J. J. van Ginkel, 1–30. Eastern Christian Studies: V. 9. Walpole, MA: Peeters, 2010. http://0-search.ebscohost.com.libus.csd.mu.edu/login.aspx?direct=true&amp;db=cat02292a&amp;AN=mar.b3518216&amp;site=eds-live.</w:t>
      </w:r>
    </w:p>
    <w:p w14:paraId="1016DC21" w14:textId="77777777" w:rsidR="00DE54A5" w:rsidRPr="00DE54A5" w:rsidRDefault="00DE54A5" w:rsidP="00DE54A5">
      <w:pPr>
        <w:pStyle w:val="Bibliography"/>
        <w:rPr>
          <w:sz w:val="24"/>
        </w:rPr>
      </w:pPr>
      <w:r w:rsidRPr="00DE54A5">
        <w:rPr>
          <w:sz w:val="24"/>
        </w:rPr>
        <w:t xml:space="preserve">———. “The Transmission of Islamic Culture to the World of Syriac Christianity: Barhebraeus’ Translation of Avicenna’s Kitāb Al-Išārāt Wa l-Tanbīhāt: First Soundings.” In </w:t>
      </w:r>
      <w:r w:rsidRPr="00DE54A5">
        <w:rPr>
          <w:i/>
          <w:iCs/>
          <w:sz w:val="24"/>
        </w:rPr>
        <w:t>Redefining Christian Identity: Cultural Interaction in the Middle East Since the Rise of Islam</w:t>
      </w:r>
      <w:r w:rsidRPr="00DE54A5">
        <w:rPr>
          <w:sz w:val="24"/>
        </w:rPr>
        <w:t>, edited by Jan J. van Ginkel, H. L. Murre-Van den Berg, and Theo Maarten van Lint, 167–84. Dudley, MA: Peeters, 2005.</w:t>
      </w:r>
    </w:p>
    <w:p w14:paraId="6D19E9E7" w14:textId="5807A206" w:rsidR="00DC6ED9" w:rsidRPr="00536927" w:rsidRDefault="00DC6ED9" w:rsidP="007E6964">
      <w:pPr>
        <w:ind w:left="720" w:hanging="720"/>
        <w:rPr>
          <w:rFonts w:asciiTheme="majorBidi" w:hAnsiTheme="majorBidi" w:cstheme="majorBidi"/>
          <w:sz w:val="24"/>
          <w:szCs w:val="24"/>
        </w:rPr>
      </w:pPr>
      <w:r w:rsidRPr="00536927">
        <w:rPr>
          <w:rFonts w:asciiTheme="majorBidi" w:hAnsiTheme="majorBidi" w:cstheme="majorBidi"/>
          <w:sz w:val="24"/>
          <w:szCs w:val="24"/>
        </w:rPr>
        <w:fldChar w:fldCharType="end"/>
      </w:r>
    </w:p>
    <w:sectPr w:rsidR="00DC6ED9" w:rsidRPr="00536927" w:rsidSect="00C26B3C">
      <w:headerReference w:type="default" r:id="rId9"/>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CB6931" w14:textId="77777777" w:rsidR="0027276A" w:rsidRDefault="0027276A" w:rsidP="00573F5A">
      <w:pPr>
        <w:spacing w:after="0" w:line="240" w:lineRule="auto"/>
      </w:pPr>
      <w:r>
        <w:separator/>
      </w:r>
    </w:p>
  </w:endnote>
  <w:endnote w:type="continuationSeparator" w:id="0">
    <w:p w14:paraId="085C59DF" w14:textId="77777777" w:rsidR="0027276A" w:rsidRDefault="0027276A" w:rsidP="00573F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Lucida Grande">
    <w:altName w:val="Segoe UI"/>
    <w:charset w:val="00"/>
    <w:family w:val="auto"/>
    <w:pitch w:val="variable"/>
    <w:sig w:usb0="E1000AEF" w:usb1="5000A1FF" w:usb2="00000000" w:usb3="00000000" w:csb0="000001BF" w:csb1="00000000"/>
  </w:font>
  <w:font w:name="Serto Jerusalem">
    <w:altName w:val="Arial"/>
    <w:charset w:val="00"/>
    <w:family w:val="auto"/>
    <w:pitch w:val="variable"/>
    <w:sig w:usb0="00002047" w:usb1="00000000" w:usb2="00000080" w:usb3="00000000" w:csb0="00000043" w:csb1="00000000"/>
  </w:font>
  <w:font w:name="Estrangelo Edessa">
    <w:altName w:val="Segoe UI Historic"/>
    <w:panose1 w:val="03080600000000000000"/>
    <w:charset w:val="00"/>
    <w:family w:val="script"/>
    <w:pitch w:val="variable"/>
    <w:sig w:usb0="00000003" w:usb1="00000000" w:usb2="0000008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36AE7B" w14:textId="77777777" w:rsidR="0027276A" w:rsidRDefault="0027276A" w:rsidP="00573F5A">
      <w:pPr>
        <w:spacing w:after="0" w:line="240" w:lineRule="auto"/>
      </w:pPr>
      <w:r>
        <w:separator/>
      </w:r>
    </w:p>
  </w:footnote>
  <w:footnote w:type="continuationSeparator" w:id="0">
    <w:p w14:paraId="6C9DD4D0" w14:textId="77777777" w:rsidR="0027276A" w:rsidRDefault="0027276A" w:rsidP="00573F5A">
      <w:pPr>
        <w:spacing w:after="0" w:line="240" w:lineRule="auto"/>
      </w:pPr>
      <w:r>
        <w:continuationSeparator/>
      </w:r>
    </w:p>
  </w:footnote>
  <w:footnote w:id="1">
    <w:p w14:paraId="31E775BE" w14:textId="2AACF8B2" w:rsidR="004541EB" w:rsidRDefault="004541EB" w:rsidP="007E6964">
      <w:pPr>
        <w:pStyle w:val="FootnoteText"/>
      </w:pPr>
      <w:r>
        <w:rPr>
          <w:rStyle w:val="FootnoteReference"/>
        </w:rPr>
        <w:footnoteRef/>
      </w:r>
      <w:r>
        <w:t xml:space="preserve"> </w:t>
      </w:r>
      <w:r>
        <w:fldChar w:fldCharType="begin"/>
      </w:r>
      <w:r w:rsidR="00DE54A5">
        <w:instrText xml:space="preserve"> ADDIN ZOTERO_ITEM CSL_CITATION {"citationID":"VyMTtTrl","properties":{"formattedCitation":"Bar Hebraeus, {\\i{}Bar Hebraeus\\uc0\\u8217{}s Book of the Dove Together with Some Chapters from His Ethikon}.","plainCitation":"Bar Hebraeus, Bar Hebraeus’s Book of the Dove Together with Some Chapters from His Ethikon.","noteIndex":1},"citationItems":[{"id":143,"uris":["http://zotero.org/users/912544/items/MV4RDW4Q"],"uri":["http://zotero.org/users/912544/items/MV4RDW4Q"],"itemData":{"id":143,"type":"book","title":"Bar Hebraeus's Book of the Dove Together with Some Chapters from his Ethikon","publisher":"E. J. Brill","publisher-place":"Leyden","source":"EBSCOhost","archive":"fxh","event-place":"Leyden","author":[{"literal":"Bar Hebraeus"}],"translator":[{"family":"Wensinck","given":"A.J."}],"issued":{"date-parts":[["1919"]]}}}],"schema":"https://github.com/citation-style-language/schema/raw/master/csl-citation.json"} </w:instrText>
      </w:r>
      <w:r>
        <w:fldChar w:fldCharType="separate"/>
      </w:r>
      <w:r w:rsidR="00DE54A5" w:rsidRPr="00DE54A5">
        <w:rPr>
          <w:rFonts w:ascii="Calibri" w:hAnsi="Calibri" w:cs="Calibri"/>
          <w:szCs w:val="24"/>
        </w:rPr>
        <w:t xml:space="preserve">Bar Hebraeus, </w:t>
      </w:r>
      <w:r w:rsidR="00DE54A5" w:rsidRPr="00DE54A5">
        <w:rPr>
          <w:rFonts w:ascii="Calibri" w:hAnsi="Calibri" w:cs="Calibri"/>
          <w:i/>
          <w:iCs/>
          <w:szCs w:val="24"/>
        </w:rPr>
        <w:t>Bar Hebraeus’s Book of the Dove Together with Some Chapters from His Ethikon</w:t>
      </w:r>
      <w:r w:rsidR="00DE54A5" w:rsidRPr="00DE54A5">
        <w:rPr>
          <w:rFonts w:ascii="Calibri" w:hAnsi="Calibri" w:cs="Calibri"/>
          <w:szCs w:val="24"/>
        </w:rPr>
        <w:t>.</w:t>
      </w:r>
      <w:r>
        <w:fldChar w:fldCharType="end"/>
      </w:r>
      <w:r>
        <w:t xml:space="preserve"> p. 60</w:t>
      </w:r>
    </w:p>
  </w:footnote>
  <w:footnote w:id="2">
    <w:p w14:paraId="179CB691" w14:textId="17FBD198" w:rsidR="004541EB" w:rsidRDefault="004541EB" w:rsidP="007E6964">
      <w:pPr>
        <w:pStyle w:val="FootnoteText"/>
      </w:pPr>
      <w:r>
        <w:rPr>
          <w:rStyle w:val="FootnoteReference"/>
        </w:rPr>
        <w:footnoteRef/>
      </w:r>
      <w:r>
        <w:t xml:space="preserve"> For a complete bibliography with lists of editions, translations, and secondary articles, see </w:t>
      </w:r>
      <w:r>
        <w:fldChar w:fldCharType="begin"/>
      </w:r>
      <w:r w:rsidR="00223943">
        <w:instrText xml:space="preserve"> ADDIN ZOTERO_ITEM CSL_CITATION {"citationID":"cgIlbMHK","properties":{"formattedCitation":"Takahashi, {\\i{}Barhebraeus}.","plainCitation":"Takahashi, Barhebraeus.","noteIndex":2},"citationItems":[{"id":205,"uris":["http://zotero.org/users/912544/items/K2FK4QWN"],"uri":["http://zotero.org/users/912544/items/K2FK4QWN"],"itemData":{"id":205,"type":"book","title":"Barhebraeus: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works.","ISBN":"978-1-59333-148-1","title-short":"Barhebraeus","language":"English","author":[{"family":"Takahashi","given":"Hidemi"}],"issued":{"date-parts":[["2005",5,13]]}}}],"schema":"https://github.com/citation-style-language/schema/raw/master/csl-citation.json"} </w:instrText>
      </w:r>
      <w:r>
        <w:fldChar w:fldCharType="separate"/>
      </w:r>
      <w:r w:rsidR="007E6964" w:rsidRPr="007E6964">
        <w:rPr>
          <w:rFonts w:ascii="Calibri" w:hAnsi="Calibri" w:cs="Calibri"/>
          <w:szCs w:val="24"/>
        </w:rPr>
        <w:t xml:space="preserve">Takahashi, </w:t>
      </w:r>
      <w:r w:rsidR="007E6964" w:rsidRPr="007E6964">
        <w:rPr>
          <w:rFonts w:ascii="Calibri" w:hAnsi="Calibri" w:cs="Calibri"/>
          <w:i/>
          <w:iCs/>
          <w:szCs w:val="24"/>
        </w:rPr>
        <w:t>Barhebraeus</w:t>
      </w:r>
      <w:r w:rsidR="007E6964" w:rsidRPr="007E6964">
        <w:rPr>
          <w:rFonts w:ascii="Calibri" w:hAnsi="Calibri" w:cs="Calibri"/>
          <w:szCs w:val="24"/>
        </w:rPr>
        <w:t>.</w:t>
      </w:r>
      <w:r>
        <w:fldChar w:fldCharType="end"/>
      </w:r>
    </w:p>
  </w:footnote>
  <w:footnote w:id="3">
    <w:p w14:paraId="696975C8" w14:textId="31AF6588" w:rsidR="007E6964" w:rsidRPr="00186DE8" w:rsidRDefault="007E6964" w:rsidP="00186DE8">
      <w:pPr>
        <w:pStyle w:val="FootnoteText"/>
      </w:pPr>
      <w:r>
        <w:rPr>
          <w:rStyle w:val="FootnoteReference"/>
        </w:rPr>
        <w:footnoteRef/>
      </w:r>
      <w:r>
        <w:t xml:space="preserve"> Each of these churches has been known by many names. I will try to be consistent, following </w:t>
      </w:r>
      <w:r>
        <w:fldChar w:fldCharType="begin"/>
      </w:r>
      <w:r w:rsidR="00190EF4">
        <w:instrText xml:space="preserve"> ADDIN ZOTERO_ITEM CSL_CITATION {"citationID":"HR1Ok6SR","properties":{"formattedCitation":"Dinno, \\uc0\\u8220{}The Syrian Orthodox Church: Name as a Marker of Identity.\\uc0\\u8221{}","plainCitation":"Dinno, “The Syrian Orthodox Church: Name as a Marker of Identity.”","noteIndex":3},"citationItems":[{"id":684,"uris":["http://zotero.org/users/912544/items/5JYT9TQE"],"uri":["http://zotero.org/users/912544/items/5JYT9TQE"],"itemData":{"id":684,"type":"article-journal","title":"The Syrian Orthodox Church: Name as a Marker of Identity","container-title":"Parole de l'Oriente","page":"193-211","volume":"38","author":[{"family":"Dinno","given":"Khalid S."}],"issued":{"date-parts":[["2013"]]}}}],"schema":"https://github.com/citation-style-language/schema/raw/master/csl-citation.json"} </w:instrText>
      </w:r>
      <w:r>
        <w:fldChar w:fldCharType="separate"/>
      </w:r>
      <w:r w:rsidRPr="007E6964">
        <w:rPr>
          <w:rFonts w:ascii="Calibri" w:hAnsi="Calibri" w:cs="Calibri"/>
          <w:szCs w:val="24"/>
        </w:rPr>
        <w:t>Dinno, “The Syrian Orthodox Church: Name as a Marker of Identity.”</w:t>
      </w:r>
      <w:r>
        <w:fldChar w:fldCharType="end"/>
      </w:r>
      <w:r>
        <w:t xml:space="preserve"> For </w:t>
      </w:r>
      <w:r w:rsidR="00186DE8">
        <w:t>the sake of clarity, the Syrian Orthodox Church has been variously called: Monophysite, Miaphysite, Jacobite, (one of the) Oriental Orthodox, West Syriac, etc.. The East Syriac Church has been called: Nestorian, Chalcedonian, Church of the East, Assyrian Church of the East, Ancient Church of the East, etc. The churches associated with the Roman/Byzantine empire are the Roman Catholic and Eastern Orthodox Churches, who agreed to the decisions of Chalcedon and were known to Bar Hebraeus by their associations with the French and Greek peoples.</w:t>
      </w:r>
    </w:p>
  </w:footnote>
  <w:footnote w:id="4">
    <w:p w14:paraId="7214A985" w14:textId="0894122A" w:rsidR="004541EB" w:rsidRDefault="004541EB" w:rsidP="007E6964">
      <w:pPr>
        <w:pStyle w:val="FootnoteText"/>
      </w:pPr>
      <w:r>
        <w:rPr>
          <w:rStyle w:val="FootnoteReference"/>
        </w:rPr>
        <w:footnoteRef/>
      </w:r>
      <w:r>
        <w:t xml:space="preserve"> </w:t>
      </w:r>
      <w:r>
        <w:fldChar w:fldCharType="begin"/>
      </w:r>
      <w:r w:rsidR="00223943">
        <w:instrText xml:space="preserve"> ADDIN ZOTERO_ITEM CSL_CITATION {"citationID":"RbKcTAG5","properties":{"formattedCitation":"Takahashi, {\\i{}Barhebraeus}.","plainCitation":"Takahashi, Barhebraeus.","noteIndex":4},"citationItems":[{"id":205,"uris":["http://zotero.org/users/912544/items/K2FK4QWN"],"uri":["http://zotero.org/users/912544/items/K2FK4QWN"],"itemData":{"id":205,"type":"book","title":"Barhebraeus: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works.","ISBN":"978-1-59333-148-1","title-short":"Barhebraeus","language":"English","author":[{"family":"Takahashi","given":"Hidemi"}],"issued":{"date-parts":[["2005",5,13]]}}}],"schema":"https://github.com/citation-style-language/schema/raw/master/csl-citation.json"} </w:instrText>
      </w:r>
      <w:r>
        <w:fldChar w:fldCharType="separate"/>
      </w:r>
      <w:r w:rsidR="007E6964" w:rsidRPr="007E6964">
        <w:rPr>
          <w:rFonts w:ascii="Calibri" w:hAnsi="Calibri" w:cs="Calibri"/>
          <w:szCs w:val="24"/>
        </w:rPr>
        <w:t xml:space="preserve">Takahashi, </w:t>
      </w:r>
      <w:r w:rsidR="007E6964" w:rsidRPr="007E6964">
        <w:rPr>
          <w:rFonts w:ascii="Calibri" w:hAnsi="Calibri" w:cs="Calibri"/>
          <w:i/>
          <w:iCs/>
          <w:szCs w:val="24"/>
        </w:rPr>
        <w:t>Barhebraeus</w:t>
      </w:r>
      <w:r w:rsidR="007E6964" w:rsidRPr="007E6964">
        <w:rPr>
          <w:rFonts w:ascii="Calibri" w:hAnsi="Calibri" w:cs="Calibri"/>
          <w:szCs w:val="24"/>
        </w:rPr>
        <w:t>.</w:t>
      </w:r>
      <w:r>
        <w:fldChar w:fldCharType="end"/>
      </w:r>
      <w:r>
        <w:t xml:space="preserve"> pp. 3-26</w:t>
      </w:r>
    </w:p>
  </w:footnote>
  <w:footnote w:id="5">
    <w:p w14:paraId="17276DA0" w14:textId="75727683" w:rsidR="004455C7" w:rsidRDefault="004455C7" w:rsidP="004455C7">
      <w:pPr>
        <w:pStyle w:val="FootnoteText"/>
      </w:pPr>
      <w:r>
        <w:rPr>
          <w:rStyle w:val="FootnoteReference"/>
        </w:rPr>
        <w:footnoteRef/>
      </w:r>
      <w:r>
        <w:t xml:space="preserve"> For a full biography, see Part 1 of </w:t>
      </w:r>
      <w:r>
        <w:fldChar w:fldCharType="begin"/>
      </w:r>
      <w:r w:rsidR="00223943">
        <w:instrText xml:space="preserve"> ADDIN ZOTERO_ITEM CSL_CITATION {"citationID":"2ppvdKDx","properties":{"formattedCitation":"Takahashi.","plainCitation":"Takahashi.","noteIndex":5},"citationItems":[{"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works.","ISBN":"978-1-59333-148-1","title-short":"Barhebraeus","language":"English","author":[{"family":"Takahashi","given":"Hidemi"}],"issued":{"date-parts":[["2005",5,13]]}}}],"schema":"https://github.com/citation-style-language/schema/raw/master/csl-citation.json"} </w:instrText>
      </w:r>
      <w:r>
        <w:fldChar w:fldCharType="separate"/>
      </w:r>
      <w:r w:rsidRPr="004455C7">
        <w:rPr>
          <w:rFonts w:ascii="Calibri" w:hAnsi="Calibri" w:cs="Calibri"/>
        </w:rPr>
        <w:t>Takahashi.</w:t>
      </w:r>
      <w:r>
        <w:fldChar w:fldCharType="end"/>
      </w:r>
    </w:p>
  </w:footnote>
  <w:footnote w:id="6">
    <w:p w14:paraId="1DB85326" w14:textId="78721EB7" w:rsidR="004541EB" w:rsidRDefault="004541EB" w:rsidP="007E6964">
      <w:pPr>
        <w:pStyle w:val="FootnoteText"/>
      </w:pPr>
      <w:r>
        <w:rPr>
          <w:rStyle w:val="FootnoteReference"/>
        </w:rPr>
        <w:footnoteRef/>
      </w:r>
      <w:r>
        <w:t xml:space="preserve"> </w:t>
      </w:r>
      <w:r>
        <w:fldChar w:fldCharType="begin"/>
      </w:r>
      <w:r w:rsidR="00DE54A5">
        <w:instrText xml:space="preserve"> ADDIN ZOTERO_ITEM CSL_CITATION {"citationID":"j0CmdD5r","properties":{"formattedCitation":"Bar Hebraeus, {\\i{}The Ecclesiastical Chronicle: An English Translation}.","plainCitation":"Bar Hebraeus, The Ecclesiastical Chronicle: An English Translation.","noteIndex":6},"citationItems":[{"id":131,"uris":["http://zotero.org/users/912544/items/NWAWFU73"],"uri":["http://zotero.org/users/912544/items/NWAWFU73"],"itemData":{"id":131,"type":"book","title":"The Ecclesiastical Chronicle: An English Translation","collection-title":"Gorgias Eastern Christian studies","collection-number":"40","publisher":"Gorgias Press","publisher-place":"Piscataway, NJ","source":"EBSCOhost","archive":"cat02292a","archive_location":"Memorial level 1 BX172 .B37 2016","event-place":"Piscataway, NJ","URL":"http://0-search.ebscohost.com.libus.csd.mu.edu/login.aspx?direct=true&amp;db=cat02292a&amp;AN=mar.b3510829&amp;site=eds-live","ISBN":"978-1-4632-0535-5","author":[{"literal":"Bar Hebraeus"}],"translator":[{"family":"Wilmshurst","given":"David"}],"issued":{"date-parts":[["2016"]]}}}],"schema":"https://github.com/citation-style-language/schema/raw/master/csl-citation.json"} </w:instrText>
      </w:r>
      <w:r>
        <w:fldChar w:fldCharType="separate"/>
      </w:r>
      <w:r w:rsidR="00DE54A5" w:rsidRPr="00DE54A5">
        <w:rPr>
          <w:rFonts w:ascii="Calibri" w:hAnsi="Calibri" w:cs="Calibri"/>
          <w:szCs w:val="24"/>
        </w:rPr>
        <w:t xml:space="preserve">Bar Hebraeus, </w:t>
      </w:r>
      <w:r w:rsidR="00DE54A5" w:rsidRPr="00DE54A5">
        <w:rPr>
          <w:rFonts w:ascii="Calibri" w:hAnsi="Calibri" w:cs="Calibri"/>
          <w:i/>
          <w:iCs/>
          <w:szCs w:val="24"/>
        </w:rPr>
        <w:t>The Ecclesiastical Chronicle: An English Translation</w:t>
      </w:r>
      <w:r w:rsidR="00DE54A5" w:rsidRPr="00DE54A5">
        <w:rPr>
          <w:rFonts w:ascii="Calibri" w:hAnsi="Calibri" w:cs="Calibri"/>
          <w:szCs w:val="24"/>
        </w:rPr>
        <w:t>.</w:t>
      </w:r>
      <w:r>
        <w:fldChar w:fldCharType="end"/>
      </w:r>
      <w:r>
        <w:t xml:space="preserve"> p. 470</w:t>
      </w:r>
    </w:p>
  </w:footnote>
  <w:footnote w:id="7">
    <w:p w14:paraId="435A87C9" w14:textId="4F671B8E" w:rsidR="004541EB" w:rsidRDefault="004541EB" w:rsidP="007E6964">
      <w:pPr>
        <w:pStyle w:val="FootnoteText"/>
      </w:pPr>
      <w:r>
        <w:rPr>
          <w:rStyle w:val="FootnoteReference"/>
        </w:rPr>
        <w:footnoteRef/>
      </w:r>
      <w:r>
        <w:t xml:space="preserve"> </w:t>
      </w:r>
      <w:r>
        <w:fldChar w:fldCharType="begin"/>
      </w:r>
      <w:r w:rsidR="00190EF4">
        <w:instrText xml:space="preserve"> ADDIN ZOTERO_ITEM CSL_CITATION {"citationID":"seeDWCwE","properties":{"formattedCitation":"Hage, \\uc0\\u8220{}Chamb\\uc0\\u233{}sy 1990 Und Zwei Syrische Stimmen Aus Dem Mittelalter.\\uc0\\u8221{}","plainCitation":"Hage, “Chambésy 1990 Und Zwei Syrische Stimmen Aus Dem Mittelalter.”","noteIndex":7},"citationItems":[{"id":151,"uris":["http://zotero.org/users/912544/items/IWM9VBIG"],"uri":["http://zotero.org/users/912544/items/IWM9VBIG"],"itemData":{"id":151,"type":"chapter","title":"Chambésy 1990 und zwei syrische Stimmen aus dem Mittelalter","container-title":"Trinitäts- und Christusdogma: Ihre Bedeutung für Beten und Handeln der Kirche. Festschrift für Jouko Martikainen","collection-title":"Studien zur Orientalischen Kirchengeschichte","collection-number":"12","publisher":"LIT","publisher-place":"Münster","page":"9-20","event-place":"Münster","author":[{"family":"Hage","given":"Wolfgang"}],"editor":[{"family":"Reller","given":"Jobst"},{"family":"Tamcke","given":"Martin"}],"issued":{"date-parts":[["2001"]]}}}],"schema":"https://github.com/citation-style-language/schema/raw/master/csl-citation.json"} </w:instrText>
      </w:r>
      <w:r>
        <w:fldChar w:fldCharType="separate"/>
      </w:r>
      <w:r w:rsidR="007E6964" w:rsidRPr="007E6964">
        <w:rPr>
          <w:rFonts w:ascii="Calibri" w:hAnsi="Calibri" w:cs="Calibri"/>
          <w:szCs w:val="24"/>
        </w:rPr>
        <w:t>Hage, “Chambésy 1990 Und Zwei Syrische Stimmen Aus Dem Mittelalter.”</w:t>
      </w:r>
      <w:r>
        <w:fldChar w:fldCharType="end"/>
      </w:r>
    </w:p>
  </w:footnote>
  <w:footnote w:id="8">
    <w:p w14:paraId="0317FF97" w14:textId="0E390158" w:rsidR="004541EB" w:rsidRDefault="004541EB" w:rsidP="007E6964">
      <w:pPr>
        <w:pStyle w:val="FootnoteText"/>
      </w:pPr>
      <w:r>
        <w:rPr>
          <w:rStyle w:val="FootnoteReference"/>
        </w:rPr>
        <w:footnoteRef/>
      </w:r>
      <w:r>
        <w:t xml:space="preserve"> </w:t>
      </w:r>
      <w:r>
        <w:fldChar w:fldCharType="begin"/>
      </w:r>
      <w:r w:rsidR="00190EF4">
        <w:instrText xml:space="preserve"> ADDIN ZOTERO_ITEM CSL_CITATION {"citationID":"XY0H3x9X","properties":{"formattedCitation":"Kitchen, \\uc0\\u8220{}The Syriac Tradition.\\uc0\\u8221{}","plainCitation":"Kitchen, “The Syriac Tradition.”","noteIndex":8},"citationItems":[{"id":149,"uris":["http://zotero.org/users/912544/items/F6A333JD"],"uri":["http://zotero.org/users/912544/items/F6A333JD"],"itemData":{"id":149,"type":"chapter","title":"The Syriac Tradition","container-title":"The Orthodox Christian World","publisher":"Routledge","publisher-place":"New York","page":"66-77","event-place":"New York","URL":"https://babel.hathitrust.org/cgi/pt?id=uc1.c3027048;view=1up;seq=37","author":[{"family":"Kitchen","given":"Robert A."}],"editor":[{"family":"Casiday","given":"Augustine"}],"issued":{"date-parts":[["2012"]]},"accessed":{"date-parts":[["2017",12,2]]}}}],"schema":"https://github.com/citation-style-language/schema/raw/master/csl-citation.json"} </w:instrText>
      </w:r>
      <w:r>
        <w:fldChar w:fldCharType="separate"/>
      </w:r>
      <w:r w:rsidR="007E6964" w:rsidRPr="007E6964">
        <w:rPr>
          <w:rFonts w:ascii="Calibri" w:hAnsi="Calibri" w:cs="Calibri"/>
          <w:szCs w:val="24"/>
        </w:rPr>
        <w:t>Kitchen, “The Syriac Tradition.”</w:t>
      </w:r>
      <w:r>
        <w:fldChar w:fldCharType="end"/>
      </w:r>
      <w:r>
        <w:t xml:space="preserve"> p. 73 refers to these authors and their reception</w:t>
      </w:r>
    </w:p>
  </w:footnote>
  <w:footnote w:id="9">
    <w:p w14:paraId="4AB507F7" w14:textId="77836410" w:rsidR="004541EB" w:rsidRDefault="004541EB" w:rsidP="007E6964">
      <w:pPr>
        <w:pStyle w:val="FootnoteText"/>
      </w:pPr>
      <w:r>
        <w:rPr>
          <w:rStyle w:val="FootnoteReference"/>
        </w:rPr>
        <w:footnoteRef/>
      </w:r>
      <w:r>
        <w:t xml:space="preserve"> </w:t>
      </w:r>
      <w:r>
        <w:fldChar w:fldCharType="begin"/>
      </w:r>
      <w:r w:rsidR="00190EF4">
        <w:instrText xml:space="preserve"> ADDIN ZOTERO_ITEM CSL_CITATION {"citationID":"rppoq7BR","properties":{"formattedCitation":"Michael the Syrian, {\\i{}Chronique de Michel Le Syrien}.","plainCitation":"Michael the Syrian, Chronique de Michel Le Syrien.","noteIndex":9},"citationItems":[{"id":250,"uris":["http://zotero.org/users/912544/items/6PXKPJ6Y"],"uri":["http://zotero.org/users/912544/items/6PXKPJ6Y"],"itemData":{"id":250,"type":"book","title":"Chronique de Michel le Syrien","publisher":"Roger Pearse","publisher-place":"Paris","volume":"3","number-of-volumes":"4","event-place":"Paris","author":[{"literal":"Michael the Syrian"}],"translator":[{"family":"Chabot","given":"J. B."}],"issued":{"date-parts":[["1905"]]}}}],"schema":"https://github.com/citation-style-language/schema/raw/master/csl-citation.json"} </w:instrText>
      </w:r>
      <w:r>
        <w:fldChar w:fldCharType="separate"/>
      </w:r>
      <w:r w:rsidR="007E6964" w:rsidRPr="007E6964">
        <w:rPr>
          <w:rFonts w:ascii="Calibri" w:hAnsi="Calibri" w:cs="Calibri"/>
          <w:szCs w:val="24"/>
        </w:rPr>
        <w:t xml:space="preserve">Michael the Syrian, </w:t>
      </w:r>
      <w:r w:rsidR="007E6964" w:rsidRPr="007E6964">
        <w:rPr>
          <w:rFonts w:ascii="Calibri" w:hAnsi="Calibri" w:cs="Calibri"/>
          <w:i/>
          <w:iCs/>
          <w:szCs w:val="24"/>
        </w:rPr>
        <w:t>Chronique de Michel Le Syrien</w:t>
      </w:r>
      <w:r w:rsidR="007E6964" w:rsidRPr="007E6964">
        <w:rPr>
          <w:rFonts w:ascii="Calibri" w:hAnsi="Calibri" w:cs="Calibri"/>
          <w:szCs w:val="24"/>
        </w:rPr>
        <w:t>.</w:t>
      </w:r>
      <w:r>
        <w:fldChar w:fldCharType="end"/>
      </w:r>
      <w:r>
        <w:t xml:space="preserve"> III, p. 222</w:t>
      </w:r>
    </w:p>
  </w:footnote>
  <w:footnote w:id="10">
    <w:p w14:paraId="1DFF6CD8" w14:textId="37201DED" w:rsidR="004541EB" w:rsidRDefault="004541EB" w:rsidP="007E6964">
      <w:pPr>
        <w:pStyle w:val="FootnoteText"/>
      </w:pPr>
      <w:r>
        <w:rPr>
          <w:rStyle w:val="FootnoteReference"/>
        </w:rPr>
        <w:footnoteRef/>
      </w:r>
      <w:r>
        <w:t xml:space="preserve"> </w:t>
      </w:r>
      <w:r w:rsidR="00EF3FB7">
        <w:t xml:space="preserve">See </w:t>
      </w:r>
      <w:r>
        <w:fldChar w:fldCharType="begin"/>
      </w:r>
      <w:r w:rsidR="00190EF4">
        <w:instrText xml:space="preserve"> ADDIN ZOTERO_ITEM CSL_CITATION {"citationID":"QbGkCfYl","properties":{"formattedCitation":"Teule, \\uc0\\u8220{}It Is Not Right to Call Ourselves Orthodox and the Others Heretics: Ecumenical Attitudes in the Jacobite Church in the Time of the Crusades.\\uc0\\u8221{}","plainCitation":"Teule, “It Is Not Right to Call Ourselves Orthodox and the Others Heretics: Ecumenical Attitudes in the Jacobite Church in the Time of the Crusades.”","noteIndex":10},"citationItems":[{"id":121,"uris":["http://zotero.org/users/912544/items/CGRK3IBI"],"uri":["http://zotero.org/users/912544/items/CGRK3IBI"],"itemData":{"id":121,"type":"chapter","title":"It is Not Right to Call Ourselves Orthodox and the Others Heretics: Ecumenical Attitudes in the Jacobite Church in the Time of the Crusades","container-title":"East and West in the Crusader states: context - contacts - confrontations: acta of the congress held at Hernen Castle in May 1997","publisher":"Peeters","publisher-place":"Louvain","page":"13-27","source":"EBSCOhost","archive":"rfh","event-place":"Louvain","URL":"http://0-search.ebscohost.com.libus.csd.mu.edu/login.aspx?direct=true&amp;db=rfh&amp;AN=ATLA0001228995&amp;site=eds-live","ISBN":"90-429-0786-X","author":[{"family":"Teule","given":"Herman G. B."}],"issued":{"date-parts":[["1999"]]}}}],"schema":"https://github.com/citation-style-language/schema/raw/master/csl-citation.json"} </w:instrText>
      </w:r>
      <w:r>
        <w:fldChar w:fldCharType="separate"/>
      </w:r>
      <w:r w:rsidR="007E6964" w:rsidRPr="007E6964">
        <w:rPr>
          <w:rFonts w:ascii="Calibri" w:hAnsi="Calibri" w:cs="Calibri"/>
          <w:szCs w:val="24"/>
        </w:rPr>
        <w:t>Teule, “It Is Not Right to Call Ourselves Orthodox and the Others Heretics: Ecumenical Attitudes in the Jacobite Church in the Time of the Crusades.”</w:t>
      </w:r>
      <w:r>
        <w:fldChar w:fldCharType="end"/>
      </w:r>
      <w:r>
        <w:t xml:space="preserve"> for further discussion of these other authors</w:t>
      </w:r>
      <w:r w:rsidR="00EF3FB7">
        <w:t>.</w:t>
      </w:r>
    </w:p>
  </w:footnote>
  <w:footnote w:id="11">
    <w:p w14:paraId="2697F833" w14:textId="2C015B73" w:rsidR="00D53151" w:rsidRDefault="00D53151">
      <w:pPr>
        <w:pStyle w:val="FootnoteText"/>
      </w:pPr>
      <w:r>
        <w:rPr>
          <w:rStyle w:val="FootnoteReference"/>
        </w:rPr>
        <w:footnoteRef/>
      </w:r>
      <w:r>
        <w:t xml:space="preserve"> </w:t>
      </w:r>
      <w:r w:rsidR="0027530F">
        <w:t xml:space="preserve">For the original narrative of Bar Hebraeus being asked to translate </w:t>
      </w:r>
      <w:r w:rsidR="0027530F">
        <w:rPr>
          <w:i/>
          <w:iCs/>
        </w:rPr>
        <w:t>The Chronicle</w:t>
      </w:r>
      <w:r w:rsidR="0027530F">
        <w:t xml:space="preserve">, see </w:t>
      </w:r>
      <w:r>
        <w:fldChar w:fldCharType="begin"/>
      </w:r>
      <w:r w:rsidR="00DE54A5">
        <w:instrText xml:space="preserve"> ADDIN ZOTERO_ITEM CSL_CITATION {"citationID":"uORL02TP","properties":{"formattedCitation":"Bar Hebraeus, {\\i{}The Ecclesiastical Chronicle: An English Translation}; Conrad, \\uc0\\u8220{}On the Arabic Chronicle of Bar Hebraeus: His Aims and Audience.\\uc0\\u8221{}","plainCitation":"Bar Hebraeus, The Ecclesiastical Chronicle: An English Translation; Conrad, “On the Arabic Chronicle of Bar Hebraeus: His Aims and Audience.”","dontUpdate":true,"noteIndex":11},"citationItems":[{"id":131,"uris":["http://zotero.org/users/912544/items/NWAWFU73"],"uri":["http://zotero.org/users/912544/items/NWAWFU73"],"itemData":{"id":131,"type":"book","title":"The Ecclesiastical Chronicle: An English Translation","collection-title":"Gorgias Eastern Christian studies","collection-number":"40","publisher":"Gorgias Press","publisher-place":"Piscataway, NJ","source":"EBSCOhost","archive":"cat02292a","archive_location":"Memorial level 1 BX172 .B37 2016","event-place":"Piscataway, NJ","URL":"http://0-search.ebscohost.com.libus.csd.mu.edu/login.aspx?direct=true&amp;db=cat02292a&amp;AN=mar.b3510829&amp;site=eds-live","ISBN":"978-1-4632-0535-5","author":[{"literal":"Bar Hebraeus"}],"translator":[{"family":"Wilmshurst","given":"David"}],"issued":{"date-parts":[["2016"]]}}},{"id":1064,"uris":["http://zotero.org/users/912544/items/4RXNAF98"],"uri":["http://zotero.org/users/912544/items/4RXNAF98"],"itemData":{"id":1064,"type":"article-journal","title":"On the Arabic Chronicle of Bar Hebraeus: His Aims and Audience","container-title":"Parole de l'Oriente","page":"319-378","volume":"19","author":[{"family":"Conrad","given":"I. Lawrence"}],"issued":{"date-parts":[["1994"]]}}}],"schema":"https://github.com/citation-style-language/schema/raw/master/csl-citation.json"} </w:instrText>
      </w:r>
      <w:r>
        <w:fldChar w:fldCharType="separate"/>
      </w:r>
      <w:r w:rsidRPr="00D53151">
        <w:rPr>
          <w:rFonts w:ascii="Calibri" w:hAnsi="Calibri" w:cs="Calibri"/>
          <w:szCs w:val="24"/>
        </w:rPr>
        <w:t xml:space="preserve">Bar Hebraeus, </w:t>
      </w:r>
      <w:r w:rsidRPr="00D53151">
        <w:rPr>
          <w:rFonts w:ascii="Calibri" w:hAnsi="Calibri" w:cs="Calibri"/>
          <w:i/>
          <w:iCs/>
          <w:szCs w:val="24"/>
        </w:rPr>
        <w:t>The Ecclesiastical Chronicle: An English Translation</w:t>
      </w:r>
      <w:r w:rsidRPr="00D53151">
        <w:rPr>
          <w:rFonts w:ascii="Calibri" w:hAnsi="Calibri" w:cs="Calibri"/>
          <w:szCs w:val="24"/>
        </w:rPr>
        <w:t xml:space="preserve">; </w:t>
      </w:r>
      <w:r w:rsidR="0027530F">
        <w:rPr>
          <w:rFonts w:ascii="Calibri" w:hAnsi="Calibri" w:cs="Calibri"/>
          <w:szCs w:val="24"/>
        </w:rPr>
        <w:t xml:space="preserve">While most scholarship has accepted this view, others have seen the </w:t>
      </w:r>
      <w:r w:rsidR="0027530F">
        <w:rPr>
          <w:rFonts w:ascii="Calibri" w:hAnsi="Calibri" w:cs="Calibri"/>
          <w:i/>
          <w:iCs/>
          <w:szCs w:val="24"/>
        </w:rPr>
        <w:t xml:space="preserve">Al-Muḫtaṣar fī l-duwal </w:t>
      </w:r>
      <w:r w:rsidR="0027530F">
        <w:rPr>
          <w:rFonts w:ascii="Calibri" w:hAnsi="Calibri" w:cs="Calibri"/>
          <w:szCs w:val="24"/>
        </w:rPr>
        <w:t>as a separate work</w:t>
      </w:r>
      <w:r w:rsidR="00620E73">
        <w:rPr>
          <w:rFonts w:ascii="Calibri" w:hAnsi="Calibri" w:cs="Calibri"/>
          <w:szCs w:val="24"/>
        </w:rPr>
        <w:t xml:space="preserve"> aimed at a Christian audience. For this position, and a survey of prior scholarship, see</w:t>
      </w:r>
      <w:r w:rsidR="0027530F">
        <w:rPr>
          <w:rFonts w:ascii="Calibri" w:hAnsi="Calibri" w:cs="Calibri"/>
          <w:i/>
          <w:iCs/>
          <w:szCs w:val="24"/>
        </w:rPr>
        <w:t xml:space="preserve"> </w:t>
      </w:r>
      <w:r w:rsidRPr="00D53151">
        <w:rPr>
          <w:rFonts w:ascii="Calibri" w:hAnsi="Calibri" w:cs="Calibri"/>
          <w:szCs w:val="24"/>
        </w:rPr>
        <w:t>Conrad, “On the Arabic Chronicle of Bar Hebraeus: His Aims and Audience.”</w:t>
      </w:r>
      <w:r>
        <w:fldChar w:fldCharType="end"/>
      </w:r>
    </w:p>
  </w:footnote>
  <w:footnote w:id="12">
    <w:p w14:paraId="3357B303" w14:textId="78AE06BA" w:rsidR="00620E73" w:rsidRDefault="00620E73">
      <w:pPr>
        <w:pStyle w:val="FootnoteText"/>
      </w:pPr>
      <w:r>
        <w:rPr>
          <w:rStyle w:val="FootnoteReference"/>
        </w:rPr>
        <w:footnoteRef/>
      </w:r>
      <w:r>
        <w:t xml:space="preserve"> For example, Hulagu Khan's conquest of the Middle East. For an overview of his reign, see </w:t>
      </w:r>
      <w:r>
        <w:fldChar w:fldCharType="begin"/>
      </w:r>
      <w:r w:rsidR="00190EF4">
        <w:instrText xml:space="preserve"> ADDIN ZOTERO_ITEM CSL_CITATION {"citationID":"kFwbQvef","properties":{"formattedCitation":"\\uc0\\u8220{}Hulagu Khan.\\uc0\\u8221{}","plainCitation":"“Hulagu Khan.”","noteIndex":12},"citationItems":[{"id":963,"uris":["http://zotero.org/users/912544/items/ALDZVL78"],"uri":["http://zotero.org/users/912544/items/ALDZVL78"],"itemData":{"id":963,"type":"entry-encyclopedia","title":"Hulagu Khan","container-title":"Columbia Electronic Encyclopedia","page":"1-1","edition":"6th","source":"EBSCOhost","abstract":"Hulagu Khan (hōōlä′gōō khän), 1217–65, Mongol conqueror, grandson of Jenghiz Khan. His brother Mangu, grand khan of the Mongols, directed him to quell a revolt in Persia. In 1256, in the course of his successful campaign, his forces virtually exterminated the powerful Assassin sect. Moving west to enlarge his conquests, he sacked and burned Baghdad in 1258 (executing the last Abbasid caliph) and captured Aleppo and Damascus in 1260. Further advances were checked by the Mamluks, who defeated him (Sept., 1260) at the decisive battle of Ayn Jalut (Goliath's Well) in Syria. Hulagu withdrew to Azerbaijan, adopted Islam, and founded the Il-khan dynasty. His khanate, which included all of Persia, endured until 1335, when it was divided into five parts. (English) [ABSTRACT FROM PUBLISHER] Copyright of Columbia Electronic Encyclopedia, 6th Edition is the property of Columbia University Press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Abstracts)","issued":{"date-parts":[["2019",1]]}}}],"schema":"https://github.com/citation-style-language/schema/raw/master/csl-citation.json"} </w:instrText>
      </w:r>
      <w:r>
        <w:fldChar w:fldCharType="separate"/>
      </w:r>
      <w:r w:rsidRPr="00620E73">
        <w:rPr>
          <w:rFonts w:ascii="Calibri" w:hAnsi="Calibri" w:cs="Calibri"/>
          <w:szCs w:val="24"/>
        </w:rPr>
        <w:t>“Hulagu Khan.”</w:t>
      </w:r>
      <w:r>
        <w:fldChar w:fldCharType="end"/>
      </w:r>
    </w:p>
  </w:footnote>
  <w:footnote w:id="13">
    <w:p w14:paraId="639F7D92" w14:textId="5CFF128C" w:rsidR="004541EB" w:rsidRDefault="004541EB" w:rsidP="007E6964">
      <w:pPr>
        <w:pStyle w:val="FootnoteText"/>
      </w:pPr>
      <w:r>
        <w:rPr>
          <w:rStyle w:val="FootnoteReference"/>
        </w:rPr>
        <w:footnoteRef/>
      </w:r>
      <w:r>
        <w:t xml:space="preserve"> </w:t>
      </w:r>
      <w:r>
        <w:fldChar w:fldCharType="begin"/>
      </w:r>
      <w:r w:rsidR="00DE54A5">
        <w:instrText xml:space="preserve"> ADDIN ZOTERO_ITEM CSL_CITATION {"citationID":"757F39YO","properties":{"formattedCitation":"Bar Hebraeus, \\uc0\\u8220{}Le Cand\\uc0\\u233{}labre Du Sanctuaire de Gr\\uc0\\u233{}goire Abou\\uc0\\u8217{}lfaradj Dit Barhebraeus. Quatri\\uc0\\u232{}me Base: De l\\uc0\\u8217{}Incarnation.\\uc0\\u8221{}","plainCitation":"Bar Hebraeus, “Le Candélabre Du Sanctuaire de Grégoire Abou’lfaradj Dit Barhebraeus. Quatrième Base: De l’Incarnation.”","noteIndex":13},"citationItems":[{"id":261,"uris":["http://zotero.org/users/912544/items/7GHZRA93"],"uri":["http://zotero.org/users/912544/items/7GHZRA93"],"itemData":{"id":261,"type":"chapter","title":"Le Candélabre du sanctuaire de Grégoire Abou'lfaradj dit Barhebraeus. Quatrième base: de l'Incarnation","container-title":"Patrologia Orientalis 31","collection-title":"PO","collection-number":"31","publisher":"Firmin-Didot","publisher-place":"Paris","page":"1-268","volume":"1","event-place":"Paris","translator":[{"family":"Khoury","given":"Joseph"}],"author":[{"literal":"Bar Hebraeus"}],"issued":{"date-parts":[["1965"]]}}}],"schema":"https://github.com/citation-style-language/schema/raw/master/csl-citation.json"} </w:instrText>
      </w:r>
      <w:r>
        <w:fldChar w:fldCharType="separate"/>
      </w:r>
      <w:r w:rsidR="00DE54A5" w:rsidRPr="00DE54A5">
        <w:rPr>
          <w:rFonts w:ascii="Calibri" w:hAnsi="Calibri" w:cs="Calibri"/>
          <w:szCs w:val="24"/>
        </w:rPr>
        <w:t>Bar Hebraeus, “Le Candélabre Du Sanctuaire de Grégoire Abou’lfaradj Dit Barhebraeus. Quatrième Base: De l’Incarnation.”</w:t>
      </w:r>
      <w:r>
        <w:fldChar w:fldCharType="end"/>
      </w:r>
      <w:r>
        <w:t xml:space="preserve"> pp. 22-25</w:t>
      </w:r>
    </w:p>
  </w:footnote>
  <w:footnote w:id="14">
    <w:p w14:paraId="78A12E84" w14:textId="798E4C3A" w:rsidR="004541EB" w:rsidRDefault="004541EB" w:rsidP="00DE54A5">
      <w:pPr>
        <w:pStyle w:val="FootnoteText"/>
      </w:pPr>
      <w:r>
        <w:rPr>
          <w:rStyle w:val="FootnoteReference"/>
        </w:rPr>
        <w:footnoteRef/>
      </w:r>
      <w:r>
        <w:t xml:space="preserve"> </w:t>
      </w:r>
      <w:r>
        <w:fldChar w:fldCharType="begin"/>
      </w:r>
      <w:r w:rsidR="00DE54A5">
        <w:instrText xml:space="preserve"> ADDIN ZOTERO_ITEM CSL_CITATION {"citationID":"8WcuTvvX","properties":{"formattedCitation":"Bar Hebraeus.","plainCitation":"Bar Hebraeus.","noteIndex":14},"citationItems":[{"id":261,"uris":["http://zotero.org/users/912544/items/7GHZRA93"],"uri":["http://zotero.org/users/912544/items/7GHZRA93"],"itemData":{"id":261,"type":"chapter","title":"Le Candélabre du sanctuaire de Grégoire Abou'lfaradj dit Barhebraeus. Quatrième base: de l'Incarnation","container-title":"Patrologia Orientalis 31","collection-title":"PO","collection-number":"31","publisher":"Firmin-Didot","publisher-place":"Paris","page":"1-268","volume":"1","event-place":"Paris","translator":[{"family":"Khoury","given":"Joseph"}],"author":[{"literal":"Bar Hebraeus"}],"issued":{"date-parts":[["1965"]]}}}],"schema":"https://github.com/citation-style-language/schema/raw/master/csl-citation.json"} </w:instrText>
      </w:r>
      <w:r>
        <w:fldChar w:fldCharType="separate"/>
      </w:r>
      <w:r w:rsidR="00DE54A5" w:rsidRPr="00DE54A5">
        <w:rPr>
          <w:rFonts w:ascii="Calibri" w:hAnsi="Calibri" w:cs="Calibri"/>
        </w:rPr>
        <w:t>Bar Hebraeus.</w:t>
      </w:r>
      <w:r>
        <w:fldChar w:fldCharType="end"/>
      </w:r>
      <w:r>
        <w:t xml:space="preserve"> pp. 22-146, 2</w:t>
      </w:r>
    </w:p>
  </w:footnote>
  <w:footnote w:id="15">
    <w:p w14:paraId="232996CA" w14:textId="77777777" w:rsidR="004541EB" w:rsidRDefault="004541EB" w:rsidP="00A95969">
      <w:pPr>
        <w:pStyle w:val="FootnoteText"/>
      </w:pPr>
      <w:r>
        <w:rPr>
          <w:rStyle w:val="FootnoteReference"/>
        </w:rPr>
        <w:footnoteRef/>
      </w:r>
      <w:r>
        <w:t xml:space="preserve"> ibid.</w:t>
      </w:r>
    </w:p>
  </w:footnote>
  <w:footnote w:id="16">
    <w:p w14:paraId="4F6C4188" w14:textId="3DF3F700" w:rsidR="00190EF4" w:rsidRDefault="00190EF4">
      <w:pPr>
        <w:pStyle w:val="FootnoteText"/>
      </w:pPr>
      <w:r>
        <w:rPr>
          <w:rStyle w:val="FootnoteReference"/>
        </w:rPr>
        <w:footnoteRef/>
      </w:r>
      <w:r>
        <w:t xml:space="preserve"> </w:t>
      </w:r>
      <w:r>
        <w:fldChar w:fldCharType="begin"/>
      </w:r>
      <w:r w:rsidR="00223943">
        <w:instrText xml:space="preserve"> ADDIN ZOTERO_ITEM CSL_CITATION {"citationID":"1daPkGe3","properties":{"formattedCitation":"Takahashi, {\\i{}Barhebraeus}.","plainCitation":"Takahashi, Barhebraeus.","noteIndex":16},"citationItems":[{"id":205,"uris":["http://zotero.org/users/912544/items/K2FK4QWN"],"uri":["http://zotero.org/users/912544/items/K2FK4QWN"],"itemData":{"id":205,"type":"book","title":"Barhebraeus: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works.","ISBN":"978-1-59333-148-1","title-short":"Barhebraeus","language":"English","author":[{"family":"Takahashi","given":"Hidemi"}],"issued":{"date-parts":[["2005",5,13]]}}}],"schema":"https://github.com/citation-style-language/schema/raw/master/csl-citation.json"} </w:instrText>
      </w:r>
      <w:r>
        <w:fldChar w:fldCharType="separate"/>
      </w:r>
      <w:r w:rsidRPr="00190EF4">
        <w:rPr>
          <w:rFonts w:ascii="Calibri" w:hAnsi="Calibri" w:cs="Calibri"/>
          <w:szCs w:val="24"/>
        </w:rPr>
        <w:t xml:space="preserve">Takahashi, </w:t>
      </w:r>
      <w:r w:rsidRPr="00190EF4">
        <w:rPr>
          <w:rFonts w:ascii="Calibri" w:hAnsi="Calibri" w:cs="Calibri"/>
          <w:i/>
          <w:iCs/>
          <w:szCs w:val="24"/>
        </w:rPr>
        <w:t>Barhebraeus</w:t>
      </w:r>
      <w:r w:rsidRPr="00190EF4">
        <w:rPr>
          <w:rFonts w:ascii="Calibri" w:hAnsi="Calibri" w:cs="Calibri"/>
          <w:szCs w:val="24"/>
        </w:rPr>
        <w:t>.</w:t>
      </w:r>
      <w:r>
        <w:fldChar w:fldCharType="end"/>
      </w:r>
      <w:r>
        <w:t xml:space="preserve"> 31-35.</w:t>
      </w:r>
    </w:p>
  </w:footnote>
  <w:footnote w:id="17">
    <w:p w14:paraId="29D8B488" w14:textId="696F6006" w:rsidR="00ED3A1D" w:rsidRDefault="00ED3A1D">
      <w:pPr>
        <w:pStyle w:val="FootnoteText"/>
      </w:pPr>
      <w:r>
        <w:rPr>
          <w:rStyle w:val="FootnoteReference"/>
        </w:rPr>
        <w:footnoteRef/>
      </w:r>
      <w:r>
        <w:t xml:space="preserve"> </w:t>
      </w:r>
      <w:r>
        <w:fldChar w:fldCharType="begin"/>
      </w:r>
      <w:r w:rsidR="00DE54A5">
        <w:instrText xml:space="preserve"> ADDIN ZOTERO_ITEM CSL_CITATION {"citationID":"Bi48rxQW","properties":{"formattedCitation":"Bar Hebraeus, {\\i{}Aristotelian Meteorology in Syriac}.","plainCitation":"Bar Hebraeus, Aristotelian Meteorology in Syriac.","noteIndex":17},"citationItems":[{"id":1054,"uris":["http://zotero.org/users/912544/items/8RMP4D32"],"uri":["http://zotero.org/users/912544/items/8RMP4D32"],"itemData":{"id":1054,"type":"book","title":"Aristotelian Meteorology in Syriac: Barhebraeus, Butyrum Sapientiae, Books of Mineralogy and Meteorology","collection-title":"Aristoteles Semitico-latinus:","collection-number":"15","publisher":"Brill","publisher-place":"Boston","source":"EBSCOhost","archive_location":"Memorial level 5 QE25 .T35 2004","event-place":"Boston","ISBN":"978-90-04-13031-9","title-short":"Aristotelian meteorology in Syriac","translator":[{"family":"Takahashi","given":"Hidemi"}],"author":[{"literal":"Bar Hebraeus"}],"issued":{"date-parts":[["2004"]]}}}],"schema":"https://github.com/citation-style-language/schema/raw/master/csl-citation.json"} </w:instrText>
      </w:r>
      <w:r>
        <w:fldChar w:fldCharType="separate"/>
      </w:r>
      <w:r w:rsidR="00DE54A5" w:rsidRPr="00DE54A5">
        <w:rPr>
          <w:rFonts w:ascii="Calibri" w:hAnsi="Calibri" w:cs="Calibri"/>
          <w:szCs w:val="24"/>
        </w:rPr>
        <w:t xml:space="preserve">Bar Hebraeus, </w:t>
      </w:r>
      <w:r w:rsidR="00DE54A5" w:rsidRPr="00DE54A5">
        <w:rPr>
          <w:rFonts w:ascii="Calibri" w:hAnsi="Calibri" w:cs="Calibri"/>
          <w:i/>
          <w:iCs/>
          <w:szCs w:val="24"/>
        </w:rPr>
        <w:t>Aristotelian Meteorology in Syriac</w:t>
      </w:r>
      <w:r w:rsidR="00DE54A5" w:rsidRPr="00DE54A5">
        <w:rPr>
          <w:rFonts w:ascii="Calibri" w:hAnsi="Calibri" w:cs="Calibri"/>
          <w:szCs w:val="24"/>
        </w:rPr>
        <w:t>.</w:t>
      </w:r>
      <w:r>
        <w:fldChar w:fldCharType="end"/>
      </w:r>
    </w:p>
  </w:footnote>
  <w:footnote w:id="18">
    <w:p w14:paraId="452AD52D" w14:textId="2C99B77D" w:rsidR="00ED3A1D" w:rsidRDefault="00ED3A1D">
      <w:pPr>
        <w:pStyle w:val="FootnoteText"/>
      </w:pPr>
      <w:r>
        <w:rPr>
          <w:rStyle w:val="FootnoteReference"/>
        </w:rPr>
        <w:footnoteRef/>
      </w:r>
      <w:r>
        <w:t xml:space="preserve"> </w:t>
      </w:r>
      <w:r>
        <w:fldChar w:fldCharType="begin"/>
      </w:r>
      <w:r w:rsidR="00DE54A5">
        <w:instrText xml:space="preserve"> ADDIN ZOTERO_ITEM CSL_CITATION {"citationID":"L6i8ewaP","properties":{"formattedCitation":"Bar Hebraeus, {\\i{}Bar Hebraeus\\uc0\\u8217{}s Mush\\uc0\\u700{}hotho Book}.","plainCitation":"Bar Hebraeus, Bar Hebraeus’s Mushʼhotho Book.","noteIndex":18},"citationItems":[{"id":1012,"uris":["http://zotero.org/users/912544/items/HJZNQXBQ"],"uri":["http://zotero.org/users/912544/items/HJZNQXBQ"],"itemData":{"id":1012,"type":"book","title":"Bar Hebraeus's Mushʼhotho Book","publisher":"Monastery of St. Ephrem the Syrian Publications","publisher-place":"Glane, Holland","event-place":"Glane, Holland","author":[{"literal":"Bar Hebraeus"}],"editor":[{"family":"Dolabani","given":"Philoxenos Yuhanon"}],"issued":{"date-parts":[["1983"]]}}}],"schema":"https://github.com/citation-style-language/schema/raw/master/csl-citation.json"} </w:instrText>
      </w:r>
      <w:r>
        <w:fldChar w:fldCharType="separate"/>
      </w:r>
      <w:r w:rsidR="00DE54A5" w:rsidRPr="00DE54A5">
        <w:rPr>
          <w:rFonts w:ascii="Calibri" w:hAnsi="Calibri" w:cs="Calibri"/>
          <w:szCs w:val="24"/>
        </w:rPr>
        <w:t xml:space="preserve">Bar Hebraeus, </w:t>
      </w:r>
      <w:r w:rsidR="00DE54A5" w:rsidRPr="00DE54A5">
        <w:rPr>
          <w:rFonts w:ascii="Calibri" w:hAnsi="Calibri" w:cs="Calibri"/>
          <w:i/>
          <w:iCs/>
          <w:szCs w:val="24"/>
        </w:rPr>
        <w:t>Bar Hebraeus’s Mushʼhotho Book</w:t>
      </w:r>
      <w:r w:rsidR="00DE54A5" w:rsidRPr="00DE54A5">
        <w:rPr>
          <w:rFonts w:ascii="Calibri" w:hAnsi="Calibri" w:cs="Calibri"/>
          <w:szCs w:val="24"/>
        </w:rPr>
        <w:t>.</w:t>
      </w:r>
      <w:r>
        <w:fldChar w:fldCharType="end"/>
      </w:r>
      <w:r>
        <w:t xml:space="preserve"> 128.</w:t>
      </w:r>
    </w:p>
  </w:footnote>
  <w:footnote w:id="19">
    <w:p w14:paraId="58B592DB" w14:textId="1A64CC75" w:rsidR="00464D8D" w:rsidRDefault="00464D8D">
      <w:pPr>
        <w:pStyle w:val="FootnoteText"/>
      </w:pPr>
      <w:r>
        <w:rPr>
          <w:rStyle w:val="FootnoteReference"/>
        </w:rPr>
        <w:footnoteRef/>
      </w:r>
      <w:r>
        <w:t xml:space="preserve"> </w:t>
      </w:r>
      <w:r>
        <w:fldChar w:fldCharType="begin"/>
      </w:r>
      <w:r>
        <w:instrText xml:space="preserve"> ADDIN ZOTERO_ITEM CSL_CITATION {"citationID":"QEVcSeKn","properties":{"formattedCitation":"Marzolph, \\uc0\\u8220{}Die Quelle Der Erg\\uc0\\u246{}tzlichen Erz\\uc0\\u228{}hlungen Des Bar Hebr\\uc0\\u228{}us.\\uc0\\u8221{}","plainCitation":"Marzolph, “Die Quelle Der Ergötzlichen Erzählungen Des Bar Hebräus.”","noteIndex":19},"citationItems":[{"id":275,"uris":["http://zotero.org/users/912544/items/H5M65ZJW"],"uri":["http://zotero.org/users/912544/items/H5M65ZJW"],"itemData":{"id":275,"type":"article-journal","title":"Die Quelle der Ergötzlichen Erzählungen des Bar Hebräus","container-title":"Oriens Christianus","page":"81-125","volume":"69","author":[{"family":"Marzolph","given":"Ulrich"}],"issued":{"date-parts":[["1985"]]}}}],"schema":"https://github.com/citation-style-language/schema/raw/master/csl-citation.json"} </w:instrText>
      </w:r>
      <w:r>
        <w:fldChar w:fldCharType="separate"/>
      </w:r>
      <w:r w:rsidRPr="00464D8D">
        <w:rPr>
          <w:rFonts w:ascii="Calibri" w:hAnsi="Calibri" w:cs="Calibri"/>
          <w:szCs w:val="24"/>
        </w:rPr>
        <w:t>Marzolph, “Die Quelle Der Ergötzlichen Erzählungen Des Bar Hebräus.”</w:t>
      </w:r>
      <w:r>
        <w:fldChar w:fldCharType="end"/>
      </w:r>
    </w:p>
  </w:footnote>
  <w:footnote w:id="20">
    <w:p w14:paraId="06174CD9" w14:textId="764F138D" w:rsidR="00464D8D" w:rsidRDefault="00464D8D">
      <w:pPr>
        <w:pStyle w:val="FootnoteText"/>
      </w:pPr>
      <w:r>
        <w:rPr>
          <w:rStyle w:val="FootnoteReference"/>
        </w:rPr>
        <w:footnoteRef/>
      </w:r>
      <w:r>
        <w:t xml:space="preserve"> </w:t>
      </w:r>
      <w:r>
        <w:fldChar w:fldCharType="begin"/>
      </w:r>
      <w:r>
        <w:instrText xml:space="preserve"> ADDIN ZOTERO_ITEM CSL_CITATION {"citationID":"YjuYIKJ9","properties":{"formattedCitation":"Teule, \\uc0\\u8220{}The Transmission of Islamic Culture to the World of Syriac Christianity: Barhebraeus\\uc0\\u8217{} Translation of Avicenna\\uc0\\u8217{}s Kit\\uc0\\u257{}b Al-I\\uc0\\u353{}\\uc0\\u257{}r\\uc0\\u257{}t Wa l-Tanb\\uc0\\u299{}h\\uc0\\u257{}t: First Soundings.\\uc0\\u8221{}","plainCitation":"Teule, “The Transmission of Islamic Culture to the World of Syriac Christianity: Barhebraeus’ Translation of Avicenna’s Kitāb Al-Išārāt Wa l-Tanbīhāt: First Soundings.”","noteIndex":20},"citationItems":[{"id":276,"uris":["http://zotero.org/users/912544/items/MQ7YER8D"],"uri":["http://zotero.org/users/912544/items/MQ7YER8D"],"itemData":{"id":276,"type":"chapter","title":"The Transmission of Islamic Culture to the World of Syriac Christianity: Barhebraeus' translation of Avicenna's Kitāb al-išārāt wa l-tanbīhāt: first soundings","container-title":"Redefining Christian Identity: Cultural Interaction in the Middle East Since the Rise of Islam","publisher":"Peeters","publisher-place":"Dudley, MA","page":"167-184","event-place":"Dudley, MA","author":[{"family":"Teule","given":"Herman G. B."}],"editor":[{"family":"Ginkel","given":"Jan J.","dropping-particle":"van"},{"family":"Murre-Van den Berg","given":"H. L."},{"family":"Lint","given":"Theo Maarten","dropping-particle":"van"}],"issued":{"date-parts":[["2005"]]}}}],"schema":"https://github.com/citation-style-language/schema/raw/master/csl-citation.json"} </w:instrText>
      </w:r>
      <w:r>
        <w:fldChar w:fldCharType="separate"/>
      </w:r>
      <w:r w:rsidRPr="00464D8D">
        <w:rPr>
          <w:rFonts w:ascii="Calibri" w:hAnsi="Calibri" w:cs="Calibri"/>
          <w:szCs w:val="24"/>
        </w:rPr>
        <w:t>Teule, “The Transmission of Islamic Culture to the World of Syriac Christianity: Barhebraeus’ Translation of Avicenna’s Kitāb Al-Išārāt Wa l-Tanbīhāt: First Soundings.”</w:t>
      </w:r>
      <w:r>
        <w:fldChar w:fldCharType="end"/>
      </w:r>
    </w:p>
  </w:footnote>
  <w:footnote w:id="21">
    <w:p w14:paraId="69B9B847" w14:textId="389BEC9F" w:rsidR="00464D8D" w:rsidRDefault="00464D8D">
      <w:pPr>
        <w:pStyle w:val="FootnoteText"/>
      </w:pPr>
      <w:r>
        <w:rPr>
          <w:rStyle w:val="FootnoteReference"/>
        </w:rPr>
        <w:footnoteRef/>
      </w:r>
      <w:r>
        <w:t xml:space="preserve"> The account of this request is found in </w:t>
      </w:r>
      <w:r>
        <w:fldChar w:fldCharType="begin"/>
      </w:r>
      <w:r w:rsidR="00DE54A5">
        <w:instrText xml:space="preserve"> ADDIN ZOTERO_ITEM CSL_CITATION {"citationID":"wWXK3hJ9","properties":{"formattedCitation":"Bar \\uc0\\u8216{}Ebr\\uc0\\u257{}y\\uc0\\u257{}, {\\i{}The Ecclesiastical Chronicle: An English Translation}; Takahashi, {\\i{}Barhebraeus}; Teule, \\uc0\\u8220{}The Syriac Renaissance\\uc0\\u8221{}; Conrad, \\uc0\\u8220{}On the Arabic Chronicle of Bar Hebraeus: His Aims and Audience.\\uc0\\u8221{}","plainCitation":"Bar ‘Ebrāyā, The Ecclesiastical Chronicle: An English Translation; Takahashi, Barhebraeus; Teule, “The Syriac Renaissance”; Conrad, “On the Arabic Chronicle of Bar Hebraeus: His Aims and Audience.”","dontUpdate":true,"noteIndex":21},"citationItems":[{"id":131,"uris":["http://zotero.org/users/912544/items/NWAWFU73"],"uri":["http://zotero.org/users/912544/items/NWAWFU73"],"itemData":{"id":131,"type":"book","title":"The Ecclesiastical Chronicle: An English Translation","collection-title":"Gorgias Eastern Christian studies","collection-number":"40","publisher":"Gorgias Press","publisher-place":"Piscataway, NJ","source":"EBSCOhost","archive":"cat02292a","archive_location":"Memorial level 1 BX172 .B37 2016","event-place":"Piscataway, NJ","URL":"http://0-search.ebscohost.com.libus.csd.mu.edu/login.aspx?direct=true&amp;db=cat02292a&amp;AN=mar.b3510829&amp;site=eds-live","ISBN":"978-1-4632-0535-5","author":[{"literal":"Bar Hebraeus"}],"translator":[{"family":"Wilmshurst","given":"David"}],"issued":{"date-parts":[["2016"]]}}},{"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id":117,"uris":["http://zotero.org/users/912544/items/YKWC7LWZ"],"uri":["http://zotero.org/users/912544/items/YKWC7LWZ"],"itemData":{"id":117,"type":"chapter","title":"The Syriac Renaissance","container-title":"The Syriac Renaissance.","collection-title":"Eastern Christian studies: v. 9","publisher":"Peeters","publisher-place":"Walpole, MA","page":"1-30","source":"EBSCOhost","archive":"cat02292a","archive_location":"Memorial 4 (lower) PJ5601 .S97 2010","event-place":"Walpole, MA","URL":"http://0-search.ebscohost.com.libus.csd.mu.edu/login.aspx?direct=true&amp;db=cat02292a&amp;AN=mar.b3518216&amp;site=eds-live","ISBN":"978-90-429-2258-7","author":[{"family":"Teule","given":"Herman G. B."}],"editor":[{"family":"Teule","given":"Herman G. B."},{"family":"Tauwinkl","given":"Carmen Fotescu"},{"family":"Haar Romeny","given":"R. B.","dropping-particle":"ter"},{"family":"Ginkel","given":"J. J.","dropping-particle":"van"}],"issued":{"date-parts":[["2010"]]}}},{"id":1064,"uris":["http://zotero.org/users/912544/items/4RXNAF98"],"uri":["http://zotero.org/users/912544/items/4RXNAF98"],"itemData":{"id":1064,"type":"article-journal","title":"On the Arabic Chronicle of Bar Hebraeus: His Aims and Audience","container-title":"Parole de l'Oriente","page":"319-378","volume":"19","author":[{"family":"Conrad","given":"I. Lawrence"}],"issued":{"date-parts":[["1994"]]}}}],"schema":"https://github.com/citation-style-language/schema/raw/master/csl-citation.json"} </w:instrText>
      </w:r>
      <w:r>
        <w:fldChar w:fldCharType="separate"/>
      </w:r>
      <w:r w:rsidRPr="00464D8D">
        <w:rPr>
          <w:rFonts w:ascii="Calibri" w:hAnsi="Calibri" w:cs="Calibri"/>
          <w:szCs w:val="24"/>
        </w:rPr>
        <w:t xml:space="preserve">Bar ‘Ebrāyā, </w:t>
      </w:r>
      <w:r w:rsidRPr="00464D8D">
        <w:rPr>
          <w:rFonts w:ascii="Calibri" w:hAnsi="Calibri" w:cs="Calibri"/>
          <w:i/>
          <w:iCs/>
          <w:szCs w:val="24"/>
        </w:rPr>
        <w:t>The Ecclesiastical Chronicle: An English Translation</w:t>
      </w:r>
      <w:r w:rsidRPr="00464D8D">
        <w:rPr>
          <w:rFonts w:ascii="Calibri" w:hAnsi="Calibri" w:cs="Calibri"/>
          <w:szCs w:val="24"/>
        </w:rPr>
        <w:t xml:space="preserve">; </w:t>
      </w:r>
      <w:r>
        <w:rPr>
          <w:rFonts w:ascii="Calibri" w:hAnsi="Calibri" w:cs="Calibri"/>
          <w:szCs w:val="24"/>
        </w:rPr>
        <w:t xml:space="preserve">Most scholars accept this claim, so </w:t>
      </w:r>
      <w:r w:rsidRPr="00464D8D">
        <w:rPr>
          <w:rFonts w:ascii="Calibri" w:hAnsi="Calibri" w:cs="Calibri"/>
          <w:szCs w:val="24"/>
        </w:rPr>
        <w:t xml:space="preserve">Takahashi, </w:t>
      </w:r>
      <w:r w:rsidRPr="00464D8D">
        <w:rPr>
          <w:rFonts w:ascii="Calibri" w:hAnsi="Calibri" w:cs="Calibri"/>
          <w:i/>
          <w:iCs/>
          <w:szCs w:val="24"/>
        </w:rPr>
        <w:t>Barhebraeus</w:t>
      </w:r>
      <w:r w:rsidRPr="00464D8D">
        <w:rPr>
          <w:rFonts w:ascii="Calibri" w:hAnsi="Calibri" w:cs="Calibri"/>
          <w:szCs w:val="24"/>
        </w:rPr>
        <w:t xml:space="preserve">; </w:t>
      </w:r>
      <w:r>
        <w:rPr>
          <w:rFonts w:ascii="Calibri" w:hAnsi="Calibri" w:cs="Calibri"/>
          <w:szCs w:val="24"/>
        </w:rPr>
        <w:t xml:space="preserve">and </w:t>
      </w:r>
      <w:r w:rsidRPr="00464D8D">
        <w:rPr>
          <w:rFonts w:ascii="Calibri" w:hAnsi="Calibri" w:cs="Calibri"/>
          <w:szCs w:val="24"/>
        </w:rPr>
        <w:t xml:space="preserve">Teule, “The Syriac Renaissance”; </w:t>
      </w:r>
      <w:r w:rsidR="00DD3621">
        <w:rPr>
          <w:rFonts w:ascii="Calibri" w:hAnsi="Calibri" w:cs="Calibri"/>
          <w:szCs w:val="24"/>
        </w:rPr>
        <w:t>For an alternative view, Conrad takes this as being produced for a Christian audience that could read Arabic and not Syriac. F</w:t>
      </w:r>
      <w:r w:rsidR="00C26B3C">
        <w:rPr>
          <w:rFonts w:ascii="Calibri" w:hAnsi="Calibri" w:cs="Calibri"/>
          <w:szCs w:val="24"/>
        </w:rPr>
        <w:t>o</w:t>
      </w:r>
      <w:r w:rsidR="00DD3621">
        <w:rPr>
          <w:rFonts w:ascii="Calibri" w:hAnsi="Calibri" w:cs="Calibri"/>
          <w:szCs w:val="24"/>
        </w:rPr>
        <w:t xml:space="preserve">r this, see </w:t>
      </w:r>
      <w:r w:rsidRPr="00464D8D">
        <w:rPr>
          <w:rFonts w:ascii="Calibri" w:hAnsi="Calibri" w:cs="Calibri"/>
          <w:szCs w:val="24"/>
        </w:rPr>
        <w:t>Conrad, “On the Arabic Chronicle of Bar Hebraeus: His Aims and Audience.”</w:t>
      </w:r>
      <w:r>
        <w:fldChar w:fldCharType="end"/>
      </w:r>
    </w:p>
  </w:footnote>
  <w:footnote w:id="22">
    <w:p w14:paraId="0A9AB0C3" w14:textId="543B8C76" w:rsidR="00DD3621" w:rsidRDefault="00DD3621">
      <w:pPr>
        <w:pStyle w:val="FootnoteText"/>
      </w:pPr>
      <w:r>
        <w:rPr>
          <w:rStyle w:val="FootnoteReference"/>
        </w:rPr>
        <w:footnoteRef/>
      </w:r>
      <w:r>
        <w:t xml:space="preserve"> </w:t>
      </w:r>
      <w:r>
        <w:rPr>
          <w:i/>
          <w:iCs/>
        </w:rPr>
        <w:t>inter alia</w:t>
      </w:r>
      <w:r>
        <w:t xml:space="preserve"> </w:t>
      </w:r>
      <w:r>
        <w:fldChar w:fldCharType="begin"/>
      </w:r>
      <w:r w:rsidR="00DE54A5">
        <w:instrText xml:space="preserve"> ADDIN ZOTERO_ITEM CSL_CITATION {"citationID":"uYkAWOOg","properties":{"formattedCitation":"Bar Hebraeus, \\uc0\\u8220{}Le Cand\\uc0\\u233{}labre Du Sanctuaire de Gr\\uc0\\u233{}goire Abou\\uc0\\u8217{}lfaradj Dit Barhebraeus. Troisi\\uc0\\u232{}me Base: De La Theologie\\uc0\\u8221{}; Bar Hebraeus, \\uc0\\u8220{}Ecclesiae Antiochenae Syrorum Nomocanon a Gregorio Abulpharagio Bar-Hebraeo Syriace Compositus et a Iosepho Aloysio Assemano in Latinam Linguam Conversus.\\uc0\\u8221{}","plainCitation":"Bar Hebraeus, “Le Candélabre Du Sanctuaire de Grégoire Abou’lfaradj Dit Barhebraeus. Troisième Base: De La Theologie”; Bar Hebraeus, “Ecclesiae Antiochenae Syrorum Nomocanon a Gregorio Abulpharagio Bar-Hebraeo Syriace Compositus et a Iosepho Aloysio Assemano in Latinam Linguam Conversus.”","noteIndex":22},"citationItems":[{"id":262,"uris":["http://zotero.org/users/912544/items/8ME82MCP"],"uri":["http://zotero.org/users/912544/items/8ME82MCP"],"itemData":{"id":262,"type":"chapter","title":"Le Candélabre du sanctuaire de Grégoire Abou'lfaradj dit Barhebraeus. Troisième base: de la Theologie","container-title":"Patrologia Orientalis Tome XXVII - Fascicule 4","collection-title":"PO","collection-number":"27","publisher":"Firmin-Didot","publisher-place":"Paris","page":"451-626","volume":"4","event-place":"Paris","translator":[{"family":"Graffin","given":"François"}],"author":[{"literal":"Bar Hebraeus"}],"issued":{"date-parts":[["1957"]]}}},{"id":267,"uris":["http://zotero.org/users/912544/items/7BBZZH3V"],"uri":["http://zotero.org/users/912544/items/7BBZZH3V"],"itemData":{"id":267,"type":"chapter","title":"Ecclesiae Antiochenae Syrorum Nomocanon a Gregorio Abulpharagio Bar-Hebraeo syriace compositus et a Iosepho Aloysio Assemano in Latinam linguam conversus","container-title":"Scriptorum veterum nova collectio e vaticanis codicibus edita","publisher":"Typ. Collegii Urbani","publisher-place":"Rome","page":"1-268","volume":"X","event-place":"Rome","author":[{"literal":"Bar Hebraeus"}],"translator":[{"family":"Assemano","given":"Aloysio"}],"editor":[{"family":"Mai","given":"Angelo"}],"issued":{"date-parts":[["1838"]]}}}],"schema":"https://github.com/citation-style-language/schema/raw/master/csl-citation.json"} </w:instrText>
      </w:r>
      <w:r>
        <w:fldChar w:fldCharType="separate"/>
      </w:r>
      <w:r w:rsidR="00DE54A5" w:rsidRPr="00DE54A5">
        <w:rPr>
          <w:rFonts w:ascii="Calibri" w:hAnsi="Calibri" w:cs="Calibri"/>
          <w:szCs w:val="24"/>
        </w:rPr>
        <w:t>Bar Hebraeus, “Le Candélabre Du Sanctuaire de Grégoire Abou’lfaradj Dit Barhebraeus. Troisième Base: De La Theologie”; Bar Hebraeus, “Ecclesiae Antiochenae Syrorum Nomocanon a Gregorio Abulpharagio Bar-Hebraeo Syriace Compositus et a Iosepho Aloysio Assemano in Latinam Linguam Conversus.”</w:t>
      </w:r>
      <w:r>
        <w:fldChar w:fldCharType="end"/>
      </w:r>
    </w:p>
  </w:footnote>
  <w:footnote w:id="23">
    <w:p w14:paraId="5C962D7D" w14:textId="5FB47F3D" w:rsidR="008E22C2" w:rsidRDefault="008E22C2">
      <w:pPr>
        <w:pStyle w:val="FootnoteText"/>
      </w:pPr>
      <w:r>
        <w:rPr>
          <w:rStyle w:val="FootnoteReference"/>
        </w:rPr>
        <w:footnoteRef/>
      </w:r>
      <w:r>
        <w:t xml:space="preserve"> </w:t>
      </w:r>
      <w:r>
        <w:fldChar w:fldCharType="begin"/>
      </w:r>
      <w:r>
        <w:instrText xml:space="preserve"> ADDIN ZOTERO_ITEM CSL_CITATION {"citationID":"Iiod19iG","properties":{"formattedCitation":"Bar Hebraeus, \\uc0\\u8220{}Une Lettre de Bar H\\uc0\\u233{}br\\uc0\\u233{}us Au Catholicos Den\\uc0\\u7717{}a I.\\uc0\\u8221{}","plainCitation":"Bar Hebraeus, “Une Lettre de Bar Hébréus Au Catholicos Denḥa I.”","noteIndex":23},"citationItems":[{"id":1306,"uris":["http://zotero.org/users/912544/items/HQXN5C3I"],"uri":["http://zotero.org/users/912544/items/HQXN5C3I"],"itemData":{"id":1306,"type":"article-journal","title":"Une Lettre de Bar Hébréus au Catholicos Denḥa I","container-title":"Journal Asiatique","page":"75-128","volume":"9","issue":"11","author":[{"literal":"Bar Hebraeus"}],"translator":[{"family":"Chabot","given":"J. B."}],"issued":{"date-parts":[["1898"]]}}}],"schema":"https://github.com/citation-style-language/schema/raw/master/csl-citation.json"} </w:instrText>
      </w:r>
      <w:r>
        <w:fldChar w:fldCharType="separate"/>
      </w:r>
      <w:r w:rsidRPr="008E22C2">
        <w:rPr>
          <w:rFonts w:ascii="Calibri" w:hAnsi="Calibri" w:cs="Calibri"/>
          <w:szCs w:val="24"/>
        </w:rPr>
        <w:t>Bar Hebraeus, “Une Lettre de Bar Hébréus Au Catholicos Denḥa I.”</w:t>
      </w:r>
      <w:r>
        <w:fldChar w:fldCharType="end"/>
      </w:r>
      <w:r w:rsidR="009A5EEF">
        <w:t xml:space="preserve"> pp.</w:t>
      </w:r>
    </w:p>
  </w:footnote>
  <w:footnote w:id="24">
    <w:p w14:paraId="08357CA1" w14:textId="3357FC8A" w:rsidR="009A5EEF" w:rsidRDefault="009A5EEF" w:rsidP="009A5EEF">
      <w:pPr>
        <w:pStyle w:val="FootnoteText"/>
      </w:pPr>
      <w:r>
        <w:rPr>
          <w:rStyle w:val="FootnoteReference"/>
        </w:rPr>
        <w:footnoteRef/>
      </w:r>
      <w:r>
        <w:t xml:space="preserve"> </w:t>
      </w:r>
      <w:r>
        <w:fldChar w:fldCharType="begin"/>
      </w:r>
      <w:r>
        <w:instrText xml:space="preserve"> ADDIN ZOTERO_ITEM CSL_CITATION {"citationID":"1FgPDTqS","properties":{"formattedCitation":"Bar Hebraeus.","plainCitation":"Bar Hebraeus.","noteIndex":24},"citationItems":[{"id":1306,"uris":["http://zotero.org/users/912544/items/HQXN5C3I"],"uri":["http://zotero.org/users/912544/items/HQXN5C3I"],"itemData":{"id":1306,"type":"article-journal","title":"Une Lettre de Bar Hébréus au Catholicos Denḥa I","container-title":"Journal Asiatique","page":"75-128","volume":"9","issue":"11","author":[{"literal":"Bar Hebraeus"}],"translator":[{"family":"Chabot","given":"J. B."}],"issued":{"date-parts":[["1898"]]}}}],"schema":"https://github.com/citation-style-language/schema/raw/master/csl-citation.json"} </w:instrText>
      </w:r>
      <w:r>
        <w:fldChar w:fldCharType="separate"/>
      </w:r>
      <w:r w:rsidRPr="009A5EEF">
        <w:rPr>
          <w:rFonts w:ascii="Calibri" w:hAnsi="Calibri" w:cs="Calibri"/>
        </w:rPr>
        <w:t>Bar Hebraeus.</w:t>
      </w:r>
      <w:r>
        <w:fldChar w:fldCharType="end"/>
      </w:r>
      <w:r>
        <w:t xml:space="preserve"> ll. 539-40 (p. 90). An alternative translation would be "…this writing is indisputable."</w:t>
      </w:r>
    </w:p>
  </w:footnote>
  <w:footnote w:id="25">
    <w:p w14:paraId="4C52528F" w14:textId="359496F4" w:rsidR="009A5EEF" w:rsidRDefault="009A5EEF" w:rsidP="009A5EEF">
      <w:pPr>
        <w:pStyle w:val="FootnoteText"/>
      </w:pPr>
      <w:r>
        <w:rPr>
          <w:rStyle w:val="FootnoteReference"/>
        </w:rPr>
        <w:footnoteRef/>
      </w:r>
      <w:r>
        <w:t xml:space="preserve"> </w:t>
      </w:r>
      <w:r>
        <w:fldChar w:fldCharType="begin"/>
      </w:r>
      <w:r>
        <w:instrText xml:space="preserve"> ADDIN ZOTERO_ITEM CSL_CITATION {"citationID":"6PesDGQz","properties":{"formattedCitation":"Bar Hebraeus.","plainCitation":"Bar Hebraeus.","noteIndex":25},"citationItems":[{"id":1306,"uris":["http://zotero.org/users/912544/items/HQXN5C3I"],"uri":["http://zotero.org/users/912544/items/HQXN5C3I"],"itemData":{"id":1306,"type":"article-journal","title":"Une Lettre de Bar Hébréus au Catholicos Denḥa I","container-title":"Journal Asiatique","page":"75-128","volume":"9","issue":"11","author":[{"literal":"Bar Hebraeus"}],"translator":[{"family":"Chabot","given":"J. B."}],"issued":{"date-parts":[["1898"]]}}}],"schema":"https://github.com/citation-style-language/schema/raw/master/csl-citation.json"} </w:instrText>
      </w:r>
      <w:r>
        <w:fldChar w:fldCharType="separate"/>
      </w:r>
      <w:r w:rsidRPr="009A5EEF">
        <w:rPr>
          <w:rFonts w:ascii="Calibri" w:hAnsi="Calibri" w:cs="Calibri"/>
        </w:rPr>
        <w:t>Bar Hebraeus.</w:t>
      </w:r>
      <w:r>
        <w:fldChar w:fldCharType="end"/>
      </w:r>
      <w:r>
        <w:t xml:space="preserve"> p. 128</w:t>
      </w:r>
    </w:p>
  </w:footnote>
  <w:footnote w:id="26">
    <w:p w14:paraId="2AA7C563" w14:textId="595E4185" w:rsidR="00552678" w:rsidRDefault="00552678">
      <w:pPr>
        <w:pStyle w:val="FootnoteText"/>
      </w:pPr>
      <w:r>
        <w:rPr>
          <w:rStyle w:val="FootnoteReference"/>
        </w:rPr>
        <w:footnoteRef/>
      </w:r>
      <w:r>
        <w:t xml:space="preserve"> A partial translation appears in </w:t>
      </w:r>
      <w:r>
        <w:fldChar w:fldCharType="begin"/>
      </w:r>
      <w:r>
        <w:instrText xml:space="preserve"> ADDIN ZOTERO_ITEM CSL_CITATION {"citationID":"yq7yP3N2","properties":{"formattedCitation":"Takahashi, \\uc0\\u8220{}The Poems of Barhebraeus: A Preliminary Concordance.\\uc0\\u8221{}","plainCitation":"Takahashi, “The Poems of Barhebraeus: A Preliminary Concordance.”","noteIndex":26},"citationItems":[{"id":1060,"uris":["http://zotero.org/users/912544/items/Z34TZRRY"],"uri":["http://zotero.org/users/912544/items/Z34TZRRY"],"itemData":{"id":1060,"type":"article-journal","title":"The Poems of Barhebraeus: A Preliminary Concordance","container-title":"Khristianskiĭ Vostok","page":"78-139","volume":"6","issue":"7","author":[{"family":"Takahashi","given":"Hidemi"}],"issued":{"date-parts":[["2013"]]}}}],"schema":"https://github.com/citation-style-language/schema/raw/master/csl-citation.json"} </w:instrText>
      </w:r>
      <w:r>
        <w:fldChar w:fldCharType="separate"/>
      </w:r>
      <w:r w:rsidRPr="00552678">
        <w:rPr>
          <w:rFonts w:ascii="Calibri" w:hAnsi="Calibri" w:cs="Calibri"/>
          <w:szCs w:val="24"/>
        </w:rPr>
        <w:t>Takahashi, “The Poems of Barhebraeus: A Preliminary Concordance.”</w:t>
      </w:r>
      <w:r>
        <w:fldChar w:fldCharType="end"/>
      </w:r>
      <w:r>
        <w:t xml:space="preserve"> 81.</w:t>
      </w:r>
    </w:p>
  </w:footnote>
  <w:footnote w:id="27">
    <w:p w14:paraId="3483403D" w14:textId="3A38284B" w:rsidR="00223943" w:rsidRDefault="00223943">
      <w:pPr>
        <w:pStyle w:val="FootnoteText"/>
      </w:pPr>
      <w:r>
        <w:rPr>
          <w:rStyle w:val="FootnoteReference"/>
        </w:rPr>
        <w:footnoteRef/>
      </w:r>
      <w:r>
        <w:t xml:space="preserve"> A poet and  hymnographer who was a younger contemporary of Bar Hebraeus. See </w:t>
      </w:r>
      <w:r>
        <w:fldChar w:fldCharType="begin"/>
      </w:r>
      <w:r>
        <w:instrText xml:space="preserve"> ADDIN ZOTERO_ITEM CSL_CITATION {"citationID":"H38pMwR5","properties":{"formattedCitation":"Mengozzi, \\uc0\\u8220{}Khamis Bar Qarda\\uc0\\u7717{}e.\\uc0\\u8221{}","plainCitation":"Mengozzi, “Khamis Bar Qardaḥe.”","noteIndex":27},"citationItems":[{"id":1309,"uris":["http://zotero.org/users/912544/items/GHIS9JQN"],"uri":["http://zotero.org/users/912544/items/GHIS9JQN"],"itemData":{"id":1309,"type":"entry-encyclopedia","title":"Khamis bar Qardaḥe","container-title":"Gorgias Encyclopedic Dictionary of the Syriac Heritage: Electronic Edition","publisher":"Gorgias Press","publisher-place":"Piscataway, NJ","edition":"Electronic Edition","source":"gedsh.bethmardutho.org","event-place":"Piscataway, NJ","abstract":"E. Syr. poet.","URL":"https://gedsh.bethmardutho.org/Khamis-bar-Qardahe","author":[{"family":"Mengozzi","given":"Alessandro"}],"editor":[{"family":"Brock","given":"Sebastian P."},{"family":"Butts","given":"Aaron M."},{"family":"Kiraz","given":"George A."},{"family":"Van Rompay","given":"Lucas"}],"issued":{"date-parts":[["2011"]]},"accessed":{"date-parts":[["2019",4,12]]}}}],"schema":"https://github.com/citation-style-language/schema/raw/master/csl-citation.json"} </w:instrText>
      </w:r>
      <w:r>
        <w:fldChar w:fldCharType="separate"/>
      </w:r>
      <w:r w:rsidRPr="00223943">
        <w:rPr>
          <w:rFonts w:ascii="Calibri" w:hAnsi="Calibri" w:cs="Calibri"/>
          <w:szCs w:val="24"/>
        </w:rPr>
        <w:t>Mengozzi, “Khamis Bar Qardaḥe.”</w:t>
      </w:r>
      <w:r>
        <w:fldChar w:fldCharType="end"/>
      </w:r>
    </w:p>
  </w:footnote>
  <w:footnote w:id="28">
    <w:p w14:paraId="3FC873AF" w14:textId="23E7BA12" w:rsidR="00687E94" w:rsidRDefault="00687E94">
      <w:pPr>
        <w:pStyle w:val="FootnoteText"/>
      </w:pPr>
      <w:r>
        <w:rPr>
          <w:rStyle w:val="FootnoteReference"/>
        </w:rPr>
        <w:footnoteRef/>
      </w:r>
      <w:r>
        <w:t xml:space="preserve"> A priest, canonist, and confessor who may have been a younger contemporary of Bar Hebraeus. Brock notes that these poems may represent a later interpolation into these collection, on the basis of a Daniel of Mardin who lived in the 14th century. With Bar Hebraeus's demonstrated interest in Aristotle, his ecumenical spirit, and his documented interactions with the Church of the East, I accept at least the last poem as authentic to Bar Hebraeus, as well as Khamis's poem. The reply of bar Hattab does seem to an addition, but the question of Khamis is clearly being answered in Bar Hebraeus's reply, so bar Hattab's reply is extraneous. For an overview of Daniel bar Hattab, and a brief discussion of this poem, see </w:t>
      </w:r>
      <w:r>
        <w:fldChar w:fldCharType="begin"/>
      </w:r>
      <w:r>
        <w:instrText xml:space="preserve"> ADDIN ZOTERO_ITEM CSL_CITATION {"citationID":"5I0VUWOb","properties":{"formattedCitation":"Brock, \\uc0\\u8220{}Daniel of Mardin.\\uc0\\u8221{}","plainCitation":"Brock, “Daniel of Mardin.”","noteIndex":28},"citationItems":[{"id":1313,"uris":["http://zotero.org/users/912544/items/993GS39B"],"uri":["http://zotero.org/users/912544/items/993GS39B"],"itemData":{"id":1313,"type":"entry-encyclopedia","title":"Daniel of Mardin","container-title":"Gorgias Encyclopedic Dictionary of the Syriac Heritage: Electronic Edition","publisher":"Gorgias Press","publisher-place":"Piscataway, NJ","edition":"Electronic Edition","source":"gedsh.bethmardutho.org","event-place":"Piscataway, NJ","URL":"https://gedsh.bethmardutho.org/Khamis-bar-Qardahe","author":[{"family":"Brock","given":"Sebastian P."}],"editor":[{"family":"Brock","given":"Sebastian P."},{"family":"Butts","given":"Aaron M."},{"family":"Kiraz","given":"George A."},{"family":"Van Rompay","given":"Lucas"}],"issued":{"date-parts":[["2011"]]},"accessed":{"date-parts":[["2019",4,12]]}}}],"schema":"https://github.com/citation-style-language/schema/raw/master/csl-citation.json"} </w:instrText>
      </w:r>
      <w:r>
        <w:fldChar w:fldCharType="separate"/>
      </w:r>
      <w:r w:rsidRPr="00687E94">
        <w:rPr>
          <w:rFonts w:ascii="Calibri" w:hAnsi="Calibri" w:cs="Calibri"/>
          <w:szCs w:val="24"/>
        </w:rPr>
        <w:t>Brock, “Daniel of Mardin.”</w:t>
      </w:r>
      <w:r>
        <w:fldChar w:fldCharType="end"/>
      </w:r>
    </w:p>
  </w:footnote>
  <w:footnote w:id="29">
    <w:p w14:paraId="61D02A5F" w14:textId="75A86D50" w:rsidR="00AC5750" w:rsidRDefault="00AC5750">
      <w:pPr>
        <w:pStyle w:val="FootnoteText"/>
      </w:pPr>
      <w:r>
        <w:rPr>
          <w:rStyle w:val="FootnoteReference"/>
        </w:rPr>
        <w:footnoteRef/>
      </w:r>
      <w:r>
        <w:t xml:space="preserve"> </w:t>
      </w:r>
      <w:r>
        <w:fldChar w:fldCharType="begin"/>
      </w:r>
      <w:r w:rsidR="00687E94">
        <w:instrText xml:space="preserve"> ADDIN ZOTERO_ITEM CSL_CITATION {"citationID":"qk4KR1KX","properties":{"formattedCitation":"Payne Smith, \\uc0\\u8220{}\\uc0\\u1830{}\\uc0\\u1835{}\\uc0\\u1840{}\\uc0\\u1819{}.\\uc0\\u8221{}","plainCitation":"Payne Smith, “</w:instrText>
      </w:r>
      <w:r w:rsidR="00687E94">
        <w:rPr>
          <w:rFonts w:cs="Estrangelo Edessa" w:hint="cs"/>
          <w:rtl/>
          <w:lang w:bidi="syr-SY"/>
        </w:rPr>
        <w:instrText>ܦܫܰܛ</w:instrText>
      </w:r>
      <w:r w:rsidR="00687E94">
        <w:instrText>.”","noteIndex":29},"citationItems":[{"id":1307,"uris":["http://zotero.org/users/912544/items/CPP3ELTU"],"uri":["http://zotero.org/users/912544/items/CPP3ELTU"],"itemData":{"id":1307,"type":"entry-dictionary","title":"</w:instrText>
      </w:r>
      <w:r w:rsidR="00687E94">
        <w:rPr>
          <w:rFonts w:cs="Estrangelo Edessa" w:hint="cs"/>
          <w:rtl/>
          <w:lang w:bidi="syr-SY"/>
        </w:rPr>
        <w:instrText>ܦܫܰܛ</w:instrText>
      </w:r>
      <w:r w:rsidR="00687E94">
        <w:instrText xml:space="preserve">","container-title":"A Compendius Syriac Dictionary: Founded upon the Thesaurus Syriacus of R. Payne Smith","publisher":"Clarendon Press","publisher-place":"New York","page":"467","event-place":"New York","author":[{"family":"Payne Smith","given":"Robert"}],"editor":[{"family":"Payne Smith","given":"Jessie"}],"issued":{"date-parts":[["1903"]]}}}],"schema":"https://github.com/citation-style-language/schema/raw/master/csl-citation.json"} </w:instrText>
      </w:r>
      <w:r>
        <w:fldChar w:fldCharType="separate"/>
      </w:r>
      <w:r w:rsidRPr="00AC5750">
        <w:rPr>
          <w:rFonts w:ascii="Calibri" w:hAnsi="Calibri" w:cs="Calibri"/>
          <w:szCs w:val="24"/>
        </w:rPr>
        <w:t>Payne Smith, “</w:t>
      </w:r>
      <w:r w:rsidRPr="00AC5750">
        <w:rPr>
          <w:rFonts w:ascii="Calibri" w:hAnsi="Calibri" w:cs="Calibri"/>
          <w:szCs w:val="24"/>
          <w:rtl/>
          <w:lang w:bidi="syr-SY"/>
        </w:rPr>
        <w:t>ܦܫܰܛ</w:t>
      </w:r>
      <w:r w:rsidRPr="00AC5750">
        <w:rPr>
          <w:rFonts w:ascii="Calibri" w:hAnsi="Calibri" w:cs="Calibri"/>
          <w:szCs w:val="24"/>
        </w:rPr>
        <w:t>.”</w:t>
      </w:r>
      <w:r>
        <w:fldChar w:fldCharType="end"/>
      </w:r>
    </w:p>
  </w:footnote>
  <w:footnote w:id="30">
    <w:p w14:paraId="2390B09B" w14:textId="7C5D3076" w:rsidR="00A8190E" w:rsidRDefault="00A8190E">
      <w:pPr>
        <w:pStyle w:val="FootnoteText"/>
      </w:pPr>
      <w:r>
        <w:rPr>
          <w:rStyle w:val="FootnoteReference"/>
        </w:rPr>
        <w:footnoteRef/>
      </w:r>
      <w:r>
        <w:t xml:space="preserve"> </w:t>
      </w:r>
      <w:r>
        <w:fldChar w:fldCharType="begin"/>
      </w:r>
      <w:r w:rsidR="00DE54A5">
        <w:instrText xml:space="preserve"> ADDIN ZOTERO_ITEM CSL_CITATION {"citationID":"VnYhgkXW","properties":{"formattedCitation":"Bar Hebraeus, {\\i{}Bar Hebraeus\\uc0\\u8217{}s Mush\\uc0\\u700{}hotho Book}.","plainCitation":"Bar Hebraeus, Bar Hebraeus’s Mushʼhotho Book.","noteIndex":30},"citationItems":[{"id":1012,"uris":["http://zotero.org/users/912544/items/HJZNQXBQ"],"uri":["http://zotero.org/users/912544/items/HJZNQXBQ"],"itemData":{"id":1012,"type":"book","title":"Bar Hebraeus's Mushʼhotho Book","publisher":"Monastery of St. Ephrem the Syrian Publications","publisher-place":"Glane, Holland","event-place":"Glane, Holland","author":[{"literal":"Bar Hebraeus"}],"editor":[{"family":"Dolabani","given":"Philoxenos Yuhanon"}],"issued":{"date-parts":[["1983"]]}}}],"schema":"https://github.com/citation-style-language/schema/raw/master/csl-citation.json"} </w:instrText>
      </w:r>
      <w:r>
        <w:fldChar w:fldCharType="separate"/>
      </w:r>
      <w:r w:rsidR="00DE54A5" w:rsidRPr="00DE54A5">
        <w:rPr>
          <w:rFonts w:ascii="Calibri" w:hAnsi="Calibri" w:cs="Calibri"/>
          <w:szCs w:val="24"/>
        </w:rPr>
        <w:t xml:space="preserve">Bar Hebraeus, </w:t>
      </w:r>
      <w:r w:rsidR="00DE54A5" w:rsidRPr="00DE54A5">
        <w:rPr>
          <w:rFonts w:ascii="Calibri" w:hAnsi="Calibri" w:cs="Calibri"/>
          <w:i/>
          <w:iCs/>
          <w:szCs w:val="24"/>
        </w:rPr>
        <w:t>Bar Hebraeus’s Mushʼhotho Book</w:t>
      </w:r>
      <w:r w:rsidR="00DE54A5" w:rsidRPr="00DE54A5">
        <w:rPr>
          <w:rFonts w:ascii="Calibri" w:hAnsi="Calibri" w:cs="Calibri"/>
          <w:szCs w:val="24"/>
        </w:rPr>
        <w:t>.</w:t>
      </w:r>
      <w:r>
        <w:fldChar w:fldCharType="end"/>
      </w:r>
      <w:r>
        <w:t xml:space="preserve"> 157. Translated by me with the help of Jeanne-Nicole Saint-Laurent.</w:t>
      </w:r>
    </w:p>
  </w:footnote>
  <w:footnote w:id="31">
    <w:p w14:paraId="3DF081F4" w14:textId="5BF80878" w:rsidR="002C5C50" w:rsidRDefault="002C5C50" w:rsidP="00DE54A5">
      <w:pPr>
        <w:pStyle w:val="FootnoteText"/>
      </w:pPr>
      <w:r>
        <w:rPr>
          <w:rStyle w:val="FootnoteReference"/>
        </w:rPr>
        <w:footnoteRef/>
      </w:r>
      <w:r>
        <w:t xml:space="preserve"> </w:t>
      </w:r>
      <w:r>
        <w:rPr>
          <w:rFonts w:ascii="Serto Jerusalem" w:hAnsi="Serto Jerusalem" w:cs="Serto Jerusalem" w:hint="cs"/>
          <w:rtl/>
          <w:lang w:bidi="syr-SY"/>
        </w:rPr>
        <w:t>ܡܰܐܠܘܢ ܐܶܢܗܘ݂ ܕܡܶܢ ܣܽܘܦܶܝܰܐ ܩܳܢܝܳܐ ܕܽܘܓܡܰܐ: ܐܳܠܨܳܐ ܕܬܶܗܘܶܐ ܕܳܚܩܳܐ ܛܘܥܝܰܝ ܕܐܘܼܡܳܢܘܼܡܳܐ܀</w:t>
      </w:r>
      <w:r>
        <w:rPr>
          <w:rFonts w:ascii="Serto Jerusalem" w:hAnsi="Serto Jerusalem" w:cs="Serto Jerusalem"/>
          <w:lang w:bidi="syr-SY"/>
        </w:rPr>
        <w:t xml:space="preserve"> </w:t>
      </w:r>
      <w:r w:rsidRPr="002C5C50">
        <w:rPr>
          <w:rFonts w:cstheme="minorHAnsi"/>
          <w:lang w:bidi="syr-SY"/>
        </w:rPr>
        <w:t xml:space="preserve">My paraphrase of ll. 19-20. </w:t>
      </w:r>
      <w:r w:rsidRPr="002C5C50">
        <w:rPr>
          <w:rFonts w:cstheme="minorHAnsi"/>
        </w:rPr>
        <w:fldChar w:fldCharType="begin"/>
      </w:r>
      <w:r w:rsidR="00DE54A5">
        <w:rPr>
          <w:rFonts w:cstheme="minorHAnsi"/>
        </w:rPr>
        <w:instrText xml:space="preserve"> ADDIN ZOTERO_ITEM CSL_CITATION {"citationID":"EH0bcp5Z","properties":{"formattedCitation":"Bar Hebraeus.","plainCitation":"Bar Hebraeus.","noteIndex":31},"citationItems":[{"id":1012,"uris":["http://zotero.org/users/912544/items/HJZNQXBQ"],"uri":["http://zotero.org/users/912544/items/HJZNQXBQ"],"itemData":{"id":1012,"type":"book","title":"Bar Hebraeus's Mushʼhotho Book","publisher":"Monastery of St. Ephrem the Syrian Publications","publisher-place":"Glane, Holland","event-place":"Glane, Holland","author":[{"literal":"Bar Hebraeus"}],"editor":[{"family":"Dolabani","given":"Philoxenos Yuhanon"}],"issued":{"date-parts":[["1983"]]}}}],"schema":"https://github.com/citation-style-language/schema/raw/master/csl-citation.json"} </w:instrText>
      </w:r>
      <w:r w:rsidRPr="002C5C50">
        <w:rPr>
          <w:rFonts w:cstheme="minorHAnsi"/>
        </w:rPr>
        <w:fldChar w:fldCharType="separate"/>
      </w:r>
      <w:r w:rsidR="00DE54A5" w:rsidRPr="00DE54A5">
        <w:rPr>
          <w:rFonts w:ascii="Calibri" w:hAnsi="Calibri" w:cs="Calibri"/>
        </w:rPr>
        <w:t>Bar Hebraeus.</w:t>
      </w:r>
      <w:r w:rsidRPr="002C5C50">
        <w:rPr>
          <w:rFonts w:cstheme="minorHAnsi"/>
        </w:rPr>
        <w:fldChar w:fldCharType="end"/>
      </w:r>
      <w:r>
        <w:t xml:space="preserve"> 158.</w:t>
      </w:r>
    </w:p>
  </w:footnote>
  <w:footnote w:id="32">
    <w:p w14:paraId="6D8940EB" w14:textId="42DE08AF" w:rsidR="004541EB" w:rsidRDefault="004541EB" w:rsidP="00086C8E">
      <w:pPr>
        <w:pStyle w:val="FootnoteText"/>
      </w:pPr>
      <w:r>
        <w:rPr>
          <w:rStyle w:val="FootnoteReference"/>
        </w:rPr>
        <w:footnoteRef/>
      </w:r>
      <w:r>
        <w:t xml:space="preserve"> So </w:t>
      </w:r>
      <w:r>
        <w:fldChar w:fldCharType="begin"/>
      </w:r>
      <w:r w:rsidR="00DE54A5">
        <w:instrText xml:space="preserve"> ADDIN ZOTERO_ITEM CSL_CITATION {"citationID":"gLsfa72x","properties":{"formattedCitation":"{\\rtf Bar and Wensinck, {\\i{}Bar Hebraeus\\uc0\\u8217{}s Book of the Dove Together with Some Chapters from His Ethikon}.}","plainCitation":"Bar and Wensinck, Bar Hebraeus’s Book of the Dove Together with Some Chapters from His Ethikon.","dontUpdate":true,"noteIndex":32},"citationItems":[{"id":143,"uris":["http://zotero.org/users/912544/items/MV4RDW4Q"],"uri":["http://zotero.org/users/912544/items/MV4RDW4Q"],"itemData":{"id":143,"type":"book","title":"Bar Hebraeus's Book of the Dove Together with Some Chapters from his Ethikon","publisher":"E. J. Brill","publisher-place":"Leyden","source":"EBSCOhost","archive":"fxh","event-place":"Leyden","author":[{"literal":"Bar Hebraeus"}],"translator":[{"family":"Wensinck","given":"A.J."}],"issued":{"date-parts":[["1919"]]}}}],"schema":"https://github.com/citation-style-language/schema/raw/master/csl-citation.json"} </w:instrText>
      </w:r>
      <w:r>
        <w:fldChar w:fldCharType="separate"/>
      </w:r>
      <w:r w:rsidRPr="00086C8E">
        <w:rPr>
          <w:rFonts w:ascii="Calibri" w:hAnsi="Calibri" w:cs="Calibri"/>
          <w:szCs w:val="24"/>
        </w:rPr>
        <w:t xml:space="preserve">Wensinck, </w:t>
      </w:r>
      <w:r w:rsidRPr="00086C8E">
        <w:rPr>
          <w:rFonts w:ascii="Calibri" w:hAnsi="Calibri" w:cs="Calibri"/>
          <w:i/>
          <w:iCs/>
          <w:szCs w:val="24"/>
        </w:rPr>
        <w:t>Bar Hebraeus’s Book of the Dove Together with Some Chapters from His Ethikon</w:t>
      </w:r>
      <w:r w:rsidRPr="00086C8E">
        <w:rPr>
          <w:rFonts w:ascii="Calibri" w:hAnsi="Calibri" w:cs="Calibri"/>
          <w:szCs w:val="24"/>
        </w:rPr>
        <w:t>.</w:t>
      </w:r>
      <w:r>
        <w:fldChar w:fldCharType="end"/>
      </w:r>
      <w:r>
        <w:t xml:space="preserve"> p. xiv</w:t>
      </w:r>
    </w:p>
  </w:footnote>
  <w:footnote w:id="33">
    <w:p w14:paraId="4230520E" w14:textId="73EA0B37" w:rsidR="00DD3621" w:rsidRDefault="00DD3621">
      <w:pPr>
        <w:pStyle w:val="FootnoteText"/>
      </w:pPr>
      <w:r>
        <w:rPr>
          <w:rStyle w:val="FootnoteReference"/>
        </w:rPr>
        <w:footnoteRef/>
      </w:r>
      <w:r>
        <w:t xml:space="preserve"> So </w:t>
      </w:r>
      <w:r>
        <w:fldChar w:fldCharType="begin"/>
      </w:r>
      <w:r w:rsidR="00DE54A5">
        <w:instrText xml:space="preserve"> ADDIN ZOTERO_ITEM CSL_CITATION {"citationID":"D23xSCLD","properties":{"formattedCitation":"Teule, \\uc0\\u8220{}It Is Not Right to Call Ourselves Orthodox and the Others Heretics: Ecumenical Attitudes in the Jacobite Church in the Time of the Crusades.\\uc0\\u8221{}","plainCitation":"Teule, “It Is Not Right to Call Ourselves Orthodox and the Others Heretics: Ecumenical Attitudes in the Jacobite Church in the Time of the Crusades.”","noteIndex":33},"citationItems":[{"id":121,"uris":["http://zotero.org/users/912544/items/CGRK3IBI"],"uri":["http://zotero.org/users/912544/items/CGRK3IBI"],"itemData":{"id":121,"type":"chapter","title":"It is Not Right to Call Ourselves Orthodox and the Others Heretics: Ecumenical Attitudes in the Jacobite Church in the Time of the Crusades","container-title":"East and West in the Crusader states: context - contacts - confrontations: acta of the congress held at Hernen Castle in May 1997","publisher":"Peeters","publisher-place":"Louvain","page":"13-27","source":"EBSCOhost","archive":"rfh","event-place":"Louvain","URL":"http://0-search.ebscohost.com.libus.csd.mu.edu/login.aspx?direct=true&amp;db=rfh&amp;AN=ATLA0001228995&amp;site=eds-live","ISBN":"90-429-0786-X","author":[{"family":"Teule","given":"Herman G. B."}],"issued":{"date-parts":[["1999"]]}}}],"schema":"https://github.com/citation-style-language/schema/raw/master/csl-citation.json"} </w:instrText>
      </w:r>
      <w:r>
        <w:fldChar w:fldCharType="separate"/>
      </w:r>
      <w:r w:rsidRPr="00DD3621">
        <w:rPr>
          <w:rFonts w:ascii="Calibri" w:hAnsi="Calibri" w:cs="Calibri"/>
          <w:szCs w:val="24"/>
        </w:rPr>
        <w:t>Teule, “It Is Not Right to Call Ourselves Orthodox and the Others Heretics: Ecumenical Attitudes in the Jacobite Church in the Time of the Crusades.”</w:t>
      </w:r>
      <w:r>
        <w:fldChar w:fldCharType="end"/>
      </w:r>
    </w:p>
  </w:footnote>
  <w:footnote w:id="34">
    <w:p w14:paraId="6FBE72E0" w14:textId="026E6E36" w:rsidR="00EF3FB7" w:rsidRDefault="00EF3FB7">
      <w:pPr>
        <w:pStyle w:val="FootnoteText"/>
      </w:pPr>
      <w:r>
        <w:rPr>
          <w:rStyle w:val="FootnoteReference"/>
        </w:rPr>
        <w:footnoteRef/>
      </w:r>
      <w:r>
        <w:t xml:space="preserve"> </w:t>
      </w:r>
      <w:r>
        <w:fldChar w:fldCharType="begin"/>
      </w:r>
      <w:r>
        <w:instrText xml:space="preserve"> ADDIN ZOTERO_ITEM CSL_CITATION {"citationID":"nopDvTZz","properties":{"formattedCitation":"Takahashi, {\\i{}Barhebraeus}.","plainCitation":"Takahashi, Barhebraeus.","noteIndex":34},"citationItems":[{"id":205,"uris":["http://zotero.org/users/912544/items/K2FK4QWN"],"uri":["http://zotero.org/users/912544/items/K2FK4QWN"],"itemData":{"id":205,"type":"book","title":"Barhebraeus: A Bio-Bibliography","publisher":"Gorgias Press LLC","publisher-place":"Piscataway, N.J","number-of-pages":"608","edition":"2nd Gorgias Press Ed edition","source":"Amazon","event-place":"Piscataway, N.J","abstract":"The Syriac Orthodox prelate and polymath Gregory Abu al-Faraj Barhebraeus (Bar cEbroyo) is indisputably the greatest author of the so-called Syriac Renaissance of the 12th-13th centuries and his works have been the subject of innumerable studies over the past four centuries. There has, however, been little study in recent years aimed at providing a comprehensive overview of his life and works and the present volume is an attempt to fill this gap. The volume begins with a biographical account of Barhebraeus, which takes into consideration the results of the latest research, as well those studies from the past, some of which have lain almost forgotten in obscure corners of libraries. This is then followed by an overview of the maphrian's works, together with an attempt to delineate some of the outstanding characteristics of these works. The appendix contains a comprehensive bibliography of editions and studies relating to Barhebraeus, along with an updated list of the manuscripts of his works.","ISBN":"978-1-59333-148-1","title-short":"Barhebraeus","language":"English","author":[{"family":"Takahashi","given":"Hidemi"}],"issued":{"date-parts":[["2005",5,13]]}}}],"schema":"https://github.com/citation-style-language/schema/raw/master/csl-citation.json"} </w:instrText>
      </w:r>
      <w:r>
        <w:fldChar w:fldCharType="separate"/>
      </w:r>
      <w:r w:rsidRPr="00EF3FB7">
        <w:rPr>
          <w:rFonts w:ascii="Calibri" w:hAnsi="Calibri" w:cs="Calibri"/>
          <w:szCs w:val="24"/>
        </w:rPr>
        <w:t xml:space="preserve">Takahashi, </w:t>
      </w:r>
      <w:r w:rsidRPr="00EF3FB7">
        <w:rPr>
          <w:rFonts w:ascii="Calibri" w:hAnsi="Calibri" w:cs="Calibri"/>
          <w:i/>
          <w:iCs/>
          <w:szCs w:val="24"/>
        </w:rPr>
        <w:t>Barhebraeus</w:t>
      </w:r>
      <w:r w:rsidRPr="00EF3FB7">
        <w:rPr>
          <w:rFonts w:ascii="Calibri" w:hAnsi="Calibri" w:cs="Calibri"/>
          <w:szCs w:val="24"/>
        </w:rPr>
        <w:t>.</w:t>
      </w:r>
      <w:r>
        <w:fldChar w:fldCharType="end"/>
      </w:r>
      <w:r>
        <w:t xml:space="preserve"> 39.</w:t>
      </w:r>
    </w:p>
  </w:footnote>
  <w:footnote w:id="35">
    <w:p w14:paraId="794733E6" w14:textId="0B31B606" w:rsidR="00396AC0" w:rsidRDefault="00396AC0">
      <w:pPr>
        <w:pStyle w:val="FootnoteText"/>
      </w:pPr>
      <w:r>
        <w:rPr>
          <w:rStyle w:val="FootnoteReference"/>
        </w:rPr>
        <w:footnoteRef/>
      </w:r>
      <w:r>
        <w:t xml:space="preserve"> For a discussion of the usefulness of Bar Hebraeus in modern Ecumenism, see </w:t>
      </w:r>
      <w:r>
        <w:fldChar w:fldCharType="begin"/>
      </w:r>
      <w:r w:rsidR="00DE54A5">
        <w:instrText xml:space="preserve"> ADDIN ZOTERO_ITEM CSL_CITATION {"citationID":"kXRMi6kq","properties":{"formattedCitation":"Hage, \\uc0\\u8220{}Chamb\\uc0\\u233{}sy 1990 Und Zwei Syrische Stimmen Aus Dem Mittelalter\\uc0\\u8221{}; Joint Commission Of The Theological Dialogue Between The Orthodox Church And The Oriental Orthodox Churches, \\uc0\\u8220{}Second Agreed Statement\\uc0\\u8221{}; Mount Athos, \\uc0\\u8220{}Concerning the Dialogue Between the Orthodox and Non-Chalcedonian Churches: A Memorandum of the Sacred Community of Mount Athos.\\uc0\\u8221{}","plainCitation":"Hage, “Chambésy 1990 Und Zwei Syrische Stimmen Aus Dem Mittelalter”; Joint Commission Of The Theological Dialogue Between The Orthodox Church And The Oriental Orthodox Churches, “Second Agreed Statement”; Mount Athos, “Concerning the Dialogue Between the Orthodox and Non-Chalcedonian Churches: A Memorandum of the Sacred Community of Mount Athos.”","dontUpdate":true,"noteIndex":35},"citationItems":[{"id":151,"uris":["http://zotero.org/users/912544/items/IWM9VBIG"],"uri":["http://zotero.org/users/912544/items/IWM9VBIG"],"itemData":{"id":151,"type":"chapter","title":"Chambésy 1990 und zwei syrische Stimmen aus dem Mittelalter","container-title":"Trinitäts- und Christusdogma: Ihre Bedeutung für Beten und Handeln der Kirche. Festschrift für Jouko Martikainen","collection-title":"Studien zur Orientalischen Kirchengeschichte","collection-number":"12","publisher":"LIT","publisher-place":"Münster","page":"9-20","event-place":"Münster","author":[{"family":"Hage","given":"Wolfgang"}],"editor":[{"family":"Reller","given":"Jobst"},{"family":"Tamcke","given":"Martin"}],"issued":{"date-parts":[["2001"]]}}},{"id":278,"uris":["http://zotero.org/users/912544/items/3BI5SDZT"],"uri":["http://zotero.org/users/912544/items/3BI5SDZT"],"itemData":{"id":278,"type":"article","title":"Second Agreed Statement","publisher":"Orthodox Center of the Ecumenical Patriarchate","URL":"https://orthodoxjointcommission.wordpress.com/2013/12/14/second-agreed-statement-1990/","author":[{"literal":"Joint Commission Of The Theological Dialogue Between The Orthodox Church And The Oriental Orthodox Churches"}],"issued":{"date-parts":[["1990"]]},"accessed":{"date-parts":[["2017",12,4]]}}},{"id":282,"uris":["http://zotero.org/users/912544/items/ZL4RD3EP"],"uri":["http://zotero.org/users/912544/items/ZL4RD3EP"],"itemData":{"id":282,"type":"article","title":"Concerning the Dialogue Between the Orthodox and Non-Chalcedonian Churches: A Memorandum of the Sacred Community of Mount Athos","URL":"http://orthodoxinfo.com/ecumenism/mono_athos.aspx","author":[{"literal":"Mount Athos"}],"accessed":{"date-parts":[["2017",12,4]]}}}],"schema":"https://github.com/citation-style-language/schema/raw/master/csl-citation.json"} </w:instrText>
      </w:r>
      <w:r>
        <w:fldChar w:fldCharType="separate"/>
      </w:r>
      <w:r w:rsidRPr="00396AC0">
        <w:rPr>
          <w:rFonts w:ascii="Calibri" w:hAnsi="Calibri" w:cs="Calibri"/>
          <w:szCs w:val="24"/>
        </w:rPr>
        <w:t xml:space="preserve">Hage, “Chambésy 1990 Und Zwei Syrische Stimmen Aus Dem Mittelalter”; </w:t>
      </w:r>
      <w:r>
        <w:rPr>
          <w:rFonts w:ascii="Calibri" w:hAnsi="Calibri" w:cs="Calibri"/>
          <w:szCs w:val="24"/>
        </w:rPr>
        <w:t>For a</w:t>
      </w:r>
      <w:r w:rsidR="00DE54A5">
        <w:rPr>
          <w:rFonts w:ascii="Calibri" w:hAnsi="Calibri" w:cs="Calibri"/>
          <w:szCs w:val="24"/>
        </w:rPr>
        <w:t xml:space="preserve"> hopeful sign of Ecumenical fruit between Chalcedonian and non-Chalcedonian churches, see </w:t>
      </w:r>
      <w:r w:rsidRPr="00396AC0">
        <w:rPr>
          <w:rFonts w:ascii="Calibri" w:hAnsi="Calibri" w:cs="Calibri"/>
          <w:szCs w:val="24"/>
        </w:rPr>
        <w:t xml:space="preserve">Joint Commission Of The Theological Dialogue Between The Orthodox Church And The Oriental Orthodox Churches, “Second Agreed Statement”; </w:t>
      </w:r>
      <w:r w:rsidR="00DE54A5">
        <w:rPr>
          <w:rFonts w:ascii="Calibri" w:hAnsi="Calibri" w:cs="Calibri"/>
          <w:szCs w:val="24"/>
        </w:rPr>
        <w:t xml:space="preserve">For a counter-point to the agreement in Christologies, see </w:t>
      </w:r>
      <w:r w:rsidRPr="00396AC0">
        <w:rPr>
          <w:rFonts w:ascii="Calibri" w:hAnsi="Calibri" w:cs="Calibri"/>
          <w:szCs w:val="24"/>
        </w:rPr>
        <w:t>Mount Athos, “Concerning the Dialogue Between the Orthodox and Non-Chalcedonian Churches: A Memorandum of the Sacred Community of Mount Athos.”</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3AD80" w14:textId="17709E71" w:rsidR="004541EB" w:rsidRDefault="00190EF4">
    <w:pPr>
      <w:pStyle w:val="Header"/>
      <w:jc w:val="right"/>
    </w:pPr>
    <w:r>
      <w:t xml:space="preserve">Conlin </w:t>
    </w:r>
    <w:sdt>
      <w:sdtPr>
        <w:id w:val="-645672390"/>
        <w:docPartObj>
          <w:docPartGallery w:val="Page Numbers (Top of Page)"/>
          <w:docPartUnique/>
        </w:docPartObj>
      </w:sdtPr>
      <w:sdtEndPr>
        <w:rPr>
          <w:noProof/>
        </w:rPr>
      </w:sdtEndPr>
      <w:sdtContent>
        <w:r w:rsidR="004541EB">
          <w:fldChar w:fldCharType="begin"/>
        </w:r>
        <w:r w:rsidR="004541EB">
          <w:instrText xml:space="preserve"> PAGE   \* MERGEFORMAT </w:instrText>
        </w:r>
        <w:r w:rsidR="004541EB">
          <w:fldChar w:fldCharType="separate"/>
        </w:r>
        <w:r w:rsidR="007D7D2C">
          <w:rPr>
            <w:noProof/>
          </w:rPr>
          <w:t>1</w:t>
        </w:r>
        <w:r w:rsidR="004541EB">
          <w:rPr>
            <w:noProof/>
          </w:rPr>
          <w:fldChar w:fldCharType="end"/>
        </w:r>
      </w:sdtContent>
    </w:sdt>
  </w:p>
  <w:p w14:paraId="5FF40B4C" w14:textId="77777777" w:rsidR="004541EB" w:rsidRDefault="004541EB" w:rsidP="003005C3">
    <w:pPr>
      <w:pStyle w:val="Header"/>
      <w:tabs>
        <w:tab w:val="clear" w:pos="4680"/>
        <w:tab w:val="clear" w:pos="9360"/>
        <w:tab w:val="left" w:pos="834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B17"/>
    <w:rsid w:val="000020AC"/>
    <w:rsid w:val="0001164D"/>
    <w:rsid w:val="00022BA2"/>
    <w:rsid w:val="00022E7D"/>
    <w:rsid w:val="00053A72"/>
    <w:rsid w:val="00056B58"/>
    <w:rsid w:val="000825CB"/>
    <w:rsid w:val="00086C8E"/>
    <w:rsid w:val="000A3BC4"/>
    <w:rsid w:val="000A6ECD"/>
    <w:rsid w:val="000C3792"/>
    <w:rsid w:val="000C5200"/>
    <w:rsid w:val="000C52C5"/>
    <w:rsid w:val="000D1A5C"/>
    <w:rsid w:val="001003C6"/>
    <w:rsid w:val="00102475"/>
    <w:rsid w:val="00110B6B"/>
    <w:rsid w:val="00164781"/>
    <w:rsid w:val="00170D85"/>
    <w:rsid w:val="00186DE8"/>
    <w:rsid w:val="00190EF4"/>
    <w:rsid w:val="0019512C"/>
    <w:rsid w:val="00197014"/>
    <w:rsid w:val="001C27C3"/>
    <w:rsid w:val="001E027B"/>
    <w:rsid w:val="001E7303"/>
    <w:rsid w:val="001F448B"/>
    <w:rsid w:val="002106CF"/>
    <w:rsid w:val="00223943"/>
    <w:rsid w:val="00232654"/>
    <w:rsid w:val="00245AFA"/>
    <w:rsid w:val="00266344"/>
    <w:rsid w:val="00271EA8"/>
    <w:rsid w:val="0027276A"/>
    <w:rsid w:val="0027530F"/>
    <w:rsid w:val="002A34E7"/>
    <w:rsid w:val="002B40D2"/>
    <w:rsid w:val="002B7684"/>
    <w:rsid w:val="002C28D8"/>
    <w:rsid w:val="002C3153"/>
    <w:rsid w:val="002C5C50"/>
    <w:rsid w:val="003005C3"/>
    <w:rsid w:val="003034DD"/>
    <w:rsid w:val="00314AEC"/>
    <w:rsid w:val="003242C1"/>
    <w:rsid w:val="00344FEB"/>
    <w:rsid w:val="00353DE5"/>
    <w:rsid w:val="0036642B"/>
    <w:rsid w:val="00383CCF"/>
    <w:rsid w:val="00385BF1"/>
    <w:rsid w:val="00394C3F"/>
    <w:rsid w:val="00396AC0"/>
    <w:rsid w:val="00396AC6"/>
    <w:rsid w:val="003A7FCD"/>
    <w:rsid w:val="003B023B"/>
    <w:rsid w:val="003C0F00"/>
    <w:rsid w:val="003C784D"/>
    <w:rsid w:val="003D0989"/>
    <w:rsid w:val="003D43ED"/>
    <w:rsid w:val="003F3274"/>
    <w:rsid w:val="003F4906"/>
    <w:rsid w:val="003F4C0A"/>
    <w:rsid w:val="0041120A"/>
    <w:rsid w:val="00431360"/>
    <w:rsid w:val="004455C7"/>
    <w:rsid w:val="004541EB"/>
    <w:rsid w:val="004560A4"/>
    <w:rsid w:val="00464D8D"/>
    <w:rsid w:val="00474492"/>
    <w:rsid w:val="00492936"/>
    <w:rsid w:val="004C4C73"/>
    <w:rsid w:val="004C7EF6"/>
    <w:rsid w:val="004E2AEB"/>
    <w:rsid w:val="004E61A9"/>
    <w:rsid w:val="004F469B"/>
    <w:rsid w:val="005044EB"/>
    <w:rsid w:val="00514D5F"/>
    <w:rsid w:val="00536927"/>
    <w:rsid w:val="00552678"/>
    <w:rsid w:val="00573F5A"/>
    <w:rsid w:val="005D22C2"/>
    <w:rsid w:val="00615F64"/>
    <w:rsid w:val="00620E73"/>
    <w:rsid w:val="00637B17"/>
    <w:rsid w:val="00645460"/>
    <w:rsid w:val="00651CA3"/>
    <w:rsid w:val="00660D90"/>
    <w:rsid w:val="0067597D"/>
    <w:rsid w:val="00687E94"/>
    <w:rsid w:val="006A154C"/>
    <w:rsid w:val="006D1860"/>
    <w:rsid w:val="006D1CF3"/>
    <w:rsid w:val="006F60F5"/>
    <w:rsid w:val="006F7D91"/>
    <w:rsid w:val="007026F7"/>
    <w:rsid w:val="007068DA"/>
    <w:rsid w:val="007220E0"/>
    <w:rsid w:val="00731A90"/>
    <w:rsid w:val="00734184"/>
    <w:rsid w:val="00735A53"/>
    <w:rsid w:val="00755058"/>
    <w:rsid w:val="00771E2A"/>
    <w:rsid w:val="007754D7"/>
    <w:rsid w:val="00782698"/>
    <w:rsid w:val="00786DEC"/>
    <w:rsid w:val="007872D9"/>
    <w:rsid w:val="007D7D2C"/>
    <w:rsid w:val="007E40C1"/>
    <w:rsid w:val="007E6964"/>
    <w:rsid w:val="007E69EA"/>
    <w:rsid w:val="007F2E13"/>
    <w:rsid w:val="007F30F8"/>
    <w:rsid w:val="008305E4"/>
    <w:rsid w:val="008348B2"/>
    <w:rsid w:val="008468D9"/>
    <w:rsid w:val="00866E57"/>
    <w:rsid w:val="00870267"/>
    <w:rsid w:val="0087060F"/>
    <w:rsid w:val="008851CA"/>
    <w:rsid w:val="00890638"/>
    <w:rsid w:val="008D6AFE"/>
    <w:rsid w:val="008D719A"/>
    <w:rsid w:val="008E22C2"/>
    <w:rsid w:val="008E38F8"/>
    <w:rsid w:val="008F4A5E"/>
    <w:rsid w:val="009050A0"/>
    <w:rsid w:val="00912075"/>
    <w:rsid w:val="00917B56"/>
    <w:rsid w:val="00921403"/>
    <w:rsid w:val="00922D6D"/>
    <w:rsid w:val="00955735"/>
    <w:rsid w:val="00964B5E"/>
    <w:rsid w:val="00982121"/>
    <w:rsid w:val="009A548D"/>
    <w:rsid w:val="009A5EEF"/>
    <w:rsid w:val="009B6453"/>
    <w:rsid w:val="009B6D81"/>
    <w:rsid w:val="00A10E66"/>
    <w:rsid w:val="00A10E85"/>
    <w:rsid w:val="00A137EA"/>
    <w:rsid w:val="00A226F9"/>
    <w:rsid w:val="00A24805"/>
    <w:rsid w:val="00A639CA"/>
    <w:rsid w:val="00A64101"/>
    <w:rsid w:val="00A8190E"/>
    <w:rsid w:val="00A95969"/>
    <w:rsid w:val="00AA3164"/>
    <w:rsid w:val="00AA6534"/>
    <w:rsid w:val="00AC5750"/>
    <w:rsid w:val="00AF0CF4"/>
    <w:rsid w:val="00AF265B"/>
    <w:rsid w:val="00B02904"/>
    <w:rsid w:val="00B03E5D"/>
    <w:rsid w:val="00B0700A"/>
    <w:rsid w:val="00B31861"/>
    <w:rsid w:val="00B426AB"/>
    <w:rsid w:val="00B453BA"/>
    <w:rsid w:val="00B863BE"/>
    <w:rsid w:val="00B94035"/>
    <w:rsid w:val="00BA3584"/>
    <w:rsid w:val="00BB6D44"/>
    <w:rsid w:val="00BC5916"/>
    <w:rsid w:val="00BC5F20"/>
    <w:rsid w:val="00BF50D4"/>
    <w:rsid w:val="00C06532"/>
    <w:rsid w:val="00C06877"/>
    <w:rsid w:val="00C12900"/>
    <w:rsid w:val="00C12BD4"/>
    <w:rsid w:val="00C15DD1"/>
    <w:rsid w:val="00C26B3C"/>
    <w:rsid w:val="00C36BA2"/>
    <w:rsid w:val="00CC2F20"/>
    <w:rsid w:val="00CF69E3"/>
    <w:rsid w:val="00D00DC9"/>
    <w:rsid w:val="00D249B0"/>
    <w:rsid w:val="00D32D2E"/>
    <w:rsid w:val="00D53151"/>
    <w:rsid w:val="00D70899"/>
    <w:rsid w:val="00DA2B45"/>
    <w:rsid w:val="00DC02AD"/>
    <w:rsid w:val="00DC5CB1"/>
    <w:rsid w:val="00DC6ED9"/>
    <w:rsid w:val="00DD3621"/>
    <w:rsid w:val="00DD5B5B"/>
    <w:rsid w:val="00DE54A5"/>
    <w:rsid w:val="00DF0C86"/>
    <w:rsid w:val="00E2709E"/>
    <w:rsid w:val="00E40FB1"/>
    <w:rsid w:val="00E87D73"/>
    <w:rsid w:val="00EB5971"/>
    <w:rsid w:val="00EC3F4D"/>
    <w:rsid w:val="00ED3A1D"/>
    <w:rsid w:val="00EE04D0"/>
    <w:rsid w:val="00EE2A3D"/>
    <w:rsid w:val="00EF3FB7"/>
    <w:rsid w:val="00F00258"/>
    <w:rsid w:val="00F31D66"/>
    <w:rsid w:val="00F34201"/>
    <w:rsid w:val="00F412AA"/>
    <w:rsid w:val="00F523DC"/>
    <w:rsid w:val="00F746A3"/>
    <w:rsid w:val="00F94185"/>
    <w:rsid w:val="00F94B6A"/>
    <w:rsid w:val="00FA6976"/>
    <w:rsid w:val="00FB05B2"/>
    <w:rsid w:val="00FB7BBF"/>
    <w:rsid w:val="00FF419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1EDA38"/>
  <w15:docId w15:val="{13AC4246-7515-456D-854E-0007F6BE5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73F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73F5A"/>
    <w:rPr>
      <w:sz w:val="20"/>
      <w:szCs w:val="20"/>
    </w:rPr>
  </w:style>
  <w:style w:type="character" w:styleId="FootnoteReference">
    <w:name w:val="footnote reference"/>
    <w:basedOn w:val="DefaultParagraphFont"/>
    <w:uiPriority w:val="99"/>
    <w:semiHidden/>
    <w:unhideWhenUsed/>
    <w:rsid w:val="00573F5A"/>
    <w:rPr>
      <w:vertAlign w:val="superscript"/>
    </w:rPr>
  </w:style>
  <w:style w:type="paragraph" w:styleId="Header">
    <w:name w:val="header"/>
    <w:basedOn w:val="Normal"/>
    <w:link w:val="HeaderChar"/>
    <w:uiPriority w:val="99"/>
    <w:unhideWhenUsed/>
    <w:rsid w:val="008348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48B2"/>
  </w:style>
  <w:style w:type="paragraph" w:styleId="Footer">
    <w:name w:val="footer"/>
    <w:basedOn w:val="Normal"/>
    <w:link w:val="FooterChar"/>
    <w:uiPriority w:val="99"/>
    <w:unhideWhenUsed/>
    <w:rsid w:val="008348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48B2"/>
  </w:style>
  <w:style w:type="paragraph" w:styleId="Bibliography">
    <w:name w:val="Bibliography"/>
    <w:basedOn w:val="Normal"/>
    <w:next w:val="Normal"/>
    <w:uiPriority w:val="37"/>
    <w:unhideWhenUsed/>
    <w:rsid w:val="00AA3164"/>
  </w:style>
  <w:style w:type="paragraph" w:styleId="NoSpacing">
    <w:name w:val="No Spacing"/>
    <w:link w:val="NoSpacingChar"/>
    <w:uiPriority w:val="1"/>
    <w:qFormat/>
    <w:rsid w:val="000C3792"/>
    <w:pPr>
      <w:spacing w:after="0" w:line="240" w:lineRule="auto"/>
    </w:pPr>
    <w:rPr>
      <w:rFonts w:eastAsiaTheme="minorEastAsia"/>
    </w:rPr>
  </w:style>
  <w:style w:type="character" w:customStyle="1" w:styleId="NoSpacingChar">
    <w:name w:val="No Spacing Char"/>
    <w:basedOn w:val="DefaultParagraphFont"/>
    <w:link w:val="NoSpacing"/>
    <w:uiPriority w:val="1"/>
    <w:rsid w:val="000C3792"/>
    <w:rPr>
      <w:rFonts w:eastAsiaTheme="minorEastAsia"/>
    </w:rPr>
  </w:style>
  <w:style w:type="paragraph" w:styleId="BalloonText">
    <w:name w:val="Balloon Text"/>
    <w:basedOn w:val="Normal"/>
    <w:link w:val="BalloonTextChar"/>
    <w:uiPriority w:val="99"/>
    <w:semiHidden/>
    <w:unhideWhenUsed/>
    <w:rsid w:val="00782698"/>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82698"/>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02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Ecumenical discussions between Eastern Orthodox Chalcedonians and Oriental Orthodox Non-Chalcedonians have reached some major agreements in the last 30 years, but recently these talks have cooled. The 13th century Non-Chalcedonian bishop of the Syriac Orthodox Church, Bar Hebraeus, established many of the main talking points between the Chalcedonian imperial church, the Non-Ephesine Church of the East, and his own church. Bar Hebraeus’s encyclopedic knowledge came from a variety of sources, Christian and otherwise. He wrote on science, philosophy, theology, history, and more. He was a true polymath of the Syriac Renaissance. In this paper, I show the development of Bar Hebraeus’s ecumenical sympathies through several of his works with an emphasis on his Letter to Catholicos Dehna, the Book of the Dove, and his poems "On Disputations." The Book of the Dove shows his irenic ecumenism at its height, where he began as more reserved in his attitudes towards other churches. Inter-communion was not established in the 13th century, nor has it been established since. I conclude this paper with an examination of the current state of discussion between Chalcedonian and Non-Chalcedonian churches, with an aim to see how Bar Hebraeus’s Christological opinions might add to the discussion. He addressed the Christological differences, and agreed statements have been issued on these questions. It is now the liturgical and ecclesiastical differences that remain.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FDF631-C339-4081-991C-D67A34920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3158</Words>
  <Characters>18006</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Eradicating the Root of Hatred</vt:lpstr>
    </vt:vector>
  </TitlesOfParts>
  <Company/>
  <LinksUpToDate>false</LinksUpToDate>
  <CharactersWithSpaces>21122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Eradicating the Root of Hatred</dc:title>
  <dc:subject>A Survey of Bar Hebraeus's Ecumenism</dc:subject>
  <dc:creator>Patrick Conlin - Marquette University</dc:creator>
  <cp:keywords/>
  <dc:description/>
  <cp:lastModifiedBy>Katherine E Milco</cp:lastModifiedBy>
  <cp:revision>2</cp:revision>
  <cp:lastPrinted>2019-04-13T03:52:00Z</cp:lastPrinted>
  <dcterms:created xsi:type="dcterms:W3CDTF">2019-05-06T18:09:00Z</dcterms:created>
  <dcterms:modified xsi:type="dcterms:W3CDTF">2019-05-06T18:09:00Z</dcterms:modified>
  <cp:category>University of Wisconsin-Milwaukee Religious Student Organization 2019 Academic Conference: Religion and the Human Condition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id="KYlpWxSj"/&gt;&lt;style id="http://www.zotero.org/styles/chicago-note-bibliography" locale="en-US" hasBibliography="1" bibliographyStyleHasBeenSet="1"/&gt;&lt;prefs&gt;&lt;pref name="fieldType" value="Field"/&gt;&lt;pre</vt:lpwstr>
  </property>
  <property fmtid="{D5CDD505-2E9C-101B-9397-08002B2CF9AE}" pid="3" name="ZOTERO_PREF_2">
    <vt:lpwstr>f name="automaticJournalAbbreviations" value="true"/&gt;&lt;pref name="noteType" value="1"/&gt;&lt;/prefs&gt;&lt;/data&gt;</vt:lpwstr>
  </property>
</Properties>
</file>