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4408" w:rsidRPr="00081EEC" w:rsidRDefault="00464408" w:rsidP="00675164">
      <w:pPr>
        <w:spacing w:line="480" w:lineRule="auto"/>
        <w:rPr>
          <w:b/>
          <w:sz w:val="28"/>
          <w:u w:val="single"/>
        </w:rPr>
      </w:pPr>
    </w:p>
    <w:p w:rsidR="00081EEC" w:rsidRPr="00081EEC" w:rsidRDefault="00081EEC" w:rsidP="00081EEC">
      <w:pPr>
        <w:spacing w:line="480" w:lineRule="auto"/>
        <w:jc w:val="center"/>
        <w:rPr>
          <w:b/>
          <w:sz w:val="28"/>
          <w:u w:val="single"/>
        </w:rPr>
      </w:pPr>
      <w:r w:rsidRPr="00081EEC">
        <w:rPr>
          <w:b/>
          <w:sz w:val="28"/>
          <w:u w:val="single"/>
        </w:rPr>
        <w:t>British Multiculturalism and the Formation of Minority Identity: 1966-2005</w:t>
      </w:r>
    </w:p>
    <w:p w:rsidR="00081EEC" w:rsidRPr="00081EEC" w:rsidRDefault="00081EEC" w:rsidP="00081EEC">
      <w:pPr>
        <w:spacing w:line="480" w:lineRule="auto"/>
        <w:jc w:val="center"/>
        <w:rPr>
          <w:b/>
          <w:sz w:val="28"/>
        </w:rPr>
      </w:pPr>
      <w:r w:rsidRPr="00081EEC">
        <w:rPr>
          <w:b/>
          <w:sz w:val="28"/>
        </w:rPr>
        <w:t>By</w:t>
      </w:r>
    </w:p>
    <w:p w:rsidR="00081EEC" w:rsidRPr="00081EEC" w:rsidRDefault="00081EEC" w:rsidP="00081EEC">
      <w:pPr>
        <w:spacing w:line="480" w:lineRule="auto"/>
        <w:jc w:val="center"/>
        <w:rPr>
          <w:b/>
          <w:sz w:val="28"/>
        </w:rPr>
      </w:pPr>
      <w:r w:rsidRPr="00081EEC">
        <w:rPr>
          <w:b/>
          <w:sz w:val="28"/>
        </w:rPr>
        <w:t>Jake Israel</w:t>
      </w:r>
    </w:p>
    <w:p w:rsidR="00081EEC" w:rsidRPr="00081EEC" w:rsidRDefault="00081EEC" w:rsidP="00081EEC">
      <w:pPr>
        <w:spacing w:line="480" w:lineRule="auto"/>
        <w:jc w:val="center"/>
        <w:rPr>
          <w:b/>
        </w:rPr>
      </w:pPr>
      <w:r w:rsidRPr="00081EEC">
        <w:rPr>
          <w:b/>
        </w:rPr>
        <w:t>Honors Thesis Submitted in Partial Fulfillment of the Requirements for the Degree of Bachelor of Arts</w:t>
      </w:r>
    </w:p>
    <w:p w:rsidR="00081EEC" w:rsidRPr="00081EEC" w:rsidRDefault="00081EEC" w:rsidP="00081EEC">
      <w:pPr>
        <w:spacing w:line="480" w:lineRule="auto"/>
        <w:jc w:val="center"/>
        <w:rPr>
          <w:b/>
        </w:rPr>
      </w:pPr>
      <w:r w:rsidRPr="00081EEC">
        <w:rPr>
          <w:b/>
        </w:rPr>
        <w:t>Department of History, University of Wisconsin-Madison</w:t>
      </w:r>
    </w:p>
    <w:p w:rsidR="00081EEC" w:rsidRPr="00081EEC" w:rsidRDefault="00081EEC" w:rsidP="00081EEC">
      <w:pPr>
        <w:spacing w:line="480" w:lineRule="auto"/>
        <w:jc w:val="center"/>
        <w:rPr>
          <w:b/>
        </w:rPr>
      </w:pPr>
      <w:r w:rsidRPr="00081EEC">
        <w:rPr>
          <w:b/>
        </w:rPr>
        <w:t>Thesis Advisor: Laird Boswell</w:t>
      </w:r>
    </w:p>
    <w:p w:rsidR="00D67F74" w:rsidRPr="00081EEC" w:rsidRDefault="00081EEC" w:rsidP="00081EEC">
      <w:pPr>
        <w:spacing w:line="480" w:lineRule="auto"/>
        <w:jc w:val="center"/>
        <w:rPr>
          <w:b/>
          <w:sz w:val="28"/>
        </w:rPr>
      </w:pPr>
      <w:r w:rsidRPr="00081EEC">
        <w:rPr>
          <w:b/>
          <w:sz w:val="28"/>
        </w:rPr>
        <w:t>May 2011</w:t>
      </w:r>
    </w:p>
    <w:p w:rsidR="00D67F74" w:rsidRDefault="00D67F74" w:rsidP="00675164">
      <w:pPr>
        <w:spacing w:line="480" w:lineRule="auto"/>
        <w:rPr>
          <w:b/>
          <w:u w:val="single"/>
        </w:rPr>
      </w:pPr>
    </w:p>
    <w:p w:rsidR="00D67F74" w:rsidRDefault="00D67F74" w:rsidP="00675164">
      <w:pPr>
        <w:spacing w:line="480" w:lineRule="auto"/>
        <w:rPr>
          <w:b/>
          <w:u w:val="single"/>
        </w:rPr>
      </w:pPr>
    </w:p>
    <w:p w:rsidR="00D67F74" w:rsidRDefault="00D67F74" w:rsidP="00675164">
      <w:pPr>
        <w:spacing w:line="480" w:lineRule="auto"/>
        <w:rPr>
          <w:b/>
          <w:u w:val="single"/>
        </w:rPr>
      </w:pPr>
    </w:p>
    <w:p w:rsidR="00D67F74" w:rsidRDefault="00D67F74" w:rsidP="00675164">
      <w:pPr>
        <w:spacing w:line="480" w:lineRule="auto"/>
        <w:rPr>
          <w:b/>
          <w:u w:val="single"/>
        </w:rPr>
      </w:pPr>
    </w:p>
    <w:p w:rsidR="00D67F74" w:rsidRDefault="00D67F74" w:rsidP="00675164">
      <w:pPr>
        <w:spacing w:line="480" w:lineRule="auto"/>
        <w:rPr>
          <w:b/>
          <w:u w:val="single"/>
        </w:rPr>
      </w:pPr>
    </w:p>
    <w:p w:rsidR="00D67F74" w:rsidRDefault="00D67F74" w:rsidP="00675164">
      <w:pPr>
        <w:spacing w:line="480" w:lineRule="auto"/>
        <w:rPr>
          <w:b/>
          <w:u w:val="single"/>
        </w:rPr>
      </w:pPr>
    </w:p>
    <w:p w:rsidR="00D67F74" w:rsidRDefault="00D67F74" w:rsidP="00675164">
      <w:pPr>
        <w:spacing w:line="480" w:lineRule="auto"/>
        <w:rPr>
          <w:b/>
          <w:u w:val="single"/>
        </w:rPr>
      </w:pPr>
    </w:p>
    <w:p w:rsidR="00D67F74" w:rsidRDefault="00D67F74" w:rsidP="00675164">
      <w:pPr>
        <w:spacing w:line="480" w:lineRule="auto"/>
        <w:rPr>
          <w:b/>
          <w:u w:val="single"/>
        </w:rPr>
      </w:pPr>
    </w:p>
    <w:p w:rsidR="00D67F74" w:rsidRDefault="00D67F74" w:rsidP="00675164">
      <w:pPr>
        <w:spacing w:line="480" w:lineRule="auto"/>
        <w:rPr>
          <w:b/>
          <w:u w:val="single"/>
        </w:rPr>
      </w:pPr>
    </w:p>
    <w:p w:rsidR="00D67F74" w:rsidRDefault="00D67F74" w:rsidP="00675164">
      <w:pPr>
        <w:spacing w:line="480" w:lineRule="auto"/>
        <w:rPr>
          <w:b/>
          <w:u w:val="single"/>
        </w:rPr>
      </w:pPr>
    </w:p>
    <w:p w:rsidR="00D67F74" w:rsidRDefault="00D67F74" w:rsidP="00675164">
      <w:pPr>
        <w:spacing w:line="480" w:lineRule="auto"/>
        <w:rPr>
          <w:b/>
          <w:u w:val="single"/>
        </w:rPr>
      </w:pPr>
    </w:p>
    <w:p w:rsidR="00081EEC" w:rsidRDefault="00081EEC" w:rsidP="00675164">
      <w:pPr>
        <w:spacing w:line="480" w:lineRule="auto"/>
        <w:rPr>
          <w:b/>
          <w:u w:val="single"/>
        </w:rPr>
      </w:pPr>
    </w:p>
    <w:p w:rsidR="00675164" w:rsidRPr="00BC2E37" w:rsidRDefault="00BC2E37" w:rsidP="00675164">
      <w:pPr>
        <w:spacing w:line="480" w:lineRule="auto"/>
        <w:rPr>
          <w:b/>
          <w:u w:val="single"/>
        </w:rPr>
      </w:pPr>
      <w:r>
        <w:rPr>
          <w:b/>
          <w:u w:val="single"/>
        </w:rPr>
        <w:lastRenderedPageBreak/>
        <w:t>The Contemporary British Scenario</w:t>
      </w:r>
    </w:p>
    <w:p w:rsidR="008F0FE3" w:rsidRDefault="003A3A90" w:rsidP="008F0FE3">
      <w:pPr>
        <w:spacing w:line="480" w:lineRule="auto"/>
        <w:ind w:firstLine="720"/>
      </w:pPr>
      <w:r>
        <w:t>In more than half a century since</w:t>
      </w:r>
      <w:r w:rsidR="007D229E">
        <w:t xml:space="preserve"> the end of the Second World War,</w:t>
      </w:r>
      <w:r w:rsidR="00464408">
        <w:t xml:space="preserve"> British society has been characterized by a commitment to an integration model most commonly referred to as multicultural nationalism, or simply multiculturalism.</w:t>
      </w:r>
      <w:r w:rsidR="00E91BB2">
        <w:t xml:space="preserve"> British </w:t>
      </w:r>
      <w:r w:rsidR="008F0FE3">
        <w:t xml:space="preserve">multiculturalism </w:t>
      </w:r>
      <w:r w:rsidR="00B41478">
        <w:t>places much emphasis on</w:t>
      </w:r>
      <w:r w:rsidR="008F0FE3">
        <w:t xml:space="preserve"> </w:t>
      </w:r>
      <w:r w:rsidR="00B41478">
        <w:t xml:space="preserve">the maintenance of </w:t>
      </w:r>
      <w:r w:rsidR="00032DE9">
        <w:t xml:space="preserve">a </w:t>
      </w:r>
      <w:r w:rsidR="00B41478">
        <w:t>migrant’s</w:t>
      </w:r>
      <w:r w:rsidR="008F0FE3">
        <w:t xml:space="preserve"> individual or community identity</w:t>
      </w:r>
      <w:r w:rsidR="00B41478">
        <w:t xml:space="preserve">, </w:t>
      </w:r>
      <w:r w:rsidR="008F0FE3">
        <w:t xml:space="preserve">and </w:t>
      </w:r>
      <w:r w:rsidR="007D229E">
        <w:t xml:space="preserve">as a </w:t>
      </w:r>
      <w:r w:rsidR="00B41478">
        <w:t>result</w:t>
      </w:r>
      <w:r w:rsidR="008F0FE3">
        <w:t xml:space="preserve"> urges the development of ethnic enclaves.</w:t>
      </w:r>
      <w:r w:rsidR="008F0FE3">
        <w:rPr>
          <w:rStyle w:val="FootnoteReference"/>
        </w:rPr>
        <w:footnoteReference w:id="1"/>
      </w:r>
      <w:r w:rsidR="008F0FE3">
        <w:t xml:space="preserve"> </w:t>
      </w:r>
      <w:r w:rsidR="00B41478">
        <w:t>The emergence of</w:t>
      </w:r>
      <w:r w:rsidR="00E91BB2">
        <w:t xml:space="preserve"> highly</w:t>
      </w:r>
      <w:r w:rsidR="008F0FE3">
        <w:t xml:space="preserve"> concentrated ethnic neighborhoods </w:t>
      </w:r>
      <w:r w:rsidR="00B41478">
        <w:t>has created</w:t>
      </w:r>
      <w:r w:rsidR="008F0FE3">
        <w:t xml:space="preserve"> the impression that these immigrants seek </w:t>
      </w:r>
      <w:r w:rsidR="007D229E">
        <w:t>a life a</w:t>
      </w:r>
      <w:r w:rsidR="008F0FE3">
        <w:t>part</w:t>
      </w:r>
      <w:r w:rsidR="007D229E">
        <w:t xml:space="preserve"> from the rest of society</w:t>
      </w:r>
      <w:r w:rsidR="008F0FE3">
        <w:t xml:space="preserve"> or, in more aggressive terminology, that these immigrants seek to supplant the majority host culture and replace it with their own. Such ethnic concentration creates cleavages between immigrant communiti</w:t>
      </w:r>
      <w:r w:rsidR="00BC2E37">
        <w:t xml:space="preserve">es and the rest of society. </w:t>
      </w:r>
      <w:r w:rsidR="008F0FE3">
        <w:t xml:space="preserve">This </w:t>
      </w:r>
      <w:r w:rsidR="00BC2E37">
        <w:t xml:space="preserve">apparent </w:t>
      </w:r>
      <w:r w:rsidR="008F0FE3">
        <w:t>consequence of British multicultural</w:t>
      </w:r>
      <w:r w:rsidR="007771CE">
        <w:t xml:space="preserve">ism is evident in </w:t>
      </w:r>
      <w:r w:rsidR="008F0FE3">
        <w:t xml:space="preserve">Oldham, Burnley, and Bradford.  </w:t>
      </w:r>
    </w:p>
    <w:p w:rsidR="00C30CC8" w:rsidRDefault="008F0FE3" w:rsidP="008F0FE3">
      <w:pPr>
        <w:spacing w:line="480" w:lineRule="auto"/>
        <w:ind w:firstLine="720"/>
      </w:pPr>
      <w:r>
        <w:t xml:space="preserve">In 2001, the Bradford riots were the last in a series of three racially motivated riots in Northern England. The first of the riots </w:t>
      </w:r>
      <w:r w:rsidR="007771CE">
        <w:t xml:space="preserve">took place in </w:t>
      </w:r>
      <w:r>
        <w:t>Oldham in which a fight b</w:t>
      </w:r>
      <w:r w:rsidR="007D229E">
        <w:t xml:space="preserve">etween a Muslim </w:t>
      </w:r>
      <w:r w:rsidR="000F50FD">
        <w:t xml:space="preserve">and </w:t>
      </w:r>
      <w:r>
        <w:t>white youth resulted in a number of attacks on individuals and businesses. Several weeks later</w:t>
      </w:r>
      <w:r w:rsidR="007D229E">
        <w:t>,</w:t>
      </w:r>
      <w:r>
        <w:t xml:space="preserve"> racial violence flared in Burnley. According to the official government report, “It was clear…that the violent conduct and criminal damage was not spontaneous.”</w:t>
      </w:r>
      <w:r>
        <w:rPr>
          <w:rStyle w:val="FootnoteReference"/>
        </w:rPr>
        <w:footnoteReference w:id="2"/>
      </w:r>
      <w:r>
        <w:t xml:space="preserve"> The </w:t>
      </w:r>
      <w:r w:rsidR="007771CE">
        <w:t xml:space="preserve">initial </w:t>
      </w:r>
      <w:r>
        <w:t>violence</w:t>
      </w:r>
      <w:r w:rsidR="007771CE">
        <w:t xml:space="preserve"> that sparked the unrest was not racially motivated, but </w:t>
      </w:r>
      <w:r w:rsidR="005C2A43">
        <w:t xml:space="preserve">tensions between the communities of Burnley were so high that </w:t>
      </w:r>
      <w:r w:rsidR="00032DE9">
        <w:t xml:space="preserve">a </w:t>
      </w:r>
      <w:r w:rsidR="00E91BB2">
        <w:t xml:space="preserve">full out </w:t>
      </w:r>
      <w:r w:rsidR="00032DE9">
        <w:t>race riot</w:t>
      </w:r>
      <w:r w:rsidR="005C2A43">
        <w:t xml:space="preserve"> quickly developed. </w:t>
      </w:r>
      <w:r>
        <w:t xml:space="preserve">The last of the racially </w:t>
      </w:r>
      <w:r>
        <w:lastRenderedPageBreak/>
        <w:t xml:space="preserve">motivated incidents in 2001 took place in Bradford. The confrontation was again between white </w:t>
      </w:r>
      <w:r w:rsidR="005C2A43">
        <w:t xml:space="preserve">and </w:t>
      </w:r>
      <w:r w:rsidR="003322CB">
        <w:t>Muslim</w:t>
      </w:r>
      <w:r>
        <w:t xml:space="preserve"> </w:t>
      </w:r>
      <w:r w:rsidR="005C2A43">
        <w:t>youths</w:t>
      </w:r>
      <w:r>
        <w:t xml:space="preserve"> </w:t>
      </w:r>
      <w:r w:rsidR="00E91BB2">
        <w:t>and</w:t>
      </w:r>
      <w:r>
        <w:t xml:space="preserve"> ended in hundreds of injuries and millions of pounds in damages. Although </w:t>
      </w:r>
      <w:r w:rsidR="005C2A43">
        <w:t>white British males</w:t>
      </w:r>
      <w:r>
        <w:t xml:space="preserve"> had a central</w:t>
      </w:r>
      <w:r w:rsidR="003322CB">
        <w:t xml:space="preserve"> </w:t>
      </w:r>
      <w:r>
        <w:t>antagonis</w:t>
      </w:r>
      <w:r w:rsidR="005C2A43">
        <w:t xml:space="preserve">tic role in these disturbances </w:t>
      </w:r>
      <w:r>
        <w:t>it was by and large the young Muslim p</w:t>
      </w:r>
      <w:r w:rsidR="00B41478">
        <w:t>articipants that were demonized. I</w:t>
      </w:r>
      <w:r>
        <w:t>mages of angry Muslims quickly became the personification of a national nightmare.</w:t>
      </w:r>
      <w:r>
        <w:rPr>
          <w:rStyle w:val="FootnoteReference"/>
        </w:rPr>
        <w:footnoteReference w:id="3"/>
      </w:r>
      <w:r>
        <w:t xml:space="preserve"> Following the riots of the summer of 2001, positive rhetoric about the benefits and strengths of British multiculturalism and diversity came “to be counter-balanced by an integrationist, anti-Muslim rhetoric.”</w:t>
      </w:r>
      <w:r>
        <w:rPr>
          <w:rStyle w:val="FootnoteReference"/>
        </w:rPr>
        <w:footnoteReference w:id="4"/>
      </w:r>
      <w:r>
        <w:t xml:space="preserve"> Although Muslims were both perpetrators and victims of violence, they were very clearly portrayed as the former, and many attributed the racial, religious, and cultural differences of Muslim communities as the cause of such unrest. Furthermore, many</w:t>
      </w:r>
      <w:r w:rsidR="00E91BB2">
        <w:t xml:space="preserve"> observers blamed multiculturalism </w:t>
      </w:r>
      <w:r>
        <w:t>for reinforcing such differences between Muslims and mainstream British society.</w:t>
      </w:r>
      <w:r w:rsidR="00E91BB2">
        <w:t xml:space="preserve"> </w:t>
      </w:r>
      <w:r w:rsidR="00C30CC8">
        <w:t>By 2005</w:t>
      </w:r>
      <w:r w:rsidR="00B41478">
        <w:t xml:space="preserve"> multiculturalism was widely regarded as a failed integration model</w:t>
      </w:r>
      <w:r w:rsidR="00C30CC8">
        <w:t>. However, such an assessment stands in stark contr</w:t>
      </w:r>
      <w:r w:rsidR="000F50FD">
        <w:t>ast to the celebration</w:t>
      </w:r>
      <w:r w:rsidR="00C30CC8">
        <w:t xml:space="preserve"> of </w:t>
      </w:r>
      <w:r w:rsidR="00D96AB3">
        <w:t xml:space="preserve">the </w:t>
      </w:r>
      <w:r w:rsidR="000F50FD">
        <w:t xml:space="preserve">strength of </w:t>
      </w:r>
      <w:r w:rsidR="00C30CC8">
        <w:t xml:space="preserve">multiculturalism </w:t>
      </w:r>
      <w:r w:rsidR="000F50FD">
        <w:t>that occurred a mere five years earlier</w:t>
      </w:r>
      <w:r w:rsidR="00032DE9">
        <w:t>.</w:t>
      </w:r>
    </w:p>
    <w:p w:rsidR="00BD4948" w:rsidRDefault="00B670EC" w:rsidP="008F0FE3">
      <w:pPr>
        <w:spacing w:line="480" w:lineRule="auto"/>
        <w:ind w:firstLine="720"/>
      </w:pPr>
      <w:r>
        <w:t xml:space="preserve">The close of the twentieth century welcomed what was deemed the multicultural moment. Due to the supposed success of the multicultural model </w:t>
      </w:r>
      <w:r w:rsidR="00C81D08">
        <w:t>in accommodating Britain’s migrant minority population, a government sponsored report titled “The Future of Multi-Ethnic Britain,” urged Prime Minister Tony Blair to declare Britain a multicultural state.</w:t>
      </w:r>
      <w:r w:rsidR="00C81D08">
        <w:rPr>
          <w:rStyle w:val="FootnoteReference"/>
        </w:rPr>
        <w:footnoteReference w:id="5"/>
      </w:r>
      <w:r w:rsidR="00C81D08">
        <w:t xml:space="preserve"> The multicultural moment was also bolstered by the completion of the Stephen Lawrence Inquiry Report </w:t>
      </w:r>
      <w:r w:rsidR="006E5BCB">
        <w:t>in 1999, which identified institutional racism in the police and criminal</w:t>
      </w:r>
      <w:r w:rsidR="00B41478">
        <w:t xml:space="preserve"> justice system, and outlined</w:t>
      </w:r>
      <w:r w:rsidR="006E5BCB">
        <w:t xml:space="preserve"> means of combating racial discrimination and violence.</w:t>
      </w:r>
      <w:r w:rsidR="006E5BCB">
        <w:rPr>
          <w:rStyle w:val="FootnoteReference"/>
        </w:rPr>
        <w:footnoteReference w:id="6"/>
      </w:r>
      <w:r w:rsidR="006E5BCB">
        <w:t xml:space="preserve"> The inquiry report was a supposed victory for Britain’s minorities. </w:t>
      </w:r>
      <w:r w:rsidR="00794C7F">
        <w:t>Furthermore, Tony Blair asked</w:t>
      </w:r>
      <w:r w:rsidR="009B5782">
        <w:t xml:space="preserve"> in 2000</w:t>
      </w:r>
      <w:r w:rsidR="00794C7F">
        <w:t>, “How can we separate out the Celtic, the Roman, the Saxon…the Jewish, the Asian and the Caribbean and all other nations that have settled here? Why should we want to?”</w:t>
      </w:r>
      <w:r w:rsidR="00794C7F">
        <w:rPr>
          <w:rStyle w:val="FootnoteReference"/>
        </w:rPr>
        <w:footnoteReference w:id="7"/>
      </w:r>
      <w:r w:rsidR="00794C7F">
        <w:t xml:space="preserve"> </w:t>
      </w:r>
      <w:r w:rsidR="009B5782">
        <w:t>Blair’s</w:t>
      </w:r>
      <w:r w:rsidR="00794C7F">
        <w:t xml:space="preserve"> </w:t>
      </w:r>
      <w:r w:rsidR="009B5782">
        <w:t>questions were a seeming</w:t>
      </w:r>
      <w:r w:rsidR="005B7808">
        <w:t xml:space="preserve"> celebration of</w:t>
      </w:r>
      <w:r w:rsidR="00794C7F">
        <w:t xml:space="preserve"> British multiculturalism </w:t>
      </w:r>
      <w:r w:rsidR="00AC1AA8">
        <w:t xml:space="preserve">and </w:t>
      </w:r>
      <w:r w:rsidR="005B7808">
        <w:t>a reaffirmation</w:t>
      </w:r>
      <w:r w:rsidR="00AC1AA8">
        <w:t xml:space="preserve"> </w:t>
      </w:r>
      <w:r w:rsidR="00D96AB3">
        <w:t xml:space="preserve">of </w:t>
      </w:r>
      <w:r w:rsidR="00AC1AA8">
        <w:t xml:space="preserve">the benefits of difference. </w:t>
      </w:r>
      <w:r w:rsidR="004F2AB2">
        <w:t>One scho</w:t>
      </w:r>
      <w:r w:rsidR="008C3817">
        <w:t>lar, Will Kymlicka, even predic</w:t>
      </w:r>
      <w:r w:rsidR="004F2AB2">
        <w:t>ted that the overall “tre</w:t>
      </w:r>
      <w:r w:rsidR="00FD6028">
        <w:t>nd in the West was towards multi</w:t>
      </w:r>
      <w:r w:rsidR="004F2AB2">
        <w:t>culturalism,” as the ideal and most effect</w:t>
      </w:r>
      <w:r w:rsidR="00D96AB3">
        <w:t>ive</w:t>
      </w:r>
      <w:r w:rsidR="004F2AB2">
        <w:t xml:space="preserve"> integration model.</w:t>
      </w:r>
      <w:r w:rsidR="004F2AB2">
        <w:rPr>
          <w:rStyle w:val="FootnoteReference"/>
        </w:rPr>
        <w:footnoteReference w:id="8"/>
      </w:r>
      <w:r w:rsidR="004F2AB2">
        <w:t xml:space="preserve"> </w:t>
      </w:r>
      <w:r w:rsidR="005B7808">
        <w:t>However, within a year</w:t>
      </w:r>
      <w:r w:rsidR="009B5782">
        <w:t xml:space="preserve"> </w:t>
      </w:r>
      <w:r w:rsidR="005B7808">
        <w:t xml:space="preserve">questions about the strength, sustainability, and merits of the multicultural model began to be asked. By 2004, Trevor Phillips, then chairman of the Commission on Racial Equality, arguably the most important figure in minority </w:t>
      </w:r>
      <w:r w:rsidR="0036272A">
        <w:t>relations</w:t>
      </w:r>
      <w:r w:rsidR="005B7808">
        <w:t xml:space="preserve">, declared in an interview that Britain must kill of multiculturalism because it </w:t>
      </w:r>
      <w:r w:rsidR="003E69F5">
        <w:t>promotes</w:t>
      </w:r>
      <w:r w:rsidR="005B7808">
        <w:t xml:space="preserve"> </w:t>
      </w:r>
      <w:r w:rsidR="004039D4">
        <w:t>separateness</w:t>
      </w:r>
      <w:r w:rsidR="008C3817">
        <w:t xml:space="preserve"> </w:t>
      </w:r>
      <w:r w:rsidR="005B7808">
        <w:t>and</w:t>
      </w:r>
      <w:r w:rsidR="003E69F5">
        <w:t xml:space="preserve"> that</w:t>
      </w:r>
      <w:r w:rsidR="0036272A">
        <w:t xml:space="preserve"> </w:t>
      </w:r>
      <w:r w:rsidR="005B7808">
        <w:t xml:space="preserve">the nation was </w:t>
      </w:r>
      <w:r w:rsidR="003E69F5">
        <w:t>sleepwalking</w:t>
      </w:r>
      <w:r w:rsidR="005B7808">
        <w:t xml:space="preserve"> towards segregation.</w:t>
      </w:r>
      <w:r w:rsidR="005B7808">
        <w:rPr>
          <w:rStyle w:val="FootnoteReference"/>
        </w:rPr>
        <w:footnoteReference w:id="9"/>
      </w:r>
      <w:r w:rsidR="00BD4948">
        <w:t xml:space="preserve"> </w:t>
      </w:r>
    </w:p>
    <w:p w:rsidR="00120B01" w:rsidRDefault="00BD4948" w:rsidP="00700A7E">
      <w:pPr>
        <w:spacing w:line="480" w:lineRule="auto"/>
        <w:ind w:firstLine="720"/>
      </w:pPr>
      <w:r>
        <w:t>The question that this paper seeks to address is why did the multicultural model fail? More specifically, how did multiculturalism go from a celebrated and so-called successful</w:t>
      </w:r>
      <w:r w:rsidR="008A4E52">
        <w:t xml:space="preserve"> integration model to a policy considered to be responsible for segregation and violence? </w:t>
      </w:r>
      <w:r w:rsidR="00FA6983">
        <w:t>In order to answer these questions</w:t>
      </w:r>
      <w:r w:rsidR="008C3817">
        <w:t xml:space="preserve"> I first address the </w:t>
      </w:r>
      <w:r w:rsidR="00FA6983">
        <w:t>the context in which multiculturalism was formulated. Roy Jenkins defined the multicultural model in 1966</w:t>
      </w:r>
      <w:r w:rsidR="00120B01">
        <w:t xml:space="preserve"> to address the reality of </w:t>
      </w:r>
      <w:r w:rsidR="00DE24B8">
        <w:t>a</w:t>
      </w:r>
      <w:r w:rsidR="00120B01">
        <w:t xml:space="preserve"> growing immigrant </w:t>
      </w:r>
      <w:r w:rsidR="00DE24B8">
        <w:t>population</w:t>
      </w:r>
      <w:r w:rsidR="00120B01">
        <w:t xml:space="preserve">. The largest migrant </w:t>
      </w:r>
      <w:r w:rsidR="00DE24B8">
        <w:t>group</w:t>
      </w:r>
      <w:r w:rsidR="00120B01">
        <w:t xml:space="preserve"> at this time was the Afro-Caribbean minority that originated from the commonwealth countries in the West Indies. </w:t>
      </w:r>
      <w:r w:rsidR="006D1C31">
        <w:t>The</w:t>
      </w:r>
      <w:r w:rsidR="00DE24B8">
        <w:t xml:space="preserve"> </w:t>
      </w:r>
      <w:r w:rsidR="00DF3A4F">
        <w:t>history</w:t>
      </w:r>
      <w:r w:rsidR="006D1C31">
        <w:t xml:space="preserve"> of the Afro-Caribbean </w:t>
      </w:r>
      <w:r w:rsidR="00D96AB3">
        <w:t>immigrant community</w:t>
      </w:r>
      <w:r w:rsidR="006D1C31">
        <w:t xml:space="preserve"> lends insight to </w:t>
      </w:r>
      <w:r w:rsidR="00DE24B8">
        <w:t xml:space="preserve">the contemporary debate </w:t>
      </w:r>
      <w:r w:rsidR="00DF3A4F">
        <w:t>concerning</w:t>
      </w:r>
      <w:r w:rsidR="00044B43">
        <w:t xml:space="preserve"> multiculturalism,</w:t>
      </w:r>
      <w:r w:rsidR="00D96AB3">
        <w:t xml:space="preserve"> specifically whether multiculturalism was ever indeed a successful integration model.</w:t>
      </w:r>
      <w:r w:rsidR="00DE24B8">
        <w:t xml:space="preserve"> I study the development of British minority relations from the 1960s through the 1990s to better understand Britain’s accommodation of its minority populations and</w:t>
      </w:r>
      <w:r w:rsidR="00DF3A4F">
        <w:t xml:space="preserve"> the</w:t>
      </w:r>
      <w:r w:rsidR="00DE24B8">
        <w:t xml:space="preserve"> attempts made to properly integrate the immigrant community. And lastly, I revisit the recent controversy over multiculturalism to apply the history of Britain’s minority relations to the question of why multiculturalism failed.</w:t>
      </w:r>
    </w:p>
    <w:p w:rsidR="00700A7E" w:rsidRDefault="00700A7E" w:rsidP="00700A7E">
      <w:pPr>
        <w:spacing w:line="480" w:lineRule="auto"/>
        <w:ind w:firstLine="720"/>
      </w:pPr>
      <w:r>
        <w:t>These questions are significant and worthy of investigation because the mass migrations that occurred in the latter half of the twentieth century have forever changed the social and cultural landscape of the Western world, and the visibility and implications of such changes are just beginning to be realized and addressed. Questions, fears, and concerns a</w:t>
      </w:r>
      <w:r w:rsidR="00DF3A4F">
        <w:t xml:space="preserve">bout Muslim immigrant populations </w:t>
      </w:r>
      <w:r>
        <w:t>are discussed daily. I believe it is important to add a historical perspective and understanding to the present situation in Britain. In order to study Muslim minority relations and their impact on the British state it is useful to analyze the history and experience of other minority groups. It is also important to understand the context in which integrat</w:t>
      </w:r>
      <w:r w:rsidR="00044B43">
        <w:t xml:space="preserve">ion policy developed in order to compare it to the present. Studying the history of minority relations and integration policy lends understanding </w:t>
      </w:r>
      <w:r>
        <w:t xml:space="preserve">to the present situation and has the ability to diminish alarmist rhetoric that is founded on fear and distrust, and does not help rectify the present difficulties. The more we understand the closer we </w:t>
      </w:r>
      <w:r w:rsidR="00044B43">
        <w:t xml:space="preserve">are to </w:t>
      </w:r>
      <w:r>
        <w:t xml:space="preserve">a solution for the social cleavages that currently grip British society. </w:t>
      </w:r>
    </w:p>
    <w:p w:rsidR="00360104" w:rsidRDefault="00360104" w:rsidP="00BC2E37">
      <w:pPr>
        <w:spacing w:line="480" w:lineRule="auto"/>
      </w:pPr>
    </w:p>
    <w:p w:rsidR="008F0FE3" w:rsidRPr="00BC2E37" w:rsidRDefault="00393DF4" w:rsidP="00BC2E37">
      <w:pPr>
        <w:spacing w:line="480" w:lineRule="auto"/>
        <w:rPr>
          <w:b/>
          <w:u w:val="single"/>
        </w:rPr>
      </w:pPr>
      <w:r>
        <w:rPr>
          <w:b/>
          <w:u w:val="single"/>
        </w:rPr>
        <w:t>Post-War Migration and the Origins of Multicultural N</w:t>
      </w:r>
      <w:r w:rsidR="00BC2E37">
        <w:rPr>
          <w:b/>
          <w:u w:val="single"/>
        </w:rPr>
        <w:t>ationalism</w:t>
      </w:r>
    </w:p>
    <w:p w:rsidR="000E77F5" w:rsidRDefault="00D83BB5" w:rsidP="00D83BB5">
      <w:pPr>
        <w:spacing w:line="480" w:lineRule="auto"/>
        <w:ind w:firstLine="720"/>
      </w:pPr>
      <w:r>
        <w:t>In 1966, British home secretary Roy Jenkins, speaking to the newly formed Race Relations Board, defined integration “not as a flattening process of assimilation but as equal opportunity, accompanied by cultural diversity, in an atmosphere of mutual tolerance.”</w:t>
      </w:r>
      <w:r>
        <w:rPr>
          <w:rStyle w:val="FootnoteReference"/>
        </w:rPr>
        <w:footnoteReference w:id="10"/>
      </w:r>
      <w:r>
        <w:t xml:space="preserve"> Jenkins</w:t>
      </w:r>
      <w:r w:rsidR="007C7325">
        <w:t>’</w:t>
      </w:r>
      <w:r>
        <w:t xml:space="preserve"> vision for the future of British society in an era of mass immigration is regarded as the origin of British multicultural</w:t>
      </w:r>
      <w:r w:rsidR="00360104">
        <w:t>ism</w:t>
      </w:r>
      <w:r>
        <w:t xml:space="preserve">, which came to define British immigration and social policy for the latter half of the twentieth century. However, today, in the face of race riots and </w:t>
      </w:r>
      <w:r w:rsidR="00360104">
        <w:t>civil unrest</w:t>
      </w:r>
      <w:r>
        <w:t xml:space="preserve">, </w:t>
      </w:r>
      <w:r w:rsidR="00360104">
        <w:t>multiculturalism</w:t>
      </w:r>
      <w:r>
        <w:t xml:space="preserve">, </w:t>
      </w:r>
      <w:r w:rsidR="00360104">
        <w:t xml:space="preserve">is under attack and has been accused </w:t>
      </w:r>
      <w:r>
        <w:t>to be the source of the divisions and disruptions within British society. But if such statements about the bankruptcy of multiculturalism are to be considered seriously, then it is prudent to analyze the context in which Jenkins made his speech. When placed in the context of the 1958 Notting Hill Riots, in which white English youths perpetrated attacks against “coloured” West Indian immigrants, and Enoch Powell’s 1968 anti-immigration “Rivers of Blood” sp</w:t>
      </w:r>
      <w:r w:rsidR="00AB08D0">
        <w:t>eech, it is unclear if the multicultural vision was ever actually genuinely established and pursued.</w:t>
      </w:r>
    </w:p>
    <w:p w:rsidR="0046274A" w:rsidRDefault="000E77F5" w:rsidP="000E77F5">
      <w:pPr>
        <w:spacing w:line="480" w:lineRule="auto"/>
      </w:pPr>
      <w:r>
        <w:tab/>
        <w:t xml:space="preserve">The end of the Second World War marked the beginning of a new era in British history. </w:t>
      </w:r>
      <w:r w:rsidR="004A6A45">
        <w:t xml:space="preserve">Britain was </w:t>
      </w:r>
      <w:r w:rsidR="00041B44">
        <w:t xml:space="preserve">faced with the massive task of rebuilding </w:t>
      </w:r>
      <w:r w:rsidR="004A6A45">
        <w:t>a devastated nation. Post-war reconstruction and the subsequent years of economic developmen</w:t>
      </w:r>
      <w:r w:rsidR="00AA4EAA">
        <w:t xml:space="preserve">t and prosperity resulted in a </w:t>
      </w:r>
      <w:r w:rsidR="004A6A45">
        <w:t xml:space="preserve">considerable shortage of labour in </w:t>
      </w:r>
      <w:r w:rsidR="00E24C6A">
        <w:t>Britain</w:t>
      </w:r>
      <w:r w:rsidR="004A6A45">
        <w:t xml:space="preserve">, particularly </w:t>
      </w:r>
      <w:r w:rsidR="00AA4EAA">
        <w:t>in unskilled jobs</w:t>
      </w:r>
      <w:r w:rsidR="004A6A45">
        <w:t xml:space="preserve"> that lasted </w:t>
      </w:r>
      <w:r w:rsidR="0018021F">
        <w:t>through</w:t>
      </w:r>
      <w:r w:rsidR="004A6A45">
        <w:t xml:space="preserve"> the 1950s and into the 1960s.</w:t>
      </w:r>
      <w:r w:rsidR="004A6A45">
        <w:rPr>
          <w:rStyle w:val="FootnoteReference"/>
        </w:rPr>
        <w:footnoteReference w:id="11"/>
      </w:r>
      <w:r w:rsidR="004A6A45">
        <w:t xml:space="preserve"> This state of affairs is attributed for the stimulation of </w:t>
      </w:r>
      <w:r w:rsidR="003C0DC2">
        <w:t>large-scale</w:t>
      </w:r>
      <w:r w:rsidR="004A6A45">
        <w:t xml:space="preserve"> immigration from Commonwealth countries to Britain. Of all the immigrants arriving in Britain in the middle of the twentieth century, none attracted as much attention </w:t>
      </w:r>
      <w:r w:rsidR="00550F76">
        <w:t xml:space="preserve">from whites as West Indian men, who </w:t>
      </w:r>
      <w:r w:rsidR="00FD4315">
        <w:t>were the first non-white group</w:t>
      </w:r>
      <w:r w:rsidR="0078651D">
        <w:t xml:space="preserve"> to settle</w:t>
      </w:r>
      <w:r w:rsidR="00FA03B2">
        <w:t xml:space="preserve"> in large numbers. During WWII </w:t>
      </w:r>
      <w:r w:rsidR="0078651D">
        <w:t>some ten thousand West Indians arrived as volun</w:t>
      </w:r>
      <w:r w:rsidR="00550F76">
        <w:t xml:space="preserve">teers to fight for the British, and they quickly </w:t>
      </w:r>
      <w:r w:rsidR="0078651D">
        <w:t xml:space="preserve">outnumbered Britain’s entire pre-war black population. Such a pre-war reality highlights the homogeneity of the British </w:t>
      </w:r>
      <w:r w:rsidR="00550F76">
        <w:t xml:space="preserve">state </w:t>
      </w:r>
      <w:r w:rsidR="00FA03B2">
        <w:t>entering</w:t>
      </w:r>
      <w:r w:rsidR="00550F76">
        <w:t xml:space="preserve"> </w:t>
      </w:r>
      <w:r w:rsidR="00FA30DC">
        <w:t xml:space="preserve">the </w:t>
      </w:r>
      <w:r w:rsidR="00550F76">
        <w:t xml:space="preserve">era of mass migration and offers an explanation </w:t>
      </w:r>
      <w:r w:rsidR="00FA30DC">
        <w:t>to</w:t>
      </w:r>
      <w:r w:rsidR="00FA03B2">
        <w:t xml:space="preserve"> the way native British reacted towards the arrival of large numbers of non-white people. </w:t>
      </w:r>
      <w:r w:rsidR="0046274A">
        <w:t>British people were initially “confused and perplexed by the newcomers,” as many had never set eyes on a black person before.</w:t>
      </w:r>
      <w:r w:rsidR="0046274A">
        <w:rPr>
          <w:rStyle w:val="FootnoteReference"/>
        </w:rPr>
        <w:footnoteReference w:id="12"/>
      </w:r>
      <w:r w:rsidR="0046274A">
        <w:t xml:space="preserve"> </w:t>
      </w:r>
      <w:r w:rsidR="007C7325">
        <w:t>The p</w:t>
      </w:r>
      <w:r w:rsidR="00FA03B2">
        <w:t xml:space="preserve">ost-war mass migration </w:t>
      </w:r>
      <w:r w:rsidR="0078651D">
        <w:t xml:space="preserve">allowed West Indians and whites to interact in a less </w:t>
      </w:r>
      <w:r w:rsidR="00FA03B2">
        <w:t>structured</w:t>
      </w:r>
      <w:r w:rsidR="0078651D">
        <w:t xml:space="preserve"> and artificial manner than had been the case </w:t>
      </w:r>
      <w:r w:rsidR="003C0DC2">
        <w:t xml:space="preserve">in </w:t>
      </w:r>
      <w:r w:rsidR="0078651D">
        <w:t xml:space="preserve">the colonial </w:t>
      </w:r>
      <w:r w:rsidR="00FA03B2">
        <w:t>Caribbean</w:t>
      </w:r>
      <w:r w:rsidR="0046274A">
        <w:t xml:space="preserve"> </w:t>
      </w:r>
      <w:r w:rsidR="00FA30DC">
        <w:t>as they were now supposedly equals, rather than masters and subjects</w:t>
      </w:r>
      <w:r w:rsidR="0046274A">
        <w:t>.</w:t>
      </w:r>
      <w:r w:rsidR="002A2AE6">
        <w:rPr>
          <w:rStyle w:val="FootnoteReference"/>
        </w:rPr>
        <w:footnoteReference w:id="13"/>
      </w:r>
      <w:r w:rsidR="00FA30DC">
        <w:t xml:space="preserve"> However, </w:t>
      </w:r>
      <w:r w:rsidR="00301A24">
        <w:t>any of the migrant population’s expectations to be treated with respect and dignity by their new British neighbors were quickly disappointed.</w:t>
      </w:r>
      <w:r w:rsidR="00FA30DC">
        <w:t xml:space="preserve">  </w:t>
      </w:r>
    </w:p>
    <w:p w:rsidR="00FA6C27" w:rsidRDefault="002A2AE6" w:rsidP="008E5E56">
      <w:pPr>
        <w:spacing w:line="480" w:lineRule="auto"/>
      </w:pPr>
      <w:r>
        <w:tab/>
        <w:t>The predominantly male West Indian immigrant population had arrived in Britain “considering themselves to be British and expecting to be treated as such, yet they found the very rudiments of respectability – a job, a wife, a home, independence – being withheld by a host society which betrayed their expectations.”</w:t>
      </w:r>
      <w:r>
        <w:rPr>
          <w:rStyle w:val="FootnoteReference"/>
        </w:rPr>
        <w:footnoteReference w:id="14"/>
      </w:r>
      <w:r w:rsidR="002E2886">
        <w:t xml:space="preserve"> West Indians, as well as other commonwealth citizens, had grown up und</w:t>
      </w:r>
      <w:r w:rsidR="008E5E56">
        <w:t xml:space="preserve">er colonial rule and, for many </w:t>
      </w:r>
      <w:r w:rsidR="002E2886">
        <w:t xml:space="preserve">their only contact with white men </w:t>
      </w:r>
      <w:r w:rsidR="007C7325">
        <w:t>was</w:t>
      </w:r>
      <w:r w:rsidR="00571F50">
        <w:t xml:space="preserve"> with those o</w:t>
      </w:r>
      <w:r w:rsidR="00B04000">
        <w:t xml:space="preserve">f the </w:t>
      </w:r>
      <w:r w:rsidR="008E5E56">
        <w:t>upper class</w:t>
      </w:r>
      <w:r w:rsidR="00571F50">
        <w:t xml:space="preserve">. As a result, West Indians came to equate British masculinity with gentlemanliness and </w:t>
      </w:r>
      <w:r w:rsidR="003C0DC2">
        <w:t xml:space="preserve">many viewed </w:t>
      </w:r>
      <w:r w:rsidR="00571F50">
        <w:t xml:space="preserve">the archetypal white British man </w:t>
      </w:r>
      <w:r w:rsidR="003C0DC2">
        <w:t>as</w:t>
      </w:r>
      <w:r w:rsidR="00571F50">
        <w:t xml:space="preserve"> “sporting, leisured, well-bred, well-read, reserv</w:t>
      </w:r>
      <w:r w:rsidR="003C0DC2">
        <w:t xml:space="preserve">ed, and </w:t>
      </w:r>
      <w:r w:rsidR="003C0DC2">
        <w:sym w:font="Symbol" w:char="F05B"/>
      </w:r>
      <w:r w:rsidR="003C0DC2">
        <w:t>an</w:t>
      </w:r>
      <w:r w:rsidR="003C0DC2">
        <w:sym w:font="Symbol" w:char="F05D"/>
      </w:r>
      <w:r w:rsidR="003C0DC2">
        <w:t xml:space="preserve"> assured authority</w:t>
      </w:r>
      <w:r w:rsidR="00571F50">
        <w:t>”</w:t>
      </w:r>
      <w:r w:rsidR="003C0DC2">
        <w:t xml:space="preserve"> figure.</w:t>
      </w:r>
      <w:r w:rsidR="00571F50">
        <w:rPr>
          <w:rStyle w:val="FootnoteReference"/>
        </w:rPr>
        <w:footnoteReference w:id="15"/>
      </w:r>
      <w:r w:rsidR="00D70B25">
        <w:t xml:space="preserve"> In contrast to the West Indian’s idealized vision of British masculinity and culture, White </w:t>
      </w:r>
      <w:r w:rsidR="00BC2E37">
        <w:t>Britons</w:t>
      </w:r>
      <w:r w:rsidR="00D70B25">
        <w:t xml:space="preserve">, </w:t>
      </w:r>
      <w:r w:rsidR="00F07C5E">
        <w:t xml:space="preserve">with limited information available about the West Indians, “latched onto the easiest and most accessible information,” which was largely based on long-held beliefs of white superiority and other myths perpetuated by a history of imperialism and homogeneity. </w:t>
      </w:r>
      <w:r w:rsidR="00F07C5E">
        <w:rPr>
          <w:rStyle w:val="FootnoteReference"/>
        </w:rPr>
        <w:footnoteReference w:id="16"/>
      </w:r>
      <w:r w:rsidR="00F07C5E">
        <w:t xml:space="preserve"> British whites customarily regarded West Indians as vicious, indolent, violent, licentious, and antifamilial</w:t>
      </w:r>
      <w:r w:rsidR="008E5E56">
        <w:t>, and treated them accordingly.</w:t>
      </w:r>
      <w:r w:rsidR="00F07C5E">
        <w:rPr>
          <w:rStyle w:val="FootnoteReference"/>
        </w:rPr>
        <w:footnoteReference w:id="17"/>
      </w:r>
      <w:r w:rsidR="00F07C5E">
        <w:t xml:space="preserve"> </w:t>
      </w:r>
    </w:p>
    <w:p w:rsidR="00B04000" w:rsidRDefault="00FA6C27" w:rsidP="000E77F5">
      <w:pPr>
        <w:spacing w:line="480" w:lineRule="auto"/>
      </w:pPr>
      <w:r>
        <w:tab/>
        <w:t xml:space="preserve">Upon their arrival in Britain, it quickly became clear to the West Indians </w:t>
      </w:r>
      <w:r w:rsidR="00663636">
        <w:t xml:space="preserve">that, as a result of generations of imperial rule, “racial distinctions </w:t>
      </w:r>
      <w:r w:rsidR="003C0DC2">
        <w:sym w:font="Symbol" w:char="F05B"/>
      </w:r>
      <w:r w:rsidR="003C0DC2">
        <w:t>were</w:t>
      </w:r>
      <w:r w:rsidR="003C0DC2">
        <w:sym w:font="Symbol" w:char="F05D"/>
      </w:r>
      <w:r w:rsidR="003C0DC2">
        <w:t xml:space="preserve"> </w:t>
      </w:r>
      <w:r w:rsidR="00663636">
        <w:t xml:space="preserve">built into British cultural definitions,” and that most British </w:t>
      </w:r>
      <w:r w:rsidR="003C0DC2">
        <w:t>were</w:t>
      </w:r>
      <w:r w:rsidR="00663636">
        <w:t xml:space="preserve"> engrained with the belief that it is a good thing to be British, and a condition for being British was being white.</w:t>
      </w:r>
      <w:r w:rsidR="00663636">
        <w:rPr>
          <w:rStyle w:val="FootnoteReference"/>
        </w:rPr>
        <w:footnoteReference w:id="18"/>
      </w:r>
      <w:r w:rsidR="00663636">
        <w:t xml:space="preserve"> In the British understanding, to be non-white </w:t>
      </w:r>
      <w:r w:rsidR="00B04000">
        <w:t>meant</w:t>
      </w:r>
      <w:r w:rsidR="00663636">
        <w:t xml:space="preserve"> you </w:t>
      </w:r>
      <w:r w:rsidR="00B04000">
        <w:t>were</w:t>
      </w:r>
      <w:r w:rsidR="00663636">
        <w:t xml:space="preserve"> a subject, and, thereby inferior. West Indians quickly filled “the dirtiest, most boring, and worst paid jo</w:t>
      </w:r>
      <w:r w:rsidR="00F97B79">
        <w:t xml:space="preserve">bs,” and learned that managers </w:t>
      </w:r>
      <w:r w:rsidR="00663636">
        <w:t>were willing to employ colored workers only when they could not find alternative sources of labor.</w:t>
      </w:r>
      <w:r w:rsidR="00663636">
        <w:rPr>
          <w:rStyle w:val="FootnoteReference"/>
        </w:rPr>
        <w:footnoteReference w:id="19"/>
      </w:r>
      <w:r w:rsidR="00663636">
        <w:t xml:space="preserve"> This meant that the black worker tended to obtain the job that whites valued and desired least. </w:t>
      </w:r>
    </w:p>
    <w:p w:rsidR="007A2780" w:rsidRDefault="003C0DC2" w:rsidP="00B04000">
      <w:pPr>
        <w:spacing w:line="480" w:lineRule="auto"/>
        <w:ind w:firstLine="720"/>
      </w:pPr>
      <w:r>
        <w:t>Many of the West Indians had arrived with some degree of</w:t>
      </w:r>
      <w:r w:rsidR="00AC05AA">
        <w:t xml:space="preserve"> skilled training and education, and </w:t>
      </w:r>
      <w:r w:rsidR="007A2780">
        <w:t xml:space="preserve">soon </w:t>
      </w:r>
      <w:r w:rsidR="00AC05AA">
        <w:t xml:space="preserve">became frustrated </w:t>
      </w:r>
      <w:r w:rsidR="001F34C9">
        <w:t>that they were being denied</w:t>
      </w:r>
      <w:r w:rsidR="00AC05AA">
        <w:t xml:space="preserve"> the full use of their skills and abilities. Peter Wright argues that it is not the skills or attributes that an immigrant has, but it is the stereotypes and pre-determined expectations of the employer that determine job placement: “The decisions which the employers make will be based not so much on the actual attributes of the immigrant population as upon what they believe these attributes to be.”</w:t>
      </w:r>
      <w:r w:rsidR="00AC05AA">
        <w:rPr>
          <w:rStyle w:val="FootnoteReference"/>
        </w:rPr>
        <w:footnoteReference w:id="20"/>
      </w:r>
      <w:r w:rsidR="00AC05AA">
        <w:t xml:space="preserve"> </w:t>
      </w:r>
      <w:r w:rsidR="007A2780">
        <w:t xml:space="preserve">West Indians were expected to fill the jobs believed to be below the dignity of whites, and furthermore, they were expected to display a “courteous subservience and contentment,” with their menial employment “out of </w:t>
      </w:r>
      <w:r w:rsidR="00E24C6A">
        <w:t>gratitude</w:t>
      </w:r>
      <w:r w:rsidR="007A2780">
        <w:t xml:space="preserve"> to their white task-masters.”</w:t>
      </w:r>
      <w:r w:rsidR="007A2780">
        <w:rPr>
          <w:rStyle w:val="FootnoteReference"/>
        </w:rPr>
        <w:footnoteReference w:id="21"/>
      </w:r>
      <w:r w:rsidR="0018021F">
        <w:t xml:space="preserve"> Such indignities explain</w:t>
      </w:r>
      <w:r w:rsidR="007A2780">
        <w:t xml:space="preserve"> how many West Indians felt that the high</w:t>
      </w:r>
      <w:r w:rsidR="001F34C9">
        <w:t xml:space="preserve">er </w:t>
      </w:r>
      <w:r w:rsidR="00F97B79">
        <w:t xml:space="preserve">wages </w:t>
      </w:r>
      <w:r w:rsidR="001F34C9">
        <w:t>they earned in Britain could not compensate for the humiliation and discrimination they were subjected to.</w:t>
      </w:r>
      <w:r w:rsidR="007A2780">
        <w:rPr>
          <w:rStyle w:val="FootnoteReference"/>
        </w:rPr>
        <w:footnoteReference w:id="22"/>
      </w:r>
    </w:p>
    <w:p w:rsidR="00282F6F" w:rsidRDefault="00AD07A4" w:rsidP="006E7164">
      <w:pPr>
        <w:spacing w:line="480" w:lineRule="auto"/>
        <w:ind w:firstLine="720"/>
      </w:pPr>
      <w:r>
        <w:t xml:space="preserve">In times of economic </w:t>
      </w:r>
      <w:r w:rsidR="00E24C6A">
        <w:t>hardship</w:t>
      </w:r>
      <w:r>
        <w:t>, such as when unemp</w:t>
      </w:r>
      <w:r w:rsidR="00F97B79">
        <w:t xml:space="preserve">loyment began to rise in 1956, </w:t>
      </w:r>
      <w:r>
        <w:t>black</w:t>
      </w:r>
      <w:r w:rsidR="00F97B79">
        <w:t xml:space="preserve">s </w:t>
      </w:r>
      <w:r>
        <w:t>wer</w:t>
      </w:r>
      <w:r w:rsidR="00F97B79">
        <w:t>e the first to lose their jobs</w:t>
      </w:r>
      <w:r>
        <w:t xml:space="preserve"> and by 1958, “over 8 per cent of black people in Britain – 17,000 – were jobless compared with only 2 per cent unemployment among whites.”</w:t>
      </w:r>
      <w:r>
        <w:rPr>
          <w:rStyle w:val="FootnoteReference"/>
        </w:rPr>
        <w:footnoteReference w:id="23"/>
      </w:r>
      <w:r>
        <w:t xml:space="preserve"> </w:t>
      </w:r>
      <w:r w:rsidR="00B04000">
        <w:t>Furthermore, to add insult to injury, high</w:t>
      </w:r>
      <w:r w:rsidR="0090731C">
        <w:t xml:space="preserve"> unemployment statistics amongst the black community elicited claims by white British that the West Indians were living off the state, at the tax payers expense, or worse yet, and widely believed, living off the prostitution of white women.</w:t>
      </w:r>
      <w:r w:rsidR="006E7164">
        <w:t xml:space="preserve"> Such beliefs were taken so seriously that they even came to the attention of the Home Secretary</w:t>
      </w:r>
      <w:r w:rsidR="0035699A">
        <w:t xml:space="preserve"> and were addressed in Home Office Reports</w:t>
      </w:r>
      <w:r w:rsidR="006E7164">
        <w:t>: “Complaints are becoming more frequent that large numbers of coloured people are living on national assistance or the immoral earnings of white women.”</w:t>
      </w:r>
      <w:r w:rsidR="006E7164">
        <w:rPr>
          <w:rStyle w:val="FootnoteReference"/>
        </w:rPr>
        <w:footnoteReference w:id="24"/>
      </w:r>
      <w:r w:rsidR="006E7164">
        <w:t xml:space="preserve"> </w:t>
      </w:r>
      <w:r w:rsidR="00F37E85">
        <w:t xml:space="preserve">Concerns about the behavior of black settlers in the late 1940s and 1950s clustered around a range of anxieties and images in which issues of sexuality and miscegenation were at the fore. </w:t>
      </w:r>
      <w:r w:rsidR="004708BD">
        <w:t xml:space="preserve">In a Gallup poll conducted </w:t>
      </w:r>
      <w:r w:rsidR="006E7164">
        <w:t>at</w:t>
      </w:r>
      <w:r w:rsidR="004708BD">
        <w:t xml:space="preserve"> the time of the 1958 race riots, thirty-four percent of whites argued blacks should not be able to compete equally for jobs, fifty-four percent believed blacks should not be able to enter housing lists on the same conditions, and seventy-one percent of respondents were opposed to racial intermarriage.</w:t>
      </w:r>
      <w:r w:rsidR="004708BD">
        <w:rPr>
          <w:rStyle w:val="FootnoteReference"/>
        </w:rPr>
        <w:footnoteReference w:id="25"/>
      </w:r>
      <w:r w:rsidR="00BF2F98">
        <w:t xml:space="preserve"> </w:t>
      </w:r>
      <w:r w:rsidR="00042DE6">
        <w:t>The lazy, yet se</w:t>
      </w:r>
      <w:r w:rsidR="00FC17B8">
        <w:t>xually virile</w:t>
      </w:r>
      <w:r w:rsidR="00042DE6">
        <w:t xml:space="preserve">, black man became </w:t>
      </w:r>
      <w:r w:rsidR="00FC17B8">
        <w:t>the image of a national nightmare that caused white Britons to feel “that their only securities in a hostile world – their community and their whiteness – were under siege,” and the rhetoric of politicians slowly began to support these sentiments.</w:t>
      </w:r>
      <w:r w:rsidR="00FC17B8">
        <w:rPr>
          <w:rStyle w:val="FootnoteReference"/>
        </w:rPr>
        <w:footnoteReference w:id="26"/>
      </w:r>
    </w:p>
    <w:p w:rsidR="00393DF4" w:rsidRDefault="00FC17B8" w:rsidP="000E77F5">
      <w:pPr>
        <w:spacing w:line="480" w:lineRule="auto"/>
      </w:pPr>
      <w:r>
        <w:tab/>
        <w:t xml:space="preserve">In April 1958, Conservative James Lindsay asked the House of Commons, in light of an emerging recession, if it was not prudent to stop West Indian labor migration. Lindsay expressed concern that Britain was on a path to becoming a multi-racial society and he referenced an apparent tendency among the West Indian population to ‘separate themselves off into certain jobs and housing districts,’ </w:t>
      </w:r>
      <w:r w:rsidR="00AE644E">
        <w:t>and that if the government did not do anything to stop the flow of black people, the white population may have to take matters into their own hands.</w:t>
      </w:r>
      <w:r w:rsidR="00AE644E">
        <w:rPr>
          <w:rStyle w:val="FootnoteReference"/>
        </w:rPr>
        <w:footnoteReference w:id="27"/>
      </w:r>
      <w:r w:rsidR="00AE644E">
        <w:t xml:space="preserve"> Lindsay was clearly misguided in his suspicion of the separatist tendencies of the West Indian population, which at this juncture still sought </w:t>
      </w:r>
      <w:r w:rsidR="00F96A35">
        <w:t>assimilation</w:t>
      </w:r>
      <w:r w:rsidR="00AE644E">
        <w:t xml:space="preserve"> and acceptance </w:t>
      </w:r>
      <w:r w:rsidR="00F96A35">
        <w:t>into</w:t>
      </w:r>
      <w:r w:rsidR="00AE644E">
        <w:t xml:space="preserve"> the white community</w:t>
      </w:r>
      <w:r w:rsidR="00F96A35">
        <w:t xml:space="preserve">. Furthermore, </w:t>
      </w:r>
      <w:r w:rsidR="00C15334">
        <w:t>most of West Indian population’s employment and housing options were largely determined by pervasive discriminatory practices</w:t>
      </w:r>
      <w:r w:rsidR="00AE644E">
        <w:t xml:space="preserve">. </w:t>
      </w:r>
      <w:r w:rsidR="003B1F02">
        <w:t>The</w:t>
      </w:r>
      <w:r w:rsidR="00C15334">
        <w:t xml:space="preserve"> West Indian population still coveted better</w:t>
      </w:r>
      <w:r w:rsidR="00AE644E">
        <w:t xml:space="preserve"> jobs, living conditions, and to the chagrin of white men, white women. However, Lindsay was </w:t>
      </w:r>
      <w:r w:rsidR="003B1F02">
        <w:t>correct</w:t>
      </w:r>
      <w:r w:rsidR="00AE644E">
        <w:t xml:space="preserve"> in his recognition that the white community had reached a threshold and no longer wished to sit idly by as their government continued to permit the free admission of non-white migrants. </w:t>
      </w:r>
      <w:r w:rsidR="009D65DC">
        <w:t xml:space="preserve">Pansey Jeffry, who came to Britain in the late 1940s </w:t>
      </w:r>
      <w:r w:rsidR="00F96A35">
        <w:t>as a student</w:t>
      </w:r>
      <w:r w:rsidR="009D65DC">
        <w:t xml:space="preserve"> but returned to British Guiana several years later, discussed a noticeably different atmosphere in Britain upon her return in 1956: “</w:t>
      </w:r>
      <w:r w:rsidR="005F482A">
        <w:t>England had changed completely because the tolerance had gone and there was the beginning of anger.”</w:t>
      </w:r>
      <w:r w:rsidR="005F482A">
        <w:rPr>
          <w:rStyle w:val="FootnoteReference"/>
        </w:rPr>
        <w:footnoteReference w:id="28"/>
      </w:r>
      <w:r w:rsidR="005F482A">
        <w:t xml:space="preserve"> </w:t>
      </w:r>
      <w:r w:rsidR="00AE644E">
        <w:t xml:space="preserve">The turn from tolerance to </w:t>
      </w:r>
      <w:r w:rsidR="00C15334">
        <w:t>hostility</w:t>
      </w:r>
      <w:r w:rsidR="00AE644E">
        <w:t xml:space="preserve"> </w:t>
      </w:r>
      <w:r w:rsidR="00C15334">
        <w:t xml:space="preserve">became evident </w:t>
      </w:r>
      <w:r w:rsidR="00AE644E">
        <w:t>in the summer of 1958.</w:t>
      </w:r>
    </w:p>
    <w:p w:rsidR="00F96A35" w:rsidRDefault="00F96A35" w:rsidP="00130F2F">
      <w:pPr>
        <w:tabs>
          <w:tab w:val="left" w:pos="900"/>
        </w:tabs>
        <w:rPr>
          <w:b/>
          <w:u w:val="single"/>
        </w:rPr>
      </w:pPr>
    </w:p>
    <w:p w:rsidR="00F96A35" w:rsidRDefault="00F96A35" w:rsidP="00130F2F">
      <w:pPr>
        <w:tabs>
          <w:tab w:val="left" w:pos="900"/>
        </w:tabs>
        <w:rPr>
          <w:b/>
          <w:u w:val="single"/>
        </w:rPr>
      </w:pPr>
    </w:p>
    <w:p w:rsidR="00D641AB" w:rsidRDefault="00D641AB" w:rsidP="00130F2F">
      <w:pPr>
        <w:tabs>
          <w:tab w:val="left" w:pos="900"/>
        </w:tabs>
        <w:rPr>
          <w:b/>
          <w:u w:val="single"/>
        </w:rPr>
      </w:pPr>
    </w:p>
    <w:p w:rsidR="00130F2F" w:rsidRPr="00AA48F5" w:rsidRDefault="00130F2F" w:rsidP="00130F2F">
      <w:pPr>
        <w:tabs>
          <w:tab w:val="left" w:pos="900"/>
        </w:tabs>
        <w:rPr>
          <w:b/>
          <w:u w:val="single"/>
        </w:rPr>
      </w:pPr>
      <w:r>
        <w:rPr>
          <w:b/>
          <w:u w:val="single"/>
        </w:rPr>
        <w:t>Notting Hill Race Riots</w:t>
      </w:r>
    </w:p>
    <w:p w:rsidR="00130F2F" w:rsidRDefault="00130F2F" w:rsidP="00130F2F">
      <w:pPr>
        <w:tabs>
          <w:tab w:val="left" w:pos="900"/>
        </w:tabs>
        <w:ind w:left="450"/>
      </w:pPr>
    </w:p>
    <w:p w:rsidR="00130F2F" w:rsidRDefault="00130F2F" w:rsidP="00392AD6">
      <w:pPr>
        <w:tabs>
          <w:tab w:val="left" w:pos="900"/>
        </w:tabs>
        <w:ind w:left="450" w:right="540"/>
      </w:pPr>
      <w:r>
        <w:t>‘We had to put our foot down,’ says Baron Baker</w:t>
      </w:r>
      <w:r w:rsidR="00392AD6">
        <w:t>, a West Indian resident of Notting Hill</w:t>
      </w:r>
      <w:r>
        <w:t>. ‘Our homes were being attacked, our women folks were being attacked and we weren’t</w:t>
      </w:r>
      <w:r w:rsidR="00F96A35">
        <w:t xml:space="preserve"> </w:t>
      </w:r>
      <w:r>
        <w:t>the ones going out onto the street looking for trouble. It’s only right that one should defend one’s home, no matter who or where you are’</w:t>
      </w:r>
      <w:r>
        <w:rPr>
          <w:rStyle w:val="FootnoteReference"/>
        </w:rPr>
        <w:footnoteReference w:id="29"/>
      </w:r>
    </w:p>
    <w:p w:rsidR="00130F2F" w:rsidRDefault="00130F2F" w:rsidP="00130F2F"/>
    <w:p w:rsidR="00130F2F" w:rsidRDefault="00130F2F" w:rsidP="00130F2F"/>
    <w:p w:rsidR="00130F2F" w:rsidRDefault="00130F2F" w:rsidP="00130F2F">
      <w:pPr>
        <w:spacing w:line="480" w:lineRule="auto"/>
        <w:ind w:firstLine="720"/>
      </w:pPr>
      <w:r>
        <w:t>In the Chase Tavern in Nottingham, 23</w:t>
      </w:r>
      <w:r w:rsidRPr="007E6BCA">
        <w:rPr>
          <w:vertAlign w:val="superscript"/>
        </w:rPr>
        <w:t>rd</w:t>
      </w:r>
      <w:r>
        <w:t xml:space="preserve"> August 1958, a Jamaican man was talking to a white woman at the bar. A white male, offended by the interracial </w:t>
      </w:r>
      <w:r w:rsidR="00F96A35">
        <w:t>exchange</w:t>
      </w:r>
      <w:r>
        <w:t>, confronted the black man and a fight ensued. Such drunken brawls are common in drinking establishments, however, this particular incident set off a series of racially motivated clashes and riots that would have a dramatic and long lasting impact on British society. This particular pub brawl led to an all out racial battle involving some one thousand people on the streets outside of the Chase Tavern. According to police reports the crowd consisted of almost entirely whites hostile towards blacks. The events in Nottingham foreshadowed the violence and indiscriminate brutality that whites would perpetrate against black communities in cities throughout Britain, most dramatically in the Notting Hill section of London.</w:t>
      </w:r>
      <w:r>
        <w:rPr>
          <w:rStyle w:val="FootnoteReference"/>
        </w:rPr>
        <w:footnoteReference w:id="30"/>
      </w:r>
      <w:r>
        <w:t xml:space="preserve">  </w:t>
      </w:r>
    </w:p>
    <w:p w:rsidR="00130F2F" w:rsidRDefault="00130F2F" w:rsidP="00130F2F">
      <w:pPr>
        <w:spacing w:line="480" w:lineRule="auto"/>
      </w:pPr>
      <w:r>
        <w:tab/>
        <w:t>On that same Saturday night, 23</w:t>
      </w:r>
      <w:r w:rsidRPr="00E56B4D">
        <w:rPr>
          <w:vertAlign w:val="superscript"/>
        </w:rPr>
        <w:t>rd</w:t>
      </w:r>
      <w:r>
        <w:t xml:space="preserve"> August, a group of white youths crammed into a car and set out on a violent quest. Upon hearing of the race riots in Nottingham, nine ordinary working class boys “armed themselves with coshes and iron bars,” and “began to walk through the streets of Notting Hill and savagely </w:t>
      </w:r>
      <w:r>
        <w:rPr>
          <w:rFonts w:ascii="Cambria" w:hAnsi="Cambria"/>
        </w:rPr>
        <w:t xml:space="preserve">[attack] </w:t>
      </w:r>
      <w:r>
        <w:t>any coloured pedestrians they met, beating them to the ground.”</w:t>
      </w:r>
      <w:r>
        <w:rPr>
          <w:rStyle w:val="FootnoteReference"/>
        </w:rPr>
        <w:footnoteReference w:id="31"/>
      </w:r>
      <w:r>
        <w:t xml:space="preserve"> Their motivations, other than racial hatred, were unknown. The following week, Sunday 31</w:t>
      </w:r>
      <w:r w:rsidRPr="009609C7">
        <w:rPr>
          <w:vertAlign w:val="superscript"/>
        </w:rPr>
        <w:t>st</w:t>
      </w:r>
      <w:r>
        <w:t xml:space="preserve"> august, a gang of around 11 white teenagers, armed with sticks, iron bars and knives, gathered outside a rail station in Notting Hill. By 8 p.m. the crowd had grown to 400 white youths milling around shouting </w:t>
      </w:r>
      <w:r w:rsidR="00595F56">
        <w:t>racist</w:t>
      </w:r>
      <w:r>
        <w:t xml:space="preserve"> and violent comments. A group of black people was attacked and a woman was stabbed in the shoulder. A man was slashed across the neck, and a ten-year-old boy was hit in the mouth with a broken bottle. Black people living in Notting Hill were astonished by the violence. In the hopes that the crowds would fade away blacks remained indoors. </w:t>
      </w:r>
    </w:p>
    <w:p w:rsidR="00130F2F" w:rsidRDefault="00595F56" w:rsidP="00130F2F">
      <w:pPr>
        <w:spacing w:line="480" w:lineRule="auto"/>
        <w:ind w:firstLine="720"/>
      </w:pPr>
      <w:r>
        <w:t>The West Indian community’s</w:t>
      </w:r>
      <w:r w:rsidR="00130F2F">
        <w:t xml:space="preserve"> hope that the riots would merely dissipate was extinguished when the Notting Hill conflict escalated and worsened the following day, Monday, May 1</w:t>
      </w:r>
      <w:r w:rsidR="00130F2F" w:rsidRPr="00533A1B">
        <w:rPr>
          <w:vertAlign w:val="superscript"/>
        </w:rPr>
        <w:t>st</w:t>
      </w:r>
      <w:r w:rsidR="00130F2F">
        <w:t>. West Indian homes and establishments were surrounded by crowds of hundreds of white people throwing bottles, dustbins, and whatever they could get their hands on. Groups of white youths patrolled the streets armed with broken bottles, knives, sticks, chair and table legs, petrol bombs, chains, iron bars and whips. Whites on motorbikes and cars toured the district looking for black people to beat up, informing each other of the movement of West Indians and where to attack. A group of men attacked a defenseless woman: “They casually kicked over the pram she was pushing, throwing her baby onto the pavement.”</w:t>
      </w:r>
      <w:r w:rsidR="00130F2F">
        <w:rPr>
          <w:rStyle w:val="FootnoteReference"/>
        </w:rPr>
        <w:footnoteReference w:id="32"/>
      </w:r>
      <w:r w:rsidR="00130F2F">
        <w:t xml:space="preserve"> For the first two days of rioting the West Indian population </w:t>
      </w:r>
      <w:r>
        <w:t>passively hoped the violence would end</w:t>
      </w:r>
      <w:r w:rsidR="00130F2F">
        <w:t>, however, by the third day it was clear that something more drastic had to be done.</w:t>
      </w:r>
      <w:r w:rsidR="00130F2F">
        <w:rPr>
          <w:rStyle w:val="FootnoteReference"/>
        </w:rPr>
        <w:footnoteReference w:id="33"/>
      </w:r>
      <w:r w:rsidR="00130F2F">
        <w:t xml:space="preserve"> The West Indian community of Notting Hill gathered sticks, knives, meat cleavers and iron bars, and decided they would defend themselves and their community by any means necessary. </w:t>
      </w:r>
      <w:r w:rsidR="00DA3A15">
        <w:t>Fierce battles between blacks and whites raged through the day and late into the night. A full out race war was being raged on the streets of London.</w:t>
      </w:r>
    </w:p>
    <w:p w:rsidR="00130F2F" w:rsidRDefault="00DA3A15" w:rsidP="00130F2F">
      <w:pPr>
        <w:spacing w:line="480" w:lineRule="auto"/>
        <w:ind w:firstLine="720"/>
      </w:pPr>
      <w:r>
        <w:t xml:space="preserve">The next day, September </w:t>
      </w:r>
      <w:r w:rsidR="00130F2F">
        <w:t>2</w:t>
      </w:r>
      <w:r w:rsidR="00130F2F" w:rsidRPr="00E47761">
        <w:rPr>
          <w:vertAlign w:val="superscript"/>
        </w:rPr>
        <w:t>nd</w:t>
      </w:r>
      <w:r w:rsidR="00130F2F">
        <w:t>, the atmosphere was tense as police patrolled the neighborhoods and waited at intersections. That evening gangs of several hundred white youths gathered again, but the police, four long days after the riots began, were finally able to control the area and disband those intent on continuing the violence. By Wednesday the remaining crowds had thinned as a “deathly quiet” settled over the “debris of bricks, broken glass and traces of blood that littered,” Notting Hill and by nightfall the streets were deserted and the riots had finally come to an end.</w:t>
      </w:r>
      <w:r w:rsidR="00130F2F">
        <w:rPr>
          <w:rStyle w:val="FootnoteReference"/>
        </w:rPr>
        <w:footnoteReference w:id="34"/>
      </w:r>
      <w:r w:rsidR="00130F2F">
        <w:t xml:space="preserve"> </w:t>
      </w:r>
    </w:p>
    <w:p w:rsidR="006738B5" w:rsidRDefault="006738B5" w:rsidP="006738B5">
      <w:pPr>
        <w:spacing w:line="480" w:lineRule="auto"/>
        <w:ind w:firstLine="720"/>
      </w:pPr>
      <w:r>
        <w:t>The scale and intensity of the Notting Hill Riots proved to have a traumatizing and lasting impact on England’s West Indian community, as well as the entire non-white immigrant population. The aggression of the white rioters and the inability of the police to defend the black community justified the West Indian community’s decision to fight back as a “defensive imperative and as a matter of communal pride.”</w:t>
      </w:r>
      <w:r>
        <w:rPr>
          <w:rStyle w:val="FootnoteReference"/>
        </w:rPr>
        <w:footnoteReference w:id="35"/>
      </w:r>
      <w:r>
        <w:t xml:space="preserve"> From the moment they arrived, the West Indian immigrants </w:t>
      </w:r>
      <w:r w:rsidR="00DA3A15">
        <w:t>attempted</w:t>
      </w:r>
      <w:r>
        <w:t xml:space="preserve"> to reject the white stereotypes of them as lazy, negligent, rapacious, and violent. The West Indians sought to reject </w:t>
      </w:r>
      <w:r w:rsidR="00DA3A15">
        <w:t>everything that</w:t>
      </w:r>
      <w:r>
        <w:t xml:space="preserve"> white British</w:t>
      </w:r>
      <w:r w:rsidR="00C45A17">
        <w:t xml:space="preserve"> society</w:t>
      </w:r>
      <w:r>
        <w:t xml:space="preserve"> had deemed un-British about them. However, the experience of Notting Hill, in conjunction with widespread discrimination in housing and in the workplace, made it clear that such efforts were a waste. Many migrants who had started off making a great effort to be English abandoned the belief that they would be accepted into white British society. Confronted with a violent rejection fr</w:t>
      </w:r>
      <w:r w:rsidR="00C45A17">
        <w:t>om mainstream British society, embracing blackness</w:t>
      </w:r>
      <w:r>
        <w:t xml:space="preserve"> became the only alternative.</w:t>
      </w:r>
      <w:r>
        <w:rPr>
          <w:rStyle w:val="FootnoteReference"/>
        </w:rPr>
        <w:footnoteReference w:id="36"/>
      </w:r>
      <w:r>
        <w:t xml:space="preserve"> </w:t>
      </w:r>
    </w:p>
    <w:p w:rsidR="006738B5" w:rsidRDefault="006738B5" w:rsidP="006738B5">
      <w:pPr>
        <w:spacing w:line="480" w:lineRule="auto"/>
        <w:ind w:firstLine="720"/>
      </w:pPr>
      <w:r>
        <w:t>A West Indian man who at first was disillusioned and confused by his rejection from white society later expressed his gratitude because such rejection allowed him to find his black identity: “I am no longer troubled about the rigmarole of acceptance and rejection…I am indeed grateful to the English. Grateful for rejecting me in order to discover myself…I am a free man! An Individual!”</w:t>
      </w:r>
      <w:r>
        <w:rPr>
          <w:rStyle w:val="FootnoteReference"/>
        </w:rPr>
        <w:footnoteReference w:id="37"/>
      </w:r>
      <w:r>
        <w:t xml:space="preserve"> In the decade following the Notting Hill riots, a strong black consciousness developed within England’s immigrant population, which increasingly turned away from white society to seek communal and racial solidarity. Signs of such developments included changes in attitudes towards interracial relationships. Once a symbol of acculturation and assimilation, many blacks no longer pursued interracial relationships and a clear opposition to exogamy took hold throughout the black community.</w:t>
      </w:r>
      <w:r w:rsidR="00C75FD1">
        <w:rPr>
          <w:rStyle w:val="FootnoteReference"/>
        </w:rPr>
        <w:footnoteReference w:id="38"/>
      </w:r>
      <w:r>
        <w:t xml:space="preserve"> The West Indians who arrived in England </w:t>
      </w:r>
      <w:r w:rsidR="00C75FD1">
        <w:t xml:space="preserve">seeking a new life and greater opportunities </w:t>
      </w:r>
      <w:r w:rsidR="00CD7FCB">
        <w:t>were initially confronted with discrimination that forced them into the lowliest jobs and the worst housing conditions. Discrimination</w:t>
      </w:r>
      <w:r w:rsidR="009C6749">
        <w:t xml:space="preserve"> soon turned to violence that made it painfully clear to the West Indian minority that they were not to be embraced by their new white neighbors.</w:t>
      </w:r>
      <w:r>
        <w:t xml:space="preserve"> As a result of their rejection from white society, the non-white immigrant population was forced to look within for a source of communal identity. Non-white immigrant communities would find such an identity in the Black Power movement. </w:t>
      </w:r>
    </w:p>
    <w:p w:rsidR="006738B5" w:rsidRDefault="006738B5" w:rsidP="006738B5">
      <w:pPr>
        <w:spacing w:line="480" w:lineRule="auto"/>
      </w:pPr>
      <w:r>
        <w:tab/>
        <w:t xml:space="preserve">The transformation of the </w:t>
      </w:r>
      <w:r w:rsidR="009C6749">
        <w:t>migrant</w:t>
      </w:r>
      <w:r>
        <w:t xml:space="preserve"> community from a group that </w:t>
      </w:r>
      <w:r w:rsidR="009C6749">
        <w:t>sought assimilation into</w:t>
      </w:r>
      <w:r>
        <w:t xml:space="preserve"> British </w:t>
      </w:r>
      <w:r w:rsidR="009C6749">
        <w:t>society</w:t>
      </w:r>
      <w:r>
        <w:t xml:space="preserve"> to a </w:t>
      </w:r>
      <w:r w:rsidR="009C6749">
        <w:t>group</w:t>
      </w:r>
      <w:r>
        <w:t xml:space="preserve"> </w:t>
      </w:r>
      <w:r w:rsidR="009C6749">
        <w:t xml:space="preserve">that defiantly </w:t>
      </w:r>
      <w:r>
        <w:t>exert</w:t>
      </w:r>
      <w:r w:rsidR="009C6749">
        <w:t>ed</w:t>
      </w:r>
      <w:r>
        <w:t xml:space="preserve"> a </w:t>
      </w:r>
      <w:r w:rsidR="009C6749">
        <w:t xml:space="preserve">distinct and non-white </w:t>
      </w:r>
      <w:r>
        <w:t xml:space="preserve">identity can be discerned </w:t>
      </w:r>
      <w:r w:rsidR="009C6749">
        <w:t>through</w:t>
      </w:r>
      <w:r>
        <w:t xml:space="preserve"> the writings of Roy Sawh</w:t>
      </w:r>
      <w:r w:rsidR="009C6749">
        <w:t xml:space="preserve"> in the 1970s</w:t>
      </w:r>
      <w:r>
        <w:t>. A leader of the Black Power movement, Sawh’s writing reflected on a community that was forced to change in order to survive: “The black man is hitting out because he has been pushed to the limit where he can no longer breathe.”</w:t>
      </w:r>
      <w:r>
        <w:rPr>
          <w:rStyle w:val="FootnoteReference"/>
        </w:rPr>
        <w:footnoteReference w:id="39"/>
      </w:r>
      <w:r>
        <w:t xml:space="preserve"> Sawh expressed the sentiment of a community that was aware of how it had been mistreated and disrespected, and would no longer tolerate such treatment. Sawh, speaking for the black community, exclaimed, “We demand our cultural integrity as black people everywhere,” suggesting an acknowledgement of a particular and important black culture.</w:t>
      </w:r>
      <w:r>
        <w:rPr>
          <w:rStyle w:val="FootnoteReference"/>
        </w:rPr>
        <w:footnoteReference w:id="40"/>
      </w:r>
      <w:r>
        <w:t xml:space="preserve"> Such a statement was a far cry from the migrant mentality that arrived with illusions of British gentlemanliness and intentions to assimilate. Sawh described a new black mentality that was a significant development from the bewildered state of the victims of the Notting Hill riots: “We do not advocate violence, but we believe the only way to neutralize violence is to oppose it with violence. We are no initiators of violence, but if a white man lays his hands on one of us we will regard it as an open declaration of war on all of us…This is a new era, the era of black power.”</w:t>
      </w:r>
      <w:r>
        <w:rPr>
          <w:rStyle w:val="FootnoteReference"/>
        </w:rPr>
        <w:footnoteReference w:id="41"/>
      </w:r>
      <w:r>
        <w:t xml:space="preserve"> The identity crisis that took hold of the post-war migrants as a result of their rejection from white British society was resolved by embracing a black identity that was predicated on cultural pride and communal strength. Its important to note that Sawh referenced black people and the non-white immigrant population seemingly interchangeably, suggesting that black power extended to all non-white immigrant groups. </w:t>
      </w:r>
    </w:p>
    <w:p w:rsidR="006738B5" w:rsidRDefault="006738B5" w:rsidP="006738B5">
      <w:pPr>
        <w:spacing w:line="480" w:lineRule="auto"/>
        <w:ind w:firstLine="720"/>
      </w:pPr>
      <w:r>
        <w:t xml:space="preserve">The rhetoric of leaders like Sawh set the stage for the violent encounters that would take place between black communities and the police, as well as black communities and white supremacists, through the 1970s and into the 1980s. The second-generation of migrants would be particularly primed for violence as they were born into socio-economic destitution and raised with a distinct and resilient black identity. </w:t>
      </w:r>
    </w:p>
    <w:p w:rsidR="00130F2F" w:rsidRDefault="00130F2F" w:rsidP="00130F2F">
      <w:pPr>
        <w:spacing w:line="480" w:lineRule="auto"/>
        <w:ind w:firstLine="720"/>
      </w:pPr>
    </w:p>
    <w:p w:rsidR="00EE6570" w:rsidRDefault="00EE6570" w:rsidP="00785BE2">
      <w:pPr>
        <w:spacing w:line="480" w:lineRule="auto"/>
        <w:rPr>
          <w:b/>
          <w:u w:val="single"/>
        </w:rPr>
      </w:pPr>
      <w:r>
        <w:rPr>
          <w:b/>
          <w:u w:val="single"/>
        </w:rPr>
        <w:t>Enoch Powell and the Rivers of Blood</w:t>
      </w:r>
    </w:p>
    <w:p w:rsidR="00751ACB" w:rsidRDefault="00EE6570" w:rsidP="00DB7669">
      <w:pPr>
        <w:spacing w:line="480" w:lineRule="auto"/>
      </w:pPr>
      <w:r>
        <w:tab/>
      </w:r>
      <w:r w:rsidR="00751ACB">
        <w:t>Two years after Roy Jenkins delivered his speech on the merits and importance of fostering a multicultural Britain, Enoch Powell delivered his “Rivers of Blood speech.” Highly controversial at the time amongst political elites, including Powell’s own Conservative party, the speech struck a populist chord that made Powell extraordinarily popul</w:t>
      </w:r>
      <w:r w:rsidR="00F44848">
        <w:t xml:space="preserve">ar with large portions of </w:t>
      </w:r>
      <w:r w:rsidR="00751ACB">
        <w:t>British society. In the co</w:t>
      </w:r>
      <w:r w:rsidR="00BC6F0F">
        <w:t>ntext of the Notting Hill riots, which were</w:t>
      </w:r>
      <w:r w:rsidR="00751ACB">
        <w:t xml:space="preserve"> followed a decade later by the popular ascendance of anti-immigration politicians like Powell, </w:t>
      </w:r>
      <w:r w:rsidR="00EB6A61">
        <w:t>it seems unlikely that the</w:t>
      </w:r>
      <w:r w:rsidR="00F44848">
        <w:t xml:space="preserve"> </w:t>
      </w:r>
      <w:r w:rsidR="00751ACB">
        <w:t xml:space="preserve">multiculturalism </w:t>
      </w:r>
      <w:r w:rsidR="00F44848">
        <w:t xml:space="preserve">envisioned by Jenkins </w:t>
      </w:r>
      <w:r w:rsidR="00EB6A61">
        <w:t xml:space="preserve">could </w:t>
      </w:r>
      <w:r w:rsidR="00751ACB">
        <w:t xml:space="preserve">have </w:t>
      </w:r>
      <w:r w:rsidR="00F44848">
        <w:t xml:space="preserve">been genuinely established </w:t>
      </w:r>
      <w:r w:rsidR="00EB6A61">
        <w:t>with any chance of being an</w:t>
      </w:r>
      <w:r w:rsidR="00F44848">
        <w:t xml:space="preserve"> e</w:t>
      </w:r>
      <w:r w:rsidR="00BC6F0F">
        <w:t>ffective social policy</w:t>
      </w:r>
      <w:r w:rsidR="00EB6A61">
        <w:t xml:space="preserve"> at this stage in British history, the late 1960s through the 1970s.</w:t>
      </w:r>
    </w:p>
    <w:p w:rsidR="00ED166D" w:rsidRDefault="00EE6570" w:rsidP="00452C96">
      <w:pPr>
        <w:spacing w:line="480" w:lineRule="auto"/>
        <w:ind w:firstLine="450"/>
      </w:pPr>
      <w:r>
        <w:t>On April 20, 1968 Enoch Powell delive</w:t>
      </w:r>
      <w:r w:rsidR="00571799">
        <w:t>red his “Rivers of Blood” speech</w:t>
      </w:r>
      <w:r>
        <w:t xml:space="preserve"> at the Midland Hotel in Birmingham. </w:t>
      </w:r>
      <w:r w:rsidR="00696217">
        <w:t>Powell argued</w:t>
      </w:r>
      <w:r w:rsidR="00944E3D">
        <w:t xml:space="preserve"> that the “</w:t>
      </w:r>
      <w:r>
        <w:t xml:space="preserve">supreme function of statesmanship is to provide against preventable evils,” </w:t>
      </w:r>
      <w:r w:rsidR="00944E3D">
        <w:t>but that the “discussion of future grave but…avoidable evils is the most unpopular and at the same time the most necessary occupation for the politician.”</w:t>
      </w:r>
      <w:r w:rsidR="00944E3D">
        <w:rPr>
          <w:rStyle w:val="FootnoteReference"/>
        </w:rPr>
        <w:footnoteReference w:id="42"/>
      </w:r>
      <w:r w:rsidR="00944E3D">
        <w:t xml:space="preserve"> The future grave and avoidabl</w:t>
      </w:r>
      <w:r w:rsidR="00BC6F0F">
        <w:t>e evil</w:t>
      </w:r>
      <w:r w:rsidR="00696217">
        <w:t xml:space="preserve"> that Powell referenced</w:t>
      </w:r>
      <w:r w:rsidR="00944E3D">
        <w:t xml:space="preserve"> </w:t>
      </w:r>
      <w:r w:rsidR="00BC6F0F">
        <w:t>was</w:t>
      </w:r>
      <w:r w:rsidR="00944E3D">
        <w:t xml:space="preserve"> the </w:t>
      </w:r>
      <w:r w:rsidR="00696217">
        <w:t>growing migrant, non-white, population</w:t>
      </w:r>
      <w:r w:rsidR="00BC6F0F">
        <w:t xml:space="preserve"> from the C</w:t>
      </w:r>
      <w:r w:rsidR="00944E3D">
        <w:t>ommonw</w:t>
      </w:r>
      <w:r w:rsidR="00696217">
        <w:t>ealth countries. Powell suggested</w:t>
      </w:r>
      <w:r w:rsidR="00944E3D">
        <w:t xml:space="preserve"> that Britain “must be mad, literally mad, as a nation to be permitting the annual inflow,” of commonwealth migrants, “who are for the most part the material of the future growth of the immig</w:t>
      </w:r>
      <w:r w:rsidR="00696217">
        <w:t>rant-descended population.”</w:t>
      </w:r>
      <w:r w:rsidR="00696217">
        <w:rPr>
          <w:rStyle w:val="FootnoteReference"/>
        </w:rPr>
        <w:footnoteReference w:id="43"/>
      </w:r>
      <w:r w:rsidR="00696217">
        <w:t xml:space="preserve"> </w:t>
      </w:r>
      <w:r w:rsidR="00944E3D">
        <w:t xml:space="preserve">Powell </w:t>
      </w:r>
      <w:r w:rsidR="000633C7">
        <w:t>insisted that allowing further immigration was “</w:t>
      </w:r>
      <w:r w:rsidR="00944E3D">
        <w:t>like watching a nation busily engaged in heaping up its own funeral pyre.”</w:t>
      </w:r>
      <w:r w:rsidR="00944E3D">
        <w:rPr>
          <w:rStyle w:val="FootnoteReference"/>
        </w:rPr>
        <w:footnoteReference w:id="44"/>
      </w:r>
      <w:r w:rsidR="00DC3DAD">
        <w:t xml:space="preserve"> Powell equated</w:t>
      </w:r>
      <w:r w:rsidR="00944E3D">
        <w:t xml:space="preserve"> the arrival of non-white migrants with the demise and death of the British nation. </w:t>
      </w:r>
      <w:r w:rsidR="00452C96">
        <w:t>He</w:t>
      </w:r>
      <w:r w:rsidR="00696217">
        <w:t xml:space="preserve"> </w:t>
      </w:r>
      <w:r w:rsidR="00DA0077">
        <w:t>call</w:t>
      </w:r>
      <w:r w:rsidR="00DC3DAD">
        <w:t>ed</w:t>
      </w:r>
      <w:r w:rsidR="00DA0077">
        <w:t xml:space="preserve"> for the termination of all comm</w:t>
      </w:r>
      <w:r w:rsidR="00DC3DAD">
        <w:t>onwealth immigration, encouraged</w:t>
      </w:r>
      <w:r w:rsidR="00DA0077">
        <w:t xml:space="preserve"> the adoption of governmental support for migrant repatriation, and </w:t>
      </w:r>
      <w:r w:rsidR="00DC3DAD">
        <w:t>suggested</w:t>
      </w:r>
      <w:r w:rsidR="00DA0077">
        <w:t xml:space="preserve"> that to enact anti-discrimination legislation, such as the Race Relations Act</w:t>
      </w:r>
      <w:r w:rsidR="00AA7BF3">
        <w:t xml:space="preserve"> that sought to facilitate the integration of minority groups</w:t>
      </w:r>
      <w:r w:rsidR="00DA0077">
        <w:t>, would be to “risk throwing a match on to gunpowder.”</w:t>
      </w:r>
      <w:r w:rsidR="00DA0077">
        <w:rPr>
          <w:rStyle w:val="FootnoteReference"/>
        </w:rPr>
        <w:footnoteReference w:id="45"/>
      </w:r>
      <w:r w:rsidR="00F91E41">
        <w:t xml:space="preserve"> In the same speech Powell </w:t>
      </w:r>
      <w:r w:rsidR="00DC3DAD">
        <w:t>stated</w:t>
      </w:r>
      <w:r w:rsidR="00F91E41">
        <w:t xml:space="preserve"> that the white British population </w:t>
      </w:r>
      <w:r w:rsidR="00DC3DAD">
        <w:t>had</w:t>
      </w:r>
      <w:r w:rsidR="00F91E41">
        <w:t xml:space="preserve"> found themselves, in 1968, as strangers in their own country, unable to find places for their children in school, unable to find proper work, and unable to recognize their own neighborhoods. </w:t>
      </w:r>
      <w:r w:rsidR="00AA7BF3">
        <w:t>Needless to say, Powell employed alarmist rhetoric to mob</w:t>
      </w:r>
      <w:r w:rsidR="00CE6892">
        <w:t>ilize his audience to action against a vision of society that few believed was in fact reality, but all would agree should be, if possible, avoided and prevented</w:t>
      </w:r>
      <w:r w:rsidR="00AA7BF3">
        <w:t>.</w:t>
      </w:r>
    </w:p>
    <w:p w:rsidR="007D4659" w:rsidRDefault="00ED166D" w:rsidP="00452C96">
      <w:pPr>
        <w:spacing w:line="480" w:lineRule="auto"/>
        <w:ind w:right="360" w:firstLine="450"/>
      </w:pPr>
      <w:r>
        <w:t>Powell warned that although some migrants may</w:t>
      </w:r>
      <w:r w:rsidR="00EE4398">
        <w:t xml:space="preserve"> have</w:t>
      </w:r>
      <w:r>
        <w:t xml:space="preserve"> </w:t>
      </w:r>
      <w:r w:rsidR="00EE4398">
        <w:t>desired</w:t>
      </w:r>
      <w:r>
        <w:t xml:space="preserve"> integration and assimilation, the </w:t>
      </w:r>
      <w:r w:rsidR="00BB5AB2">
        <w:t xml:space="preserve">majority </w:t>
      </w:r>
      <w:r w:rsidR="00BC6F0F">
        <w:t>did</w:t>
      </w:r>
      <w:r>
        <w:t xml:space="preserve"> not. Citing </w:t>
      </w:r>
      <w:r w:rsidR="00452C96">
        <w:t>a story from another</w:t>
      </w:r>
      <w:r>
        <w:t xml:space="preserve"> member of parliament, J</w:t>
      </w:r>
      <w:r w:rsidR="00DC3DAD">
        <w:t xml:space="preserve">ohn Stonehouse, Powell </w:t>
      </w:r>
      <w:r w:rsidR="00452C96">
        <w:t>attacked</w:t>
      </w:r>
      <w:r>
        <w:t xml:space="preserve"> mi</w:t>
      </w:r>
      <w:r w:rsidR="00EE4398">
        <w:t>grant communities who maintained “</w:t>
      </w:r>
      <w:r>
        <w:t xml:space="preserve">customs inappropriate in Britain,” </w:t>
      </w:r>
      <w:r w:rsidR="00AA7BF3">
        <w:t xml:space="preserve">by </w:t>
      </w:r>
      <w:r w:rsidR="00452C96">
        <w:t>arguing</w:t>
      </w:r>
      <w:r>
        <w:t xml:space="preserve"> that </w:t>
      </w:r>
      <w:r w:rsidR="00452C96">
        <w:t xml:space="preserve">group claims to </w:t>
      </w:r>
      <w:r>
        <w:t>“special communal rights</w:t>
      </w:r>
      <w:r w:rsidR="00EE4398">
        <w:t>,”</w:t>
      </w:r>
      <w:r>
        <w:t xml:space="preserve"> </w:t>
      </w:r>
      <w:r w:rsidR="00EE4398">
        <w:t xml:space="preserve">would lead </w:t>
      </w:r>
      <w:r>
        <w:t xml:space="preserve">to </w:t>
      </w:r>
      <w:r w:rsidR="00EE4398">
        <w:t>“</w:t>
      </w:r>
      <w:r>
        <w:t>a dangerous fragmentation within society.”</w:t>
      </w:r>
      <w:r>
        <w:rPr>
          <w:rStyle w:val="FootnoteReference"/>
        </w:rPr>
        <w:footnoteReference w:id="46"/>
      </w:r>
      <w:r>
        <w:t xml:space="preserve"> Such </w:t>
      </w:r>
      <w:r w:rsidR="00452C96">
        <w:t>a statement</w:t>
      </w:r>
      <w:r w:rsidR="000633C7">
        <w:t xml:space="preserve"> </w:t>
      </w:r>
      <w:r w:rsidR="00EE4398">
        <w:t>was a direct attack on the vision</w:t>
      </w:r>
      <w:r w:rsidR="00A94B42">
        <w:t xml:space="preserve"> of multiculturalism espoused by Jenkins</w:t>
      </w:r>
      <w:r w:rsidR="00EE4398">
        <w:t>, which aimed to provide such special recognition and accommodation in order to establish cultural diversity in an atmosphere of mutual tolerance</w:t>
      </w:r>
      <w:r w:rsidR="00A94B42">
        <w:t xml:space="preserve">. </w:t>
      </w:r>
      <w:r w:rsidR="001218BE">
        <w:t xml:space="preserve">These so-called dangerous fragmentations </w:t>
      </w:r>
      <w:r w:rsidR="00D35605">
        <w:t>were</w:t>
      </w:r>
      <w:r w:rsidR="001218BE">
        <w:t xml:space="preserve"> simply attempts by newly settled groups to be recognized and respected by the state. </w:t>
      </w:r>
      <w:r w:rsidR="00AA7BF3">
        <w:t xml:space="preserve">The </w:t>
      </w:r>
      <w:r w:rsidR="001218BE">
        <w:t>Stonehouse</w:t>
      </w:r>
      <w:r w:rsidR="00AA7BF3">
        <w:t xml:space="preserve"> story</w:t>
      </w:r>
      <w:r w:rsidR="001218BE">
        <w:t xml:space="preserve"> was particularly referencing Sikh migrants who, in accordance with the Sikh religion, </w:t>
      </w:r>
      <w:r w:rsidR="009F706B">
        <w:t xml:space="preserve">wished to wear their turbans in the </w:t>
      </w:r>
      <w:r w:rsidR="00131CE4">
        <w:t>work place</w:t>
      </w:r>
      <w:r w:rsidR="009F706B">
        <w:t xml:space="preserve">. Stonehouse and Powell argued that such a right was inappropriate to Britain because as a historically Christian state </w:t>
      </w:r>
      <w:r w:rsidR="0064737C">
        <w:t>the wearing of a turban had never been accommodated and that</w:t>
      </w:r>
      <w:r w:rsidR="009F706B">
        <w:t xml:space="preserve"> migrants should be “prepared to accept the terms and</w:t>
      </w:r>
      <w:r w:rsidR="00EC113C">
        <w:t xml:space="preserve"> conditions of their employment,” even though such terms had </w:t>
      </w:r>
      <w:r w:rsidR="00AA7BF3">
        <w:t>certainly</w:t>
      </w:r>
      <w:r w:rsidR="00EC113C">
        <w:t xml:space="preserve"> been established </w:t>
      </w:r>
      <w:r w:rsidR="00AA7BF3">
        <w:t xml:space="preserve">well </w:t>
      </w:r>
      <w:r w:rsidR="00EC113C">
        <w:t>before the settlement of new religious groups.</w:t>
      </w:r>
      <w:r w:rsidR="009F706B">
        <w:rPr>
          <w:rStyle w:val="FootnoteReference"/>
        </w:rPr>
        <w:footnoteReference w:id="47"/>
      </w:r>
      <w:r w:rsidR="009F706B">
        <w:t xml:space="preserve"> This is </w:t>
      </w:r>
      <w:r w:rsidR="00EC113C">
        <w:t>the same as</w:t>
      </w:r>
      <w:r w:rsidR="009F706B">
        <w:t xml:space="preserve"> telling a Jewish person they cannot wear a yarmulke or a Christian to no</w:t>
      </w:r>
      <w:r w:rsidR="0064737C">
        <w:t>t wear a cross simply be</w:t>
      </w:r>
      <w:r w:rsidR="00D35605">
        <w:t>cause such a recognition implied</w:t>
      </w:r>
      <w:r w:rsidR="0064737C">
        <w:t xml:space="preserve"> </w:t>
      </w:r>
      <w:r w:rsidR="00D35605">
        <w:t xml:space="preserve">a </w:t>
      </w:r>
      <w:r w:rsidR="0064737C">
        <w:t>difference</w:t>
      </w:r>
      <w:r w:rsidR="00EC113C">
        <w:t xml:space="preserve"> of belief and tradition than </w:t>
      </w:r>
      <w:r w:rsidR="00D35605">
        <w:t xml:space="preserve">that of </w:t>
      </w:r>
      <w:r w:rsidR="00EC113C">
        <w:t>the majority of society</w:t>
      </w:r>
      <w:r w:rsidR="0064737C">
        <w:t>. This arg</w:t>
      </w:r>
      <w:r w:rsidR="00D35605">
        <w:t>ument that the recognition of group</w:t>
      </w:r>
      <w:r w:rsidR="0064737C">
        <w:t xml:space="preserve"> rights </w:t>
      </w:r>
      <w:r w:rsidR="00D35605">
        <w:t>would lead to social</w:t>
      </w:r>
      <w:r w:rsidR="0064737C">
        <w:t xml:space="preserve"> fra</w:t>
      </w:r>
      <w:r w:rsidR="00AA7BF3">
        <w:t>gmentation and division is stri</w:t>
      </w:r>
      <w:r w:rsidR="0064737C">
        <w:t xml:space="preserve">kingly similar to the contemporary debate about </w:t>
      </w:r>
      <w:r w:rsidR="00EC113C">
        <w:t>integration</w:t>
      </w:r>
      <w:r w:rsidR="0064737C">
        <w:t xml:space="preserve"> in which it is argued that multicult</w:t>
      </w:r>
      <w:r w:rsidR="00EC113C">
        <w:t>uralism suggest</w:t>
      </w:r>
      <w:r w:rsidR="00AA7BF3">
        <w:t>s “separateness</w:t>
      </w:r>
      <w:r w:rsidR="00EC113C">
        <w:t>,</w:t>
      </w:r>
      <w:r w:rsidR="0064737C">
        <w:t>”</w:t>
      </w:r>
      <w:r w:rsidR="00EC113C">
        <w:t xml:space="preserve"> and is responsible for civil unrest.</w:t>
      </w:r>
      <w:r w:rsidR="00EC113C">
        <w:rPr>
          <w:rStyle w:val="FootnoteReference"/>
        </w:rPr>
        <w:footnoteReference w:id="48"/>
      </w:r>
      <w:r w:rsidR="00EC113C">
        <w:t xml:space="preserve"> </w:t>
      </w:r>
      <w:r w:rsidR="00767014">
        <w:t xml:space="preserve">Powell ended his invective by acknowledging the “horrors” of the racial issues on the “other side of the Atlantic,” and by condemning those who </w:t>
      </w:r>
      <w:r w:rsidR="00DC3DAD">
        <w:t>saw</w:t>
      </w:r>
      <w:r w:rsidR="00767014">
        <w:t xml:space="preserve"> the evils</w:t>
      </w:r>
      <w:r w:rsidR="00DC3DAD">
        <w:t xml:space="preserve"> confronting the nation and cho</w:t>
      </w:r>
      <w:r w:rsidR="00767014">
        <w:t>se not to speak.</w:t>
      </w:r>
      <w:r w:rsidR="00767014">
        <w:rPr>
          <w:rStyle w:val="FootnoteReference"/>
        </w:rPr>
        <w:footnoteReference w:id="49"/>
      </w:r>
      <w:r w:rsidR="00DC3DAD">
        <w:t xml:space="preserve"> Powell ominously stated</w:t>
      </w:r>
      <w:r w:rsidR="00D339F4">
        <w:t>, “As I look ahead, I am filled with foreboding; like the Roman, I seem to see ‘the River Tiber foaming with much blood.’”</w:t>
      </w:r>
      <w:r w:rsidR="00D339F4">
        <w:rPr>
          <w:rStyle w:val="FootnoteReference"/>
        </w:rPr>
        <w:footnoteReference w:id="50"/>
      </w:r>
    </w:p>
    <w:p w:rsidR="00DF092D" w:rsidRDefault="007D4659" w:rsidP="00ED166D">
      <w:pPr>
        <w:spacing w:line="480" w:lineRule="auto"/>
        <w:ind w:right="360"/>
      </w:pPr>
      <w:r>
        <w:tab/>
      </w:r>
      <w:r w:rsidR="009623EC">
        <w:t xml:space="preserve">The response to Powell’s speech was twofold. </w:t>
      </w:r>
      <w:r w:rsidR="003D2C88">
        <w:t xml:space="preserve">On the one hand Powell was sharply criticized. The media blasted him for his racist intolerance. Further, the Conservative Party leader Ted Heath forced Powell to resign from his position as shadow defense minister for issuing such a controversial speech without party approval. </w:t>
      </w:r>
      <w:r w:rsidR="009623EC">
        <w:t>On the other hand, Powell was widely celebrated by the British white working class. Within ten days of the speech Powell received over 100,000 letters, only 800 of which expressed disagreement with Powell’s anti-immigration position.</w:t>
      </w:r>
      <w:r w:rsidR="009623EC">
        <w:rPr>
          <w:rStyle w:val="FootnoteReference"/>
        </w:rPr>
        <w:footnoteReference w:id="51"/>
      </w:r>
      <w:r w:rsidR="009623EC">
        <w:t xml:space="preserve"> </w:t>
      </w:r>
      <w:r w:rsidR="00D35605">
        <w:t>A study of the</w:t>
      </w:r>
      <w:r w:rsidR="009623EC">
        <w:t xml:space="preserve"> correspondence reveal</w:t>
      </w:r>
      <w:r w:rsidR="000633C7">
        <w:t>s</w:t>
      </w:r>
      <w:r w:rsidR="009623EC">
        <w:t xml:space="preserve"> that anti-immigration sentiments were not </w:t>
      </w:r>
      <w:r w:rsidR="000633C7">
        <w:t>founded solely racism</w:t>
      </w:r>
      <w:r w:rsidR="00DF092D">
        <w:t xml:space="preserve">, </w:t>
      </w:r>
      <w:r w:rsidR="000633C7">
        <w:t xml:space="preserve">but that </w:t>
      </w:r>
      <w:r w:rsidR="00DF092D">
        <w:t xml:space="preserve">it was an issue </w:t>
      </w:r>
      <w:r w:rsidR="00014852">
        <w:t>that was</w:t>
      </w:r>
      <w:r w:rsidR="000633C7">
        <w:t xml:space="preserve"> direct</w:t>
      </w:r>
      <w:r w:rsidR="00014852">
        <w:t>ly</w:t>
      </w:r>
      <w:r w:rsidR="000633C7">
        <w:t xml:space="preserve"> </w:t>
      </w:r>
      <w:r w:rsidR="00014852">
        <w:t>related to</w:t>
      </w:r>
      <w:r w:rsidR="000633C7">
        <w:t xml:space="preserve"> notions </w:t>
      </w:r>
      <w:r w:rsidR="00014852">
        <w:t xml:space="preserve">of </w:t>
      </w:r>
      <w:r w:rsidR="000633C7">
        <w:t>British</w:t>
      </w:r>
      <w:r w:rsidR="00DF092D">
        <w:t xml:space="preserve"> culture and </w:t>
      </w:r>
      <w:r w:rsidR="00014852">
        <w:t>national image</w:t>
      </w:r>
      <w:r w:rsidR="00DF092D">
        <w:t>.</w:t>
      </w:r>
    </w:p>
    <w:p w:rsidR="00DC3988" w:rsidRDefault="00884048" w:rsidP="00ED166D">
      <w:pPr>
        <w:spacing w:line="480" w:lineRule="auto"/>
        <w:ind w:right="360"/>
      </w:pPr>
      <w:r>
        <w:tab/>
        <w:t>The letters written to Powell by his supporters reveal a profound sense of national decline, the same sentiment t</w:t>
      </w:r>
      <w:r w:rsidR="007B09DA">
        <w:t>hat Powell evoked</w:t>
      </w:r>
      <w:r w:rsidR="00DC3DAD">
        <w:t xml:space="preserve"> when he referred</w:t>
      </w:r>
      <w:r>
        <w:t xml:space="preserve"> to continued immigration as the nation building its own funeral pyre. </w:t>
      </w:r>
      <w:r w:rsidR="007E4D6F">
        <w:t>Powell’s supporters feared the erosion of British culture as more immigrants arrived and as “c</w:t>
      </w:r>
      <w:r w:rsidR="00724DB0">
        <w:t>ommunalism strengthened,” and many argued</w:t>
      </w:r>
      <w:r w:rsidR="007E4D6F">
        <w:t xml:space="preserve"> </w:t>
      </w:r>
      <w:r w:rsidR="00630495">
        <w:t>that Powell was not “claiming the biological inferiority of other races but merely seeking to protect the c</w:t>
      </w:r>
      <w:r w:rsidR="00724DB0">
        <w:t>ultural integrity of the nation.</w:t>
      </w:r>
      <w:r w:rsidR="00630495">
        <w:t>”</w:t>
      </w:r>
      <w:r w:rsidR="002563D7">
        <w:rPr>
          <w:rStyle w:val="FootnoteReference"/>
        </w:rPr>
        <w:footnoteReference w:id="52"/>
      </w:r>
      <w:r w:rsidR="002563D7">
        <w:t xml:space="preserve"> As one letter writer explained, “There is no colour bar in this count</w:t>
      </w:r>
      <w:r w:rsidR="00DC3DAD">
        <w:t>ry, it is a culture bar. Only by</w:t>
      </w:r>
      <w:r w:rsidR="002563D7">
        <w:t xml:space="preserve"> </w:t>
      </w:r>
      <w:r w:rsidR="00DC3DAD">
        <w:t>letting</w:t>
      </w:r>
      <w:r w:rsidR="002563D7">
        <w:t xml:space="preserve"> in small numbers who can be absorbed by our culture can we keep the England we know, the institutions we respect and the way of life which we have fought to preserve.”</w:t>
      </w:r>
      <w:r w:rsidR="002563D7">
        <w:rPr>
          <w:rStyle w:val="FootnoteReference"/>
        </w:rPr>
        <w:footnoteReference w:id="53"/>
      </w:r>
      <w:r w:rsidR="002563D7">
        <w:t xml:space="preserve"> </w:t>
      </w:r>
    </w:p>
    <w:p w:rsidR="00724DB0" w:rsidRDefault="002563D7" w:rsidP="008B0BA7">
      <w:pPr>
        <w:spacing w:line="480" w:lineRule="auto"/>
        <w:ind w:right="360"/>
      </w:pPr>
      <w:r>
        <w:t xml:space="preserve">It appears that the conception of race had been reconstructed from being “a category of biological difference into a category of </w:t>
      </w:r>
      <w:r w:rsidR="009F38F9">
        <w:t>instinctive cultural difference,</w:t>
      </w:r>
      <w:r>
        <w:t>”</w:t>
      </w:r>
      <w:r w:rsidR="009F38F9">
        <w:t xml:space="preserve"> and the result was an “increasing correlation between the imagined boundaries of race and nation,” in Britain.</w:t>
      </w:r>
      <w:r>
        <w:rPr>
          <w:rStyle w:val="FootnoteReference"/>
        </w:rPr>
        <w:footnoteReference w:id="54"/>
      </w:r>
      <w:r w:rsidR="009F38F9">
        <w:t xml:space="preserve"> The conceptualization of blackness became more than skin color and involved a whole host of negative attributes, such as filthiness, licentiousness, and criminality, all of which “threatened the supposed decency of British culture.”</w:t>
      </w:r>
      <w:r w:rsidR="009F38F9">
        <w:rPr>
          <w:rStyle w:val="FootnoteReference"/>
        </w:rPr>
        <w:footnoteReference w:id="55"/>
      </w:r>
      <w:r>
        <w:t xml:space="preserve"> </w:t>
      </w:r>
      <w:r w:rsidR="0085621A">
        <w:t xml:space="preserve">This is important because such concerns and anxieties resonated with a large portion of British society. Rather than simply appealing to the true bigots that disliked immigration on the basis of race, Powell was able to pinpoint and </w:t>
      </w:r>
      <w:r w:rsidR="00FE681E">
        <w:t>vocalize a genuine fear about the future of the British state in an uncertain post-imp</w:t>
      </w:r>
      <w:r w:rsidR="008B0BA7">
        <w:t xml:space="preserve">erial world. Powell tied </w:t>
      </w:r>
      <w:r w:rsidR="00FE681E">
        <w:t xml:space="preserve">concerns over the preservation </w:t>
      </w:r>
      <w:r w:rsidR="008B0BA7">
        <w:t>of the British state to the</w:t>
      </w:r>
      <w:r w:rsidR="00FE681E">
        <w:t xml:space="preserve"> </w:t>
      </w:r>
      <w:r w:rsidR="008B0BA7">
        <w:t xml:space="preserve">arrival of a </w:t>
      </w:r>
      <w:r w:rsidR="00FE681E">
        <w:t>growing immigrant populat</w:t>
      </w:r>
      <w:r w:rsidR="008B0BA7">
        <w:t xml:space="preserve">ion, and was, thereby, able to </w:t>
      </w:r>
      <w:r w:rsidR="00FE681E">
        <w:t>provide an explanation for Britain’s declining power and prestige that made sense to many British citizens.</w:t>
      </w:r>
    </w:p>
    <w:p w:rsidR="00A05C87" w:rsidRDefault="00724DB0" w:rsidP="00ED166D">
      <w:pPr>
        <w:spacing w:line="480" w:lineRule="auto"/>
        <w:ind w:right="360"/>
      </w:pPr>
      <w:r>
        <w:tab/>
      </w:r>
      <w:r w:rsidR="006A6BAF">
        <w:t xml:space="preserve">In Powell’s speech the “process of national decline is presented as coinciding with the dilution of a once homogenous,” national stock by alien strains, and these alien </w:t>
      </w:r>
      <w:r w:rsidR="007B09DA">
        <w:t>strains</w:t>
      </w:r>
      <w:r w:rsidR="006A6BAF">
        <w:t xml:space="preserve"> co</w:t>
      </w:r>
      <w:r w:rsidR="008B0BA7">
        <w:t>me to embody a threat that lead</w:t>
      </w:r>
      <w:r w:rsidR="006A6BAF">
        <w:t xml:space="preserve"> to the conclusion “that national decline and weakness have been precipitated by the arrival of blacks.”</w:t>
      </w:r>
      <w:r w:rsidR="006A6BAF">
        <w:rPr>
          <w:rStyle w:val="FootnoteReference"/>
        </w:rPr>
        <w:footnoteReference w:id="56"/>
      </w:r>
      <w:r w:rsidR="00865266">
        <w:t xml:space="preserve"> In post-imperial Britain</w:t>
      </w:r>
      <w:r w:rsidR="005E3E38">
        <w:t>,</w:t>
      </w:r>
      <w:r w:rsidR="00865266">
        <w:t xml:space="preserve"> decades removed from its position as the world’s leading power, Powell and his anti-immigration rhetoric </w:t>
      </w:r>
      <w:r w:rsidR="009E2D26">
        <w:t xml:space="preserve">was </w:t>
      </w:r>
      <w:r w:rsidR="00865266">
        <w:t>a necessary and fitting “antidote to a national crisis of confidence,” and his supporters “marked him as a savior of failing British prestige.”</w:t>
      </w:r>
      <w:r w:rsidR="00865266">
        <w:rPr>
          <w:rStyle w:val="FootnoteReference"/>
        </w:rPr>
        <w:footnoteReference w:id="57"/>
      </w:r>
      <w:r w:rsidR="00865266">
        <w:t xml:space="preserve"> </w:t>
      </w:r>
      <w:r w:rsidR="009E2D26">
        <w:t>Anything</w:t>
      </w:r>
      <w:r w:rsidR="00E5259E">
        <w:t xml:space="preserve"> that had changed in the minds of White Britons in post-war </w:t>
      </w:r>
      <w:r w:rsidR="008B0BA7">
        <w:t>period</w:t>
      </w:r>
      <w:r w:rsidR="00E5259E">
        <w:t xml:space="preserve"> found a fitting explanation in the arrival of the un-British, culturally dif</w:t>
      </w:r>
      <w:r w:rsidR="009E2D26">
        <w:t>ferent, black immigrants. A</w:t>
      </w:r>
      <w:r w:rsidR="00E5259E">
        <w:t xml:space="preserve">n examination of public opinion polls over the course of the 1960s </w:t>
      </w:r>
      <w:r w:rsidR="008B0BA7">
        <w:t>demonstrates</w:t>
      </w:r>
      <w:r w:rsidR="00E5259E">
        <w:t xml:space="preserve"> that sentiments </w:t>
      </w:r>
      <w:r w:rsidR="005E3E38">
        <w:t>that connected</w:t>
      </w:r>
      <w:r w:rsidR="00E5259E">
        <w:t xml:space="preserve"> national decline and other frustrations to the arrival of immigrants</w:t>
      </w:r>
      <w:r w:rsidR="008B0BA7">
        <w:t xml:space="preserve"> probably</w:t>
      </w:r>
      <w:r w:rsidR="00E5259E">
        <w:t xml:space="preserve"> exist</w:t>
      </w:r>
      <w:r w:rsidR="005E3E38">
        <w:t xml:space="preserve">ed </w:t>
      </w:r>
      <w:r w:rsidR="008B0BA7">
        <w:t>well</w:t>
      </w:r>
      <w:r w:rsidR="005E3E38">
        <w:t xml:space="preserve"> before Powell’s speech. Powell</w:t>
      </w:r>
      <w:r w:rsidR="00E5259E">
        <w:t xml:space="preserve"> was simply the mouthpiece of popular sentiment.</w:t>
      </w:r>
    </w:p>
    <w:p w:rsidR="00A4135F" w:rsidRDefault="00A05C87" w:rsidP="00ED166D">
      <w:pPr>
        <w:spacing w:line="480" w:lineRule="auto"/>
        <w:ind w:right="360"/>
      </w:pPr>
      <w:r>
        <w:tab/>
      </w:r>
      <w:r w:rsidR="000C7F5A">
        <w:t xml:space="preserve">The Gallup organization began asking </w:t>
      </w:r>
      <w:r w:rsidR="000D55B7">
        <w:t xml:space="preserve">standard </w:t>
      </w:r>
      <w:r w:rsidR="000C7F5A">
        <w:t>questions about immigration and race relations in 1959. The first question being, “Would you say that in this country the feeling between white people and coloured people is getting better, getting worse, or remaining the same</w:t>
      </w:r>
      <w:r w:rsidR="000D55B7">
        <w:t>?”</w:t>
      </w:r>
      <w:r w:rsidR="000D55B7">
        <w:rPr>
          <w:rStyle w:val="FootnoteReference"/>
        </w:rPr>
        <w:footnoteReference w:id="58"/>
      </w:r>
      <w:r w:rsidR="000D55B7">
        <w:t xml:space="preserve"> From 1959 to 1972 </w:t>
      </w:r>
      <w:r w:rsidR="0029402A">
        <w:t xml:space="preserve">an </w:t>
      </w:r>
      <w:r w:rsidR="000D55B7">
        <w:t xml:space="preserve">average of 15.5 percent responded that </w:t>
      </w:r>
      <w:r w:rsidR="009E2D26">
        <w:t>feelings</w:t>
      </w:r>
      <w:r w:rsidR="000D55B7">
        <w:t xml:space="preserve"> were getting better, with a high of 24 percent in 1964 and a low of 6 percent in 1968. An average of 42 percent of respondents said feelings were getting worse, with a low of 26 percent in 1964 and a high of 55 percent in 1968.</w:t>
      </w:r>
      <w:r w:rsidR="000D55B7">
        <w:rPr>
          <w:rStyle w:val="FootnoteReference"/>
        </w:rPr>
        <w:footnoteReference w:id="59"/>
      </w:r>
      <w:r w:rsidR="000D55B7">
        <w:t xml:space="preserve"> A </w:t>
      </w:r>
      <w:r w:rsidR="00A4135F">
        <w:t>new</w:t>
      </w:r>
      <w:r w:rsidR="000D55B7">
        <w:t xml:space="preserve"> question was added in 1964, “Do you think there is a colour problem in the district where you live?” Between 1964 and 1972, those asked responded with an average of 9.9 percent claiming there was a “colour problem” and an average of 83.6 percent who claimed there was no “colour problem”</w:t>
      </w:r>
      <w:r w:rsidR="00C72D60">
        <w:t xml:space="preserve"> in their district</w:t>
      </w:r>
      <w:r w:rsidR="000D55B7">
        <w:t>.</w:t>
      </w:r>
      <w:r w:rsidR="00DF3B89">
        <w:t xml:space="preserve"> Interestingly, in the year before Powell’s speech, 1967, only 10 percent of respondents claimed there was a problem in their district, whereas 81 percent said there was not. Furthermore, in 1972, only 7 percent of respondents claimed there was a “colour problem” and 90 percent stated there was no such problems in their district.</w:t>
      </w:r>
      <w:r w:rsidR="00DF3B89">
        <w:rPr>
          <w:rStyle w:val="FootnoteReference"/>
        </w:rPr>
        <w:footnoteReference w:id="60"/>
      </w:r>
    </w:p>
    <w:p w:rsidR="00C72D60" w:rsidRDefault="00A4135F" w:rsidP="00ED166D">
      <w:pPr>
        <w:spacing w:line="480" w:lineRule="auto"/>
        <w:ind w:right="360"/>
      </w:pPr>
      <w:r>
        <w:tab/>
        <w:t xml:space="preserve">Another poll tracked popular approval of government restrictions on immigration between 1961 and 1971. The general question being, “Do you approve or disapprove of the measures the government </w:t>
      </w:r>
      <w:r w:rsidR="006110DD">
        <w:t>is</w:t>
      </w:r>
      <w:r>
        <w:t xml:space="preserve"> taking in controlling immigration from Commonwealth countries?” </w:t>
      </w:r>
      <w:r w:rsidR="00C40969">
        <w:t xml:space="preserve">The average approval </w:t>
      </w:r>
      <w:r w:rsidR="007B51CF">
        <w:t>over</w:t>
      </w:r>
      <w:r w:rsidR="00C40969">
        <w:t xml:space="preserve"> this period was 71.5% compared with an average disapproval rating of 15.5%.</w:t>
      </w:r>
      <w:r w:rsidR="00C40969">
        <w:rPr>
          <w:rStyle w:val="FootnoteReference"/>
        </w:rPr>
        <w:footnoteReference w:id="61"/>
      </w:r>
      <w:r w:rsidR="00C40969">
        <w:t xml:space="preserve"> </w:t>
      </w:r>
      <w:r w:rsidR="00344900">
        <w:t xml:space="preserve">Such polling data </w:t>
      </w:r>
      <w:r w:rsidR="00877628">
        <w:t>shows</w:t>
      </w:r>
      <w:r w:rsidR="00344900">
        <w:t xml:space="preserve"> that popular opinion approved of government measures</w:t>
      </w:r>
      <w:r w:rsidR="00300C19">
        <w:t xml:space="preserve"> to further restrict immigration </w:t>
      </w:r>
      <w:r w:rsidR="007B51CF">
        <w:t>as indicated by the fact that</w:t>
      </w:r>
      <w:r w:rsidR="00300C19">
        <w:t xml:space="preserve"> </w:t>
      </w:r>
      <w:r w:rsidR="00C40969">
        <w:t xml:space="preserve">several pieces of </w:t>
      </w:r>
      <w:r w:rsidR="007B51CF">
        <w:t xml:space="preserve">progressively more </w:t>
      </w:r>
      <w:r w:rsidR="00C40969">
        <w:t>restrictive legislation</w:t>
      </w:r>
      <w:r w:rsidR="007B51CF">
        <w:t xml:space="preserve"> were introduced</w:t>
      </w:r>
      <w:r w:rsidR="00877628">
        <w:t xml:space="preserve"> over the course of the decade. T</w:t>
      </w:r>
      <w:r w:rsidR="00C40969">
        <w:t>he 1962 Commonwealth Immigrants Act</w:t>
      </w:r>
      <w:r w:rsidR="00C72D60">
        <w:t xml:space="preserve"> </w:t>
      </w:r>
      <w:r w:rsidR="00C40969">
        <w:t xml:space="preserve">sought </w:t>
      </w:r>
      <w:r w:rsidR="00C72D60">
        <w:t>to restrict</w:t>
      </w:r>
      <w:r w:rsidR="00C40969">
        <w:t xml:space="preserve"> Commonwealth </w:t>
      </w:r>
      <w:r w:rsidR="00426FDA">
        <w:t xml:space="preserve">migration to only labor migration by requiring employment vouchers. </w:t>
      </w:r>
      <w:r w:rsidR="007B51CF">
        <w:t>Six years later the 1968 Immigration A</w:t>
      </w:r>
      <w:r w:rsidR="00426FDA">
        <w:t>ct placed e</w:t>
      </w:r>
      <w:r w:rsidR="00877628">
        <w:t>ven tighter controls that required any would-be settler to prove that one of their grandparents had been born in the UK</w:t>
      </w:r>
      <w:r w:rsidR="00426FDA">
        <w:t>.</w:t>
      </w:r>
      <w:r w:rsidR="007B51CF">
        <w:t xml:space="preserve"> The high public approval of government measures from 1961 to 1971 suggests that the vast majority of the public </w:t>
      </w:r>
      <w:r w:rsidR="00877628">
        <w:t xml:space="preserve">maintained </w:t>
      </w:r>
      <w:r w:rsidR="009C7FE3">
        <w:t>their approval</w:t>
      </w:r>
      <w:r w:rsidR="00877628">
        <w:t xml:space="preserve"> even</w:t>
      </w:r>
      <w:r w:rsidR="007B51CF">
        <w:t xml:space="preserve"> as policies became more restrictive.</w:t>
      </w:r>
    </w:p>
    <w:p w:rsidR="00C47D42" w:rsidRDefault="00C73893" w:rsidP="00C72D60">
      <w:pPr>
        <w:spacing w:line="480" w:lineRule="auto"/>
        <w:ind w:right="360" w:firstLine="720"/>
      </w:pPr>
      <w:r>
        <w:t xml:space="preserve">Such restrictive legislation attracted disapproval from some political and intellectual elites. The conservative journalist Auberon Walsh called the 1968 Immigration Act “one </w:t>
      </w:r>
      <w:r w:rsidR="003D2C88">
        <w:t>of the</w:t>
      </w:r>
      <w:r>
        <w:t xml:space="preserve"> most immoral pieces of legislation ever to have emerged from any </w:t>
      </w:r>
      <w:r w:rsidR="003D2C88">
        <w:t>British</w:t>
      </w:r>
      <w:r>
        <w:t xml:space="preserve"> parliament,” and the </w:t>
      </w:r>
      <w:r w:rsidR="004D75F0">
        <w:rPr>
          <w:i/>
        </w:rPr>
        <w:t>Times</w:t>
      </w:r>
      <w:r w:rsidR="004D75F0">
        <w:t xml:space="preserve"> wrote, “The Labour Party has a new ideology. It does not any longer profess to believe in the equality of man. It does not even believe in the equality of British citizens. It believes in the equality of white citizens.”</w:t>
      </w:r>
      <w:r w:rsidR="004D75F0">
        <w:rPr>
          <w:rStyle w:val="FootnoteReference"/>
        </w:rPr>
        <w:footnoteReference w:id="62"/>
      </w:r>
      <w:r w:rsidR="004D75F0">
        <w:t xml:space="preserve"> But aside from these elite critiques, as</w:t>
      </w:r>
      <w:r>
        <w:t xml:space="preserve"> the legislation became increasingly restrictive and aimed at controlling the inflow of non-white settlers, public opinion was for the most</w:t>
      </w:r>
      <w:r w:rsidR="004D75F0">
        <w:t xml:space="preserve"> part in favor and supportive. </w:t>
      </w:r>
    </w:p>
    <w:p w:rsidR="00884048" w:rsidRDefault="00C47D42" w:rsidP="00ED166D">
      <w:pPr>
        <w:spacing w:line="480" w:lineRule="auto"/>
        <w:ind w:right="360"/>
      </w:pPr>
      <w:r>
        <w:tab/>
        <w:t xml:space="preserve">On the question of repatriation, specifically, “Do you think immigrants already in Britain should be encouraged by government grants to return home,” the public response in 1968 was 64 percent claiming migrants should be encouraged to repatriate and 31 percent of respondents disagreeing. </w:t>
      </w:r>
      <w:r w:rsidR="00C73893">
        <w:t xml:space="preserve"> </w:t>
      </w:r>
      <w:r>
        <w:t xml:space="preserve">In the </w:t>
      </w:r>
      <w:r w:rsidR="003D2C88">
        <w:t>following</w:t>
      </w:r>
      <w:r>
        <w:t xml:space="preserve"> year respondents shifted their support with 54 percent claiming migrants should be encouraged and 38% believing migrants should not be encouraged </w:t>
      </w:r>
      <w:r w:rsidR="006110DD">
        <w:t>with</w:t>
      </w:r>
      <w:r>
        <w:t xml:space="preserve"> government grants to return to their countries of origin.</w:t>
      </w:r>
      <w:r>
        <w:rPr>
          <w:rStyle w:val="FootnoteReference"/>
        </w:rPr>
        <w:footnoteReference w:id="63"/>
      </w:r>
    </w:p>
    <w:p w:rsidR="00D872B3" w:rsidRDefault="00884048" w:rsidP="00ED166D">
      <w:pPr>
        <w:spacing w:line="480" w:lineRule="auto"/>
        <w:ind w:right="360"/>
      </w:pPr>
      <w:r>
        <w:tab/>
      </w:r>
      <w:r w:rsidR="006110DD">
        <w:t>Polling</w:t>
      </w:r>
      <w:r w:rsidR="00C47D42">
        <w:t xml:space="preserve"> data </w:t>
      </w:r>
      <w:r w:rsidR="006110DD">
        <w:t xml:space="preserve">also </w:t>
      </w:r>
      <w:r w:rsidR="00C47D42">
        <w:t xml:space="preserve">reveals the degree to which the British public coveted a politician willing to take a strong anti-immigration position. In 1967, </w:t>
      </w:r>
      <w:r w:rsidR="00A21C91">
        <w:t>approximately a</w:t>
      </w:r>
      <w:r w:rsidR="00C47D42">
        <w:t xml:space="preserve"> year before Powell’s speech, when asked, “If you were making up a new Conservative government, who are the first three people you would put in for Prime Minister and other jobs,” Powell received 13 percent of responses ranking him sixth amongst </w:t>
      </w:r>
      <w:r w:rsidR="00A21C91">
        <w:t>the members of his party</w:t>
      </w:r>
      <w:r w:rsidR="00C47D42">
        <w:t xml:space="preserve">. In January 1969 Powell received 33 percent of responses, ranking him in second position, and in October of that same year he received 36 percent of responses, ranking him first in his party. Thereby indicating that if a Conservative government were to come to power in October 1969 Enoch Powell, the vociferously anti-immigration </w:t>
      </w:r>
      <w:r w:rsidR="001D720C">
        <w:t>rhetorician</w:t>
      </w:r>
      <w:r w:rsidR="00C47D42">
        <w:t xml:space="preserve">, would have been the elected Prime </w:t>
      </w:r>
      <w:r w:rsidR="003D2C88">
        <w:t>Minister</w:t>
      </w:r>
      <w:r w:rsidR="00A21C91">
        <w:t xml:space="preserve"> or selected as one of the members of a Conservative cabinet</w:t>
      </w:r>
      <w:r w:rsidR="00C47D42">
        <w:t>.</w:t>
      </w:r>
      <w:r w:rsidR="00D872B3">
        <w:rPr>
          <w:rStyle w:val="FootnoteReference"/>
        </w:rPr>
        <w:footnoteReference w:id="64"/>
      </w:r>
      <w:r w:rsidR="00C47D42">
        <w:t xml:space="preserve"> </w:t>
      </w:r>
      <w:r w:rsidR="006110DD">
        <w:t>Such data demonstrates Powell’s transition from relative obscurity to popularity following his “Rivers of Blood” speech.</w:t>
      </w:r>
    </w:p>
    <w:p w:rsidR="00511114" w:rsidRDefault="00D872B3" w:rsidP="00ED166D">
      <w:pPr>
        <w:spacing w:line="480" w:lineRule="auto"/>
        <w:ind w:right="360"/>
      </w:pPr>
      <w:r>
        <w:tab/>
      </w:r>
      <w:r w:rsidR="00312E62">
        <w:t xml:space="preserve">The </w:t>
      </w:r>
      <w:r>
        <w:t xml:space="preserve">support of Powell’s anti-immigration stance, </w:t>
      </w:r>
      <w:r w:rsidR="00312E62">
        <w:t>indicated by</w:t>
      </w:r>
      <w:r>
        <w:t xml:space="preserve"> </w:t>
      </w:r>
      <w:r w:rsidR="00312E62">
        <w:t xml:space="preserve">the huge amount of approving </w:t>
      </w:r>
      <w:r>
        <w:t>lett</w:t>
      </w:r>
      <w:r w:rsidR="00312E62">
        <w:t>ers and his rapid rise in the Conservative Party polls</w:t>
      </w:r>
      <w:r>
        <w:t xml:space="preserve">, </w:t>
      </w:r>
      <w:r w:rsidR="00312E62">
        <w:t>in addition to consistent popular approval</w:t>
      </w:r>
      <w:r>
        <w:t xml:space="preserve"> </w:t>
      </w:r>
      <w:r w:rsidR="00312E62">
        <w:t>of</w:t>
      </w:r>
      <w:r>
        <w:t xml:space="preserve"> </w:t>
      </w:r>
      <w:r w:rsidR="00312E62">
        <w:t xml:space="preserve">immigration restrictions, suggests </w:t>
      </w:r>
      <w:r w:rsidR="00BE1D83">
        <w:t xml:space="preserve">that Britain, </w:t>
      </w:r>
      <w:r>
        <w:t xml:space="preserve">before and after </w:t>
      </w:r>
      <w:r w:rsidR="003D2C88">
        <w:t>Jenkins’s</w:t>
      </w:r>
      <w:r>
        <w:t xml:space="preserve"> appeal to multiculturalism</w:t>
      </w:r>
      <w:r w:rsidR="00BE1D83">
        <w:t xml:space="preserve"> in 1966, did not </w:t>
      </w:r>
      <w:r>
        <w:t xml:space="preserve">embrace its new position as a destination of mass migration. </w:t>
      </w:r>
      <w:r w:rsidR="00C72D60">
        <w:t xml:space="preserve">Furthermore, the apparent contradiction between the data that shows a clear majority who were supportive of immigration controls and a majority who acknowledged that there were no color problems in their district, may be interpreted as a popular desire to keep Britain </w:t>
      </w:r>
      <w:r w:rsidR="00BE1D83">
        <w:t>from becoming a multiethnic and multicultural state as envisioned by Jenkins</w:t>
      </w:r>
      <w:r w:rsidR="00C72D60">
        <w:t xml:space="preserve">. Of course other concerns, including job and wage protection, and fear over future demographic trends may attest for this </w:t>
      </w:r>
      <w:r w:rsidR="00911965">
        <w:t xml:space="preserve">conflicting data, however, </w:t>
      </w:r>
      <w:r w:rsidR="00511114">
        <w:t xml:space="preserve">in light of the </w:t>
      </w:r>
      <w:r w:rsidR="00BE1D83">
        <w:t xml:space="preserve">Notting Hill </w:t>
      </w:r>
      <w:r w:rsidR="00511114">
        <w:t>riots and</w:t>
      </w:r>
      <w:r w:rsidR="005F265D">
        <w:t xml:space="preserve"> </w:t>
      </w:r>
      <w:r w:rsidR="00511114">
        <w:t>populist rhetoric</w:t>
      </w:r>
      <w:r w:rsidR="00BE1D83">
        <w:t xml:space="preserve"> about preserving the British nation </w:t>
      </w:r>
      <w:r w:rsidR="00911965">
        <w:t xml:space="preserve">there </w:t>
      </w:r>
      <w:r w:rsidR="00BE1D83">
        <w:t>may have been</w:t>
      </w:r>
      <w:r w:rsidR="00911965">
        <w:t xml:space="preserve"> a pervasive desire to keep Britain white.</w:t>
      </w:r>
      <w:r w:rsidR="00C72D60">
        <w:t xml:space="preserve"> </w:t>
      </w:r>
    </w:p>
    <w:p w:rsidR="001D720C" w:rsidRDefault="00D872B3" w:rsidP="00511114">
      <w:pPr>
        <w:spacing w:line="480" w:lineRule="auto"/>
        <w:ind w:right="360" w:firstLine="720"/>
      </w:pPr>
      <w:r>
        <w:t>In the context of the Notting Hill riots in 1958 and the public support of anti-immigration policy and politicians throughout the 1960s, it appears that Jenkins’ speech was out of time and place, and that multiculturalism</w:t>
      </w:r>
      <w:r w:rsidR="00000043">
        <w:t xml:space="preserve"> could not have been genuinely established with the hope of </w:t>
      </w:r>
      <w:r w:rsidR="006110DD">
        <w:t>fostering</w:t>
      </w:r>
      <w:r w:rsidR="00496C7E">
        <w:t xml:space="preserve"> </w:t>
      </w:r>
      <w:r w:rsidR="00000043">
        <w:t xml:space="preserve">equal </w:t>
      </w:r>
      <w:r w:rsidR="00131CE4">
        <w:t>opportunity</w:t>
      </w:r>
      <w:r w:rsidR="00496C7E">
        <w:t xml:space="preserve"> </w:t>
      </w:r>
      <w:r w:rsidR="00000043">
        <w:t>in an atmosphere of mutual tolerance</w:t>
      </w:r>
      <w:r>
        <w:t>. In a Britain that was facing a crisis of national decline and was in the process of finding its rightful place in a post-imperial world, difference was to be targeted and blamed, rather than embraced.</w:t>
      </w:r>
    </w:p>
    <w:p w:rsidR="005F265D" w:rsidRDefault="001D720C" w:rsidP="00ED166D">
      <w:pPr>
        <w:spacing w:line="480" w:lineRule="auto"/>
        <w:ind w:right="360"/>
      </w:pPr>
      <w:r>
        <w:tab/>
      </w:r>
      <w:r w:rsidR="00000043">
        <w:t>In</w:t>
      </w:r>
      <w:r w:rsidR="00D339F4">
        <w:t xml:space="preserve">n his “Rivers of Blood” speech and </w:t>
      </w:r>
      <w:r w:rsidR="00CA7E52">
        <w:t>subsequent addresses,</w:t>
      </w:r>
      <w:r w:rsidR="00D339F4">
        <w:t xml:space="preserve"> </w:t>
      </w:r>
      <w:r w:rsidR="00000043">
        <w:t xml:space="preserve">Powell </w:t>
      </w:r>
      <w:r w:rsidR="00D339F4">
        <w:t xml:space="preserve">made two </w:t>
      </w:r>
      <w:r w:rsidR="00000043">
        <w:t>key</w:t>
      </w:r>
      <w:r w:rsidR="00D339F4">
        <w:t xml:space="preserve"> predictions. </w:t>
      </w:r>
      <w:r w:rsidR="005F265D">
        <w:t>Although initially ridiculed</w:t>
      </w:r>
      <w:r w:rsidR="00000043">
        <w:t xml:space="preserve">, Powell’s </w:t>
      </w:r>
      <w:r w:rsidR="00CA7E52">
        <w:t>demographic projections have been proven to be shockingly accurate. Powell stated that the nonwhite population of Britain, “barely over a million at the time, would rise to 4.5 million by 2002.”</w:t>
      </w:r>
      <w:r w:rsidR="00CA7E52">
        <w:rPr>
          <w:rStyle w:val="FootnoteReference"/>
        </w:rPr>
        <w:footnoteReference w:id="65"/>
      </w:r>
      <w:r w:rsidR="00CA7E52">
        <w:t xml:space="preserve"> According to the national census, the ethnic minority population of Britain in 2001 was 4,635,296. Powell also claimed that between a fifth and a quarter of Birmingham and inner London would consist of Commonwealth immigrants and their descendants by the turn of the twenty-first century. According to the 2001 census, Birmingham was 29.6 percent and inner London 34.4 percent nonwhite.</w:t>
      </w:r>
      <w:r w:rsidR="00CA7E52">
        <w:rPr>
          <w:rStyle w:val="FootnoteReference"/>
        </w:rPr>
        <w:footnoteReference w:id="66"/>
      </w:r>
      <w:r w:rsidR="00E26519">
        <w:t xml:space="preserve"> However, Powell’s other shocking premonition about seeing the “River Tiber foaming with m</w:t>
      </w:r>
      <w:r w:rsidR="005F265D">
        <w:t xml:space="preserve">uch blood,” </w:t>
      </w:r>
      <w:r w:rsidR="00E26519">
        <w:t xml:space="preserve">aside from riots and civil disturbances that resulted in large scale property damages and at times deaths, </w:t>
      </w:r>
      <w:r w:rsidR="005F265D">
        <w:t xml:space="preserve">has </w:t>
      </w:r>
      <w:r w:rsidR="00184D4D">
        <w:t>not come to fruition</w:t>
      </w:r>
      <w:r w:rsidR="00E26519">
        <w:t xml:space="preserve">. </w:t>
      </w:r>
      <w:r w:rsidR="00184D4D">
        <w:t xml:space="preserve">Then </w:t>
      </w:r>
      <w:r w:rsidR="0005514C">
        <w:t xml:space="preserve">why, if Powell had seemingly been spot on with his demographic projections and clearly had a very good grasp of popular sentiments in regard to immigration and the preservation of the nation and British culture, did this violent and ghastly outcome not come about? </w:t>
      </w:r>
      <w:r w:rsidR="00184D4D">
        <w:t>Proponents of multiculturalism might argue</w:t>
      </w:r>
      <w:r w:rsidR="0005514C">
        <w:t xml:space="preserve"> that even in the context of the</w:t>
      </w:r>
      <w:r w:rsidR="00184D4D">
        <w:t xml:space="preserve"> 1960s multiculturalism worked and only</w:t>
      </w:r>
      <w:r w:rsidR="006110DD">
        <w:t xml:space="preserve"> faltered in the presence of newly emerged issues</w:t>
      </w:r>
      <w:r w:rsidR="00184D4D">
        <w:t xml:space="preserve">. However, a more realistic explanation is </w:t>
      </w:r>
      <w:r w:rsidR="0071304B">
        <w:t>that multiculturalism</w:t>
      </w:r>
      <w:r w:rsidR="0005514C">
        <w:t xml:space="preserve"> delayed the inevitable conflict by insulating communities and groups, and </w:t>
      </w:r>
      <w:r w:rsidR="005F265D">
        <w:t xml:space="preserve">only </w:t>
      </w:r>
      <w:r w:rsidR="0005514C">
        <w:t>now</w:t>
      </w:r>
      <w:r w:rsidR="005F265D">
        <w:t xml:space="preserve"> the façade of harmony </w:t>
      </w:r>
      <w:r w:rsidR="00184D4D">
        <w:t xml:space="preserve">has worn thin and the underlying causes of Britain’s societal rifts must </w:t>
      </w:r>
      <w:r w:rsidR="00680CC2">
        <w:t xml:space="preserve">now be properly addressed. </w:t>
      </w:r>
    </w:p>
    <w:p w:rsidR="00D641AB" w:rsidRDefault="00680CC2" w:rsidP="00D641AB">
      <w:pPr>
        <w:spacing w:line="480" w:lineRule="auto"/>
        <w:ind w:right="360" w:firstLine="720"/>
      </w:pPr>
      <w:r>
        <w:t xml:space="preserve">Forty years after the immigration debate emerged the migrant community has multiplied and many of the issues remain unresolved. </w:t>
      </w:r>
      <w:r w:rsidR="00B44EDC">
        <w:t xml:space="preserve">Furthermore the </w:t>
      </w:r>
      <w:r w:rsidR="0029402A">
        <w:t>immigrant</w:t>
      </w:r>
      <w:r w:rsidR="00C042A7">
        <w:t xml:space="preserve"> </w:t>
      </w:r>
      <w:r w:rsidR="00B44EDC">
        <w:t>population has</w:t>
      </w:r>
      <w:r w:rsidR="00C042A7">
        <w:t xml:space="preserve"> </w:t>
      </w:r>
      <w:r w:rsidR="00B44EDC">
        <w:t>become</w:t>
      </w:r>
      <w:r w:rsidR="00C042A7">
        <w:t xml:space="preserve"> increasingly differentiated based on origin and religion</w:t>
      </w:r>
      <w:r w:rsidR="00B44EDC">
        <w:t>, generating a wider and more diverse range of group needs and demands.</w:t>
      </w:r>
      <w:r w:rsidR="00C042A7">
        <w:t xml:space="preserve"> The most significant contemporary group </w:t>
      </w:r>
      <w:r w:rsidR="008D4084">
        <w:t>that emerged out of the migrant population would prove to be the</w:t>
      </w:r>
      <w:r w:rsidR="00C042A7">
        <w:t xml:space="preserve"> Muslim community.  </w:t>
      </w:r>
    </w:p>
    <w:p w:rsidR="00641251" w:rsidRPr="00D641AB" w:rsidRDefault="00393DF4" w:rsidP="00D641AB">
      <w:pPr>
        <w:spacing w:line="480" w:lineRule="auto"/>
        <w:ind w:right="360"/>
      </w:pPr>
      <w:r>
        <w:rPr>
          <w:b/>
          <w:u w:val="single"/>
        </w:rPr>
        <w:t xml:space="preserve">The </w:t>
      </w:r>
      <w:r w:rsidR="0029402A">
        <w:rPr>
          <w:b/>
          <w:u w:val="single"/>
        </w:rPr>
        <w:t>Origins of Minority Identity</w:t>
      </w:r>
    </w:p>
    <w:p w:rsidR="00DA340F" w:rsidRDefault="00641251" w:rsidP="006738B5">
      <w:pPr>
        <w:spacing w:line="480" w:lineRule="auto"/>
      </w:pPr>
      <w:r>
        <w:tab/>
      </w:r>
      <w:r w:rsidR="00F42F79">
        <w:t>The Afro-Caribbean population is</w:t>
      </w:r>
      <w:r w:rsidR="007F5A2D">
        <w:t xml:space="preserve"> Britain’s</w:t>
      </w:r>
      <w:r w:rsidR="00F42F79">
        <w:t xml:space="preserve"> longest established minority </w:t>
      </w:r>
      <w:r w:rsidR="007F5A2D">
        <w:t>group</w:t>
      </w:r>
      <w:r w:rsidR="00F42F79">
        <w:t xml:space="preserve"> that arrived during</w:t>
      </w:r>
      <w:r w:rsidR="007F5A2D">
        <w:t xml:space="preserve"> the</w:t>
      </w:r>
      <w:r w:rsidR="00F42F79">
        <w:t xml:space="preserve"> post-war mass migration in the 1950s and 1960s. </w:t>
      </w:r>
      <w:r w:rsidR="000E7005">
        <w:t>Although much of S</w:t>
      </w:r>
      <w:r w:rsidR="00C0111B">
        <w:t>outh Asian migration from India, Pakistan, and Bangladesh</w:t>
      </w:r>
      <w:r w:rsidR="000E7005">
        <w:t xml:space="preserve">, also took place during this period, </w:t>
      </w:r>
      <w:r w:rsidR="00C0111B">
        <w:t>Asian family reunification</w:t>
      </w:r>
      <w:r w:rsidR="000E7005">
        <w:t xml:space="preserve"> tended to be to</w:t>
      </w:r>
      <w:r w:rsidR="004F00D2">
        <w:t>wards the end of this period. F</w:t>
      </w:r>
      <w:r w:rsidR="000E7005">
        <w:t>amily reunification, t</w:t>
      </w:r>
      <w:r w:rsidR="00D47C63">
        <w:t>he process by which women and child</w:t>
      </w:r>
      <w:r w:rsidR="00710B40">
        <w:t>ren</w:t>
      </w:r>
      <w:r w:rsidR="00D47C63">
        <w:t xml:space="preserve"> </w:t>
      </w:r>
      <w:r w:rsidR="00325C99">
        <w:t>re</w:t>
      </w:r>
      <w:r w:rsidR="00D47C63">
        <w:t>join the male migrant work-force</w:t>
      </w:r>
      <w:r w:rsidR="000E7005">
        <w:t xml:space="preserve">, is often regarded as the </w:t>
      </w:r>
      <w:r w:rsidR="00D47C63">
        <w:t xml:space="preserve">moment when migrant workers are </w:t>
      </w:r>
      <w:r w:rsidR="000E7005">
        <w:t>“</w:t>
      </w:r>
      <w:r w:rsidR="00D47C63">
        <w:t xml:space="preserve">transformed…into permanent residents/citizens,” of the host country and “during this period the family unit quickly </w:t>
      </w:r>
      <w:r w:rsidR="00D47C63">
        <w:rPr>
          <w:rFonts w:ascii="Cambria" w:hAnsi="Cambria"/>
        </w:rPr>
        <w:t>[supplants] work as the most basic level of experience,” and thus familial interests</w:t>
      </w:r>
      <w:r w:rsidR="004B5044">
        <w:rPr>
          <w:rFonts w:ascii="Cambria" w:hAnsi="Cambria"/>
        </w:rPr>
        <w:t xml:space="preserve"> and considerations take precedence over all</w:t>
      </w:r>
      <w:r w:rsidR="00D47C63">
        <w:rPr>
          <w:rFonts w:ascii="Cambria" w:hAnsi="Cambria"/>
        </w:rPr>
        <w:t xml:space="preserve"> </w:t>
      </w:r>
      <w:r w:rsidR="004B5044">
        <w:rPr>
          <w:rFonts w:ascii="Cambria" w:hAnsi="Cambria"/>
        </w:rPr>
        <w:t>other</w:t>
      </w:r>
      <w:r w:rsidR="00D47C63">
        <w:rPr>
          <w:rFonts w:ascii="Cambria" w:hAnsi="Cambria"/>
        </w:rPr>
        <w:t xml:space="preserve"> concerns.</w:t>
      </w:r>
      <w:r w:rsidR="00D47C63">
        <w:rPr>
          <w:rStyle w:val="FootnoteReference"/>
          <w:rFonts w:ascii="Cambria" w:hAnsi="Cambria"/>
        </w:rPr>
        <w:footnoteReference w:id="67"/>
      </w:r>
      <w:r w:rsidR="00380286">
        <w:rPr>
          <w:rFonts w:ascii="Cambria" w:hAnsi="Cambria"/>
        </w:rPr>
        <w:t xml:space="preserve"> Furthermore, </w:t>
      </w:r>
      <w:r w:rsidR="00380286">
        <w:t>f</w:t>
      </w:r>
      <w:r w:rsidR="00D47C63">
        <w:t xml:space="preserve">amily reunification generally rules out any possibility of migrant repatriation. </w:t>
      </w:r>
      <w:r w:rsidR="004F00D2">
        <w:t>It is during the reunification</w:t>
      </w:r>
      <w:r w:rsidR="000E7005">
        <w:t xml:space="preserve"> process that migrant groups become visible to the host society.</w:t>
      </w:r>
      <w:r w:rsidR="000E7005">
        <w:rPr>
          <w:rStyle w:val="FootnoteReference"/>
        </w:rPr>
        <w:footnoteReference w:id="68"/>
      </w:r>
      <w:r w:rsidR="000E7005">
        <w:t xml:space="preserve"> Because the Afro-Caribbean population completed its settlement before the South Asian population they were </w:t>
      </w:r>
      <w:r w:rsidR="009A1CD7">
        <w:t xml:space="preserve">initially </w:t>
      </w:r>
      <w:r w:rsidR="000E7005">
        <w:t>the most visible minority group, and thus bore the brunt of white British hostility in this period.</w:t>
      </w:r>
      <w:r w:rsidR="009A1CD7">
        <w:t xml:space="preserve"> </w:t>
      </w:r>
      <w:r w:rsidR="007F5A2D">
        <w:t>However</w:t>
      </w:r>
      <w:r w:rsidR="009A1CD7">
        <w:t xml:space="preserve">, </w:t>
      </w:r>
      <w:r w:rsidR="007F5A2D">
        <w:t>as a result of the racial homogeneity of Britain prior to WWII</w:t>
      </w:r>
      <w:r w:rsidR="00EB0974">
        <w:t xml:space="preserve"> the most obvious difference betwee</w:t>
      </w:r>
      <w:r w:rsidR="00710B40">
        <w:t>n native British and the common</w:t>
      </w:r>
      <w:r w:rsidR="00EB0974">
        <w:t>wealth migrant was race. Regardless if the migrant was from Jamaica or Pakistan they were not white</w:t>
      </w:r>
      <w:r w:rsidR="009A1CD7">
        <w:t xml:space="preserve"> and subsequently </w:t>
      </w:r>
      <w:r w:rsidR="00EB0974">
        <w:t>minority relations in Britain developed in regard to this racial reality. It was the white majority population against the non-white immigrant minority</w:t>
      </w:r>
      <w:r w:rsidR="009A1CD7">
        <w:t xml:space="preserve">. </w:t>
      </w:r>
      <w:r w:rsidR="0085100D">
        <w:t>In 1982, Salman Rushdie explained that Britain “is two entirely different worlds and the one you inherit is determined by the colour of your skin.”</w:t>
      </w:r>
      <w:r w:rsidR="0085100D">
        <w:rPr>
          <w:rStyle w:val="FootnoteReference"/>
        </w:rPr>
        <w:footnoteReference w:id="69"/>
      </w:r>
      <w:r w:rsidR="0085100D">
        <w:t xml:space="preserve"> </w:t>
      </w:r>
    </w:p>
    <w:p w:rsidR="007D7D5E" w:rsidRDefault="00A221A0" w:rsidP="00785BE2">
      <w:pPr>
        <w:spacing w:line="480" w:lineRule="auto"/>
      </w:pPr>
      <w:r>
        <w:tab/>
        <w:t xml:space="preserve">From the late 1960s through the 1980s the non-white immigrant community formed a single black constituency. Black was </w:t>
      </w:r>
      <w:r w:rsidR="003D2C88">
        <w:t>synonymous</w:t>
      </w:r>
      <w:r>
        <w:t xml:space="preserve"> with immigrant and foreigner. </w:t>
      </w:r>
      <w:r w:rsidR="00EB0974">
        <w:t>As previously stated, the Afro-Caribbean population was the main group in this black constituency and represented the popular image of the immigrant community, however all non-white immigrants, including Pakistanis, Bangladeshis, and Indians were included in this black minority constituency. An individual was either a member of the white majority or the black minority. This</w:t>
      </w:r>
      <w:r>
        <w:t xml:space="preserve"> black </w:t>
      </w:r>
      <w:r w:rsidR="007D2DE1">
        <w:t xml:space="preserve">minority </w:t>
      </w:r>
      <w:r>
        <w:t>identity, especially for Afro-</w:t>
      </w:r>
      <w:r w:rsidR="007B2DC0">
        <w:t>Caribbeans</w:t>
      </w:r>
      <w:r>
        <w:t>, took on a special importance for the second-generation, who did not have a particularly strong connection to their parents’ country of origin nor were they accepted by mainstream British society. When asked to describe themselves</w:t>
      </w:r>
      <w:r w:rsidR="001F3F4C">
        <w:t>,</w:t>
      </w:r>
      <w:r>
        <w:t xml:space="preserve"> “Black…was the predominant term used by second gen</w:t>
      </w:r>
      <w:r w:rsidR="004F00D2">
        <w:t>eration respondents,” who also recognized that the term black “</w:t>
      </w:r>
      <w:r>
        <w:t>was often used in a restrictive and negative fashion within the wider society,</w:t>
      </w:r>
      <w:r w:rsidR="004F00D2">
        <w:t>” but, “</w:t>
      </w:r>
      <w:r>
        <w:t>they saw black as a positive identity.”</w:t>
      </w:r>
      <w:r>
        <w:rPr>
          <w:rStyle w:val="FootnoteReference"/>
        </w:rPr>
        <w:footnoteReference w:id="70"/>
      </w:r>
      <w:r w:rsidR="005B6339">
        <w:t xml:space="preserve"> Another second-generation </w:t>
      </w:r>
      <w:r w:rsidR="00710B40">
        <w:t>migrant</w:t>
      </w:r>
      <w:r w:rsidR="005B6339">
        <w:t xml:space="preserve"> explained their</w:t>
      </w:r>
      <w:r w:rsidR="004F00D2">
        <w:t xml:space="preserve"> choice to</w:t>
      </w:r>
      <w:r w:rsidR="005B6339">
        <w:t xml:space="preserve"> </w:t>
      </w:r>
      <w:r w:rsidR="004F00D2">
        <w:t>affiliate</w:t>
      </w:r>
      <w:r w:rsidR="005B6339">
        <w:t xml:space="preserve"> with political blackness: “I identify with ‘black’ as a political term because, to fight racism effectively, minority groups need to be united. Calling yourself different ethnic groups in the battle against racism is divisive and ineffective.”</w:t>
      </w:r>
      <w:r w:rsidR="005B6339">
        <w:rPr>
          <w:rStyle w:val="FootnoteReference"/>
        </w:rPr>
        <w:footnoteReference w:id="71"/>
      </w:r>
      <w:r w:rsidR="007D7D5E">
        <w:t xml:space="preserve"> Afro-Caribbeans </w:t>
      </w:r>
      <w:r w:rsidR="0040088D">
        <w:t>were at the forefront of political blackness and confrontations with mainstream British society,</w:t>
      </w:r>
      <w:r w:rsidR="004F00D2">
        <w:t xml:space="preserve"> </w:t>
      </w:r>
      <w:r w:rsidR="007D2DE1">
        <w:t>but</w:t>
      </w:r>
      <w:r w:rsidR="004F00D2">
        <w:t xml:space="preserve"> politically the black identity </w:t>
      </w:r>
      <w:r w:rsidR="007D7D5E">
        <w:t>embraced</w:t>
      </w:r>
      <w:r w:rsidR="004F00D2">
        <w:t xml:space="preserve"> Asians as well, and </w:t>
      </w:r>
      <w:r w:rsidR="00710B40">
        <w:t xml:space="preserve">an </w:t>
      </w:r>
      <w:r w:rsidR="0040088D">
        <w:t>inclusi</w:t>
      </w:r>
      <w:r w:rsidR="004F00D2">
        <w:t xml:space="preserve">ve non-white identity </w:t>
      </w:r>
      <w:r w:rsidR="007D7D5E">
        <w:t xml:space="preserve">had </w:t>
      </w:r>
      <w:r w:rsidR="004F00D2">
        <w:t xml:space="preserve">developed. </w:t>
      </w:r>
    </w:p>
    <w:p w:rsidR="007513FB" w:rsidRDefault="007D7D5E" w:rsidP="007D7D5E">
      <w:pPr>
        <w:spacing w:line="480" w:lineRule="auto"/>
        <w:ind w:firstLine="720"/>
      </w:pPr>
      <w:r>
        <w:t>The</w:t>
      </w:r>
      <w:r w:rsidR="004F00D2">
        <w:t xml:space="preserve"> black white dichotomy in Britain </w:t>
      </w:r>
      <w:r>
        <w:t>le</w:t>
      </w:r>
      <w:r w:rsidR="0040088D">
        <w:t xml:space="preserve">d to the </w:t>
      </w:r>
      <w:r w:rsidR="00297C30">
        <w:t>emergence</w:t>
      </w:r>
      <w:r w:rsidR="0040088D">
        <w:t xml:space="preserve"> of </w:t>
      </w:r>
      <w:r w:rsidR="00297C30">
        <w:t xml:space="preserve">a </w:t>
      </w:r>
      <w:r w:rsidR="0040088D">
        <w:t>minority relations</w:t>
      </w:r>
      <w:r w:rsidR="00297C30">
        <w:t xml:space="preserve"> discourse that </w:t>
      </w:r>
      <w:r w:rsidR="000412FA">
        <w:t>had significant consequences for multicultural policy. In an attempt to establish equal opportunity in an atmosphere of mutual tolerance the British government sought to elevate the b</w:t>
      </w:r>
      <w:r w:rsidR="00710B40">
        <w:t xml:space="preserve">lack migrant minority </w:t>
      </w:r>
      <w:r w:rsidR="000412FA">
        <w:t xml:space="preserve">and as a result developed anti-discrimination legislation that was intended to alleviate the apparent cause of the migrant’s marginalization, their blackness. Legislation </w:t>
      </w:r>
      <w:r w:rsidR="003E6335">
        <w:t xml:space="preserve">was </w:t>
      </w:r>
      <w:r w:rsidR="000412FA">
        <w:t>developed that would attack racial discrimination, the supposed cause of the immigrants struggles in British society.</w:t>
      </w:r>
    </w:p>
    <w:p w:rsidR="00710B40" w:rsidRDefault="007513FB" w:rsidP="00785BE2">
      <w:pPr>
        <w:spacing w:line="480" w:lineRule="auto"/>
      </w:pPr>
      <w:r>
        <w:tab/>
      </w:r>
    </w:p>
    <w:p w:rsidR="003C4F11" w:rsidRPr="003C4F11" w:rsidRDefault="00666EB6" w:rsidP="00785BE2">
      <w:pPr>
        <w:spacing w:line="480" w:lineRule="auto"/>
      </w:pPr>
      <w:r>
        <w:rPr>
          <w:b/>
          <w:u w:val="single"/>
        </w:rPr>
        <w:t>Discrimination Leg</w:t>
      </w:r>
      <w:r w:rsidR="003C4F11">
        <w:rPr>
          <w:b/>
          <w:u w:val="single"/>
        </w:rPr>
        <w:t>islation</w:t>
      </w:r>
    </w:p>
    <w:p w:rsidR="003C4F11" w:rsidRDefault="003C4F11" w:rsidP="003B527F">
      <w:pPr>
        <w:spacing w:line="480" w:lineRule="auto"/>
        <w:ind w:firstLine="720"/>
      </w:pPr>
      <w:r>
        <w:t xml:space="preserve">Confronted with the reality of mass migration </w:t>
      </w:r>
      <w:r w:rsidR="003B527F">
        <w:t>in the 1960s</w:t>
      </w:r>
      <w:r>
        <w:t xml:space="preserve">, the British government was forced to confront the inherent racism and discriminatory inclinations of the white majority population. </w:t>
      </w:r>
      <w:r w:rsidR="003B527F">
        <w:t>In order to both accommodate the majority’s desire for less immigration and the migrant minority’s need to be properly integrated, t</w:t>
      </w:r>
      <w:r>
        <w:t xml:space="preserve">he </w:t>
      </w:r>
      <w:r w:rsidR="003B527F">
        <w:t>state</w:t>
      </w:r>
      <w:r>
        <w:t xml:space="preserve"> would pursue tightened immigration controls, seeking to restrict the growth of the non-white population, and simultaneously pursue </w:t>
      </w:r>
      <w:r w:rsidR="003B527F">
        <w:t>equality of opportunity through legislation</w:t>
      </w:r>
      <w:r>
        <w:t>. The problems of racial violence and discri</w:t>
      </w:r>
      <w:r w:rsidR="002A3448">
        <w:t xml:space="preserve">mination were to be targeted in statutory form through the Race Relations Act. </w:t>
      </w:r>
    </w:p>
    <w:p w:rsidR="00263A27" w:rsidRDefault="007513FB" w:rsidP="003C4F11">
      <w:pPr>
        <w:spacing w:line="480" w:lineRule="auto"/>
        <w:ind w:firstLine="720"/>
      </w:pPr>
      <w:r>
        <w:t>The Race Relati</w:t>
      </w:r>
      <w:r w:rsidR="003D19F5">
        <w:t xml:space="preserve">ons Act of 1976 </w:t>
      </w:r>
      <w:r w:rsidR="00DD588F">
        <w:t xml:space="preserve">cemented a state sponsorship of </w:t>
      </w:r>
      <w:r w:rsidR="00C0111B">
        <w:t>racial</w:t>
      </w:r>
      <w:r w:rsidR="00DD588F">
        <w:t xml:space="preserve"> equality, merging both the Race Relations Acts of 1965 and 1968, and establishing the Commission for Racial Equality. </w:t>
      </w:r>
      <w:r w:rsidR="002A3448">
        <w:t xml:space="preserve">The Act’s purpose was to “assist the integration of those immigrants already settled in Britain,” by outlawing </w:t>
      </w:r>
      <w:r w:rsidR="00674CB4">
        <w:t>public and private racial discrimination and by establishing the criminal offense of incitement to racial hatred.</w:t>
      </w:r>
      <w:r w:rsidR="00674CB4">
        <w:rPr>
          <w:rStyle w:val="FootnoteReference"/>
        </w:rPr>
        <w:footnoteReference w:id="72"/>
      </w:r>
      <w:r w:rsidR="00674CB4">
        <w:t xml:space="preserve"> By outlawing discrimination and seeking to prevent racial violence, the government hoped to facilitate</w:t>
      </w:r>
      <w:r w:rsidR="00C75D58">
        <w:t xml:space="preserve"> the</w:t>
      </w:r>
      <w:r w:rsidR="00674CB4">
        <w:t xml:space="preserve"> integration of immigrants </w:t>
      </w:r>
      <w:r w:rsidR="00C75D58">
        <w:t>through equality of opportunity</w:t>
      </w:r>
      <w:r w:rsidR="00263A27">
        <w:t>. Furthermore, anti-discrimination policy during this period was largely borrowed from</w:t>
      </w:r>
      <w:r w:rsidR="00C75D58">
        <w:t xml:space="preserve"> American experience, notably the </w:t>
      </w:r>
      <w:r w:rsidR="00B63EEC">
        <w:t>Civil Rights Act of 1964</w:t>
      </w:r>
      <w:r w:rsidR="00263A27">
        <w:t>.</w:t>
      </w:r>
      <w:r w:rsidR="00B63EEC">
        <w:rPr>
          <w:rStyle w:val="FootnoteReference"/>
        </w:rPr>
        <w:footnoteReference w:id="73"/>
      </w:r>
      <w:r w:rsidR="00263A27">
        <w:t xml:space="preserve"> A</w:t>
      </w:r>
      <w:r w:rsidR="00C62AF9">
        <w:t xml:space="preserve">s a result race was acknowledged as the </w:t>
      </w:r>
      <w:r w:rsidR="003E6335">
        <w:t>single</w:t>
      </w:r>
      <w:r w:rsidR="002F1EB7">
        <w:t xml:space="preserve"> legally recognized</w:t>
      </w:r>
      <w:r w:rsidR="00C62AF9">
        <w:t xml:space="preserve"> </w:t>
      </w:r>
      <w:r w:rsidR="00263A27">
        <w:t>determinant</w:t>
      </w:r>
      <w:r w:rsidR="00C62AF9">
        <w:t xml:space="preserve"> of </w:t>
      </w:r>
      <w:r w:rsidR="003E6335">
        <w:t>discrimination. A</w:t>
      </w:r>
      <w:r w:rsidR="00C75D58">
        <w:t>ll other potential determinants, such as religion, were ignored</w:t>
      </w:r>
      <w:r w:rsidR="003E6335">
        <w:t xml:space="preserve"> either</w:t>
      </w:r>
      <w:r w:rsidR="00C75D58">
        <w:t xml:space="preserve"> out of </w:t>
      </w:r>
      <w:r w:rsidR="00127ED7">
        <w:t>naïveté</w:t>
      </w:r>
      <w:r w:rsidR="00C75D58">
        <w:t xml:space="preserve"> or a genuine belief that </w:t>
      </w:r>
      <w:r w:rsidR="004E3191">
        <w:t>racial discrimination was the most significant barrier to migrant integration.</w:t>
      </w:r>
      <w:r w:rsidR="00C62AF9">
        <w:t xml:space="preserve"> </w:t>
      </w:r>
      <w:r w:rsidR="00EC1263">
        <w:t xml:space="preserve"> </w:t>
      </w:r>
      <w:r w:rsidR="008334B4">
        <w:t xml:space="preserve">The Race Relations Act </w:t>
      </w:r>
      <w:r w:rsidR="00263A27">
        <w:t xml:space="preserve">was </w:t>
      </w:r>
      <w:r w:rsidR="008334B4">
        <w:t xml:space="preserve">the first </w:t>
      </w:r>
      <w:r w:rsidR="00263A27">
        <w:t>governmental</w:t>
      </w:r>
      <w:r w:rsidR="008334B4">
        <w:t xml:space="preserve"> recognition of the issue of discrimination and prejudice towards immigrants, but an official understanding of the depth of </w:t>
      </w:r>
      <w:r w:rsidR="00203830">
        <w:t>institutional racism was not acknowledged until the post-Brixton riots era</w:t>
      </w:r>
      <w:r w:rsidR="007B2DC0">
        <w:t xml:space="preserve"> in the 1980s</w:t>
      </w:r>
      <w:r w:rsidR="00203830">
        <w:t xml:space="preserve">. </w:t>
      </w:r>
    </w:p>
    <w:p w:rsidR="00263A27" w:rsidRDefault="00263A27" w:rsidP="00263A27">
      <w:pPr>
        <w:spacing w:line="480" w:lineRule="auto"/>
      </w:pPr>
    </w:p>
    <w:p w:rsidR="00203830" w:rsidRPr="00263A27" w:rsidRDefault="00263A27" w:rsidP="00263A27">
      <w:pPr>
        <w:spacing w:line="480" w:lineRule="auto"/>
        <w:rPr>
          <w:b/>
          <w:u w:val="single"/>
        </w:rPr>
      </w:pPr>
      <w:r>
        <w:rPr>
          <w:b/>
          <w:u w:val="single"/>
        </w:rPr>
        <w:t>Black Youth: A Law and Order Problem</w:t>
      </w:r>
    </w:p>
    <w:p w:rsidR="009867AA" w:rsidRDefault="00FC6250" w:rsidP="003C4F11">
      <w:pPr>
        <w:spacing w:line="480" w:lineRule="auto"/>
        <w:ind w:firstLine="720"/>
      </w:pPr>
      <w:r>
        <w:t xml:space="preserve">The development of </w:t>
      </w:r>
      <w:r w:rsidR="00CA08F5">
        <w:t xml:space="preserve">a </w:t>
      </w:r>
      <w:r>
        <w:t xml:space="preserve">black political and community identity </w:t>
      </w:r>
      <w:r w:rsidR="00CA08F5">
        <w:t>fostered</w:t>
      </w:r>
      <w:r w:rsidR="00FE621C">
        <w:t xml:space="preserve"> a consciousness of difference </w:t>
      </w:r>
      <w:r>
        <w:t>and marginalization by the immigrant community. The second</w:t>
      </w:r>
      <w:r w:rsidR="00263A27">
        <w:t xml:space="preserve">-generation migrants </w:t>
      </w:r>
      <w:r>
        <w:t>were raised with a full understanding of their exclusion from mainstream society and their socio-economic margina</w:t>
      </w:r>
      <w:r w:rsidR="00F44A53">
        <w:t xml:space="preserve">lization. As a result </w:t>
      </w:r>
      <w:r>
        <w:t xml:space="preserve">a large degree of distrust </w:t>
      </w:r>
      <w:r w:rsidR="00F44A53">
        <w:t>was</w:t>
      </w:r>
      <w:r>
        <w:t xml:space="preserve"> exhibited towards members of mainstream society, and particularly towards the </w:t>
      </w:r>
      <w:r w:rsidR="00D923CB">
        <w:t xml:space="preserve">institutions that were the foundations of the status quo, such as the police. </w:t>
      </w:r>
      <w:r w:rsidR="00D35132">
        <w:t>A representative of the W</w:t>
      </w:r>
      <w:r w:rsidR="00C0111B">
        <w:t>est Indian community referenced</w:t>
      </w:r>
      <w:r w:rsidR="00D35132">
        <w:t xml:space="preserve"> this contentious relationship between the black community and the British authorities that began in the 1960s and intensified in the 1970s: “To state that a sizeable proportion of the West Indian community no longer trust the police is to confer a euphemism upon a situation which, for many, has reached a level equal to fear,” and “if urgent action is not taken to give effect to the grave issue at hand, violence on a large scale cannot be ruled out.”</w:t>
      </w:r>
      <w:r w:rsidR="00D35132">
        <w:rPr>
          <w:rStyle w:val="FootnoteReference"/>
        </w:rPr>
        <w:footnoteReference w:id="74"/>
      </w:r>
      <w:r w:rsidR="004A51F9">
        <w:t xml:space="preserve"> Battles between the police and </w:t>
      </w:r>
      <w:r w:rsidR="009867AA">
        <w:t xml:space="preserve">black youths occurred frequently, </w:t>
      </w:r>
      <w:r w:rsidR="00FE621C">
        <w:t xml:space="preserve">and as a result young blacks were widely regarded </w:t>
      </w:r>
      <w:r w:rsidR="009867AA">
        <w:t>as troublema</w:t>
      </w:r>
      <w:r w:rsidR="00FE621C">
        <w:t>kers and criminals. The tension</w:t>
      </w:r>
      <w:r w:rsidR="009867AA">
        <w:t xml:space="preserve"> between the black community and the police erupted in 1981.</w:t>
      </w:r>
    </w:p>
    <w:p w:rsidR="00823AFB" w:rsidRDefault="00CD011A" w:rsidP="003C4F11">
      <w:pPr>
        <w:spacing w:line="480" w:lineRule="auto"/>
        <w:ind w:firstLine="720"/>
      </w:pPr>
      <w:r>
        <w:t xml:space="preserve">One of the consequences of embracing a black cultural identity that was </w:t>
      </w:r>
      <w:r w:rsidR="0086263C">
        <w:t>distinct</w:t>
      </w:r>
      <w:r>
        <w:t xml:space="preserve"> and at odds with the majority white culture</w:t>
      </w:r>
      <w:r w:rsidR="0086263C">
        <w:t>, a culture</w:t>
      </w:r>
      <w:r>
        <w:t xml:space="preserve"> that blacks s</w:t>
      </w:r>
      <w:r w:rsidR="00A43ADF">
        <w:t>ought to challenge and alter</w:t>
      </w:r>
      <w:r w:rsidR="0086263C">
        <w:t>,</w:t>
      </w:r>
      <w:r>
        <w:t xml:space="preserve"> </w:t>
      </w:r>
      <w:r w:rsidR="0086263C">
        <w:t>was</w:t>
      </w:r>
      <w:r>
        <w:t xml:space="preserve"> that blacks came to be defined as a “law and order problem.”</w:t>
      </w:r>
      <w:r>
        <w:rPr>
          <w:rStyle w:val="FootnoteReference"/>
        </w:rPr>
        <w:footnoteReference w:id="75"/>
      </w:r>
      <w:r w:rsidR="00485010">
        <w:t xml:space="preserve"> Many blacks welcomed such a definition and took pride in an identity that openly challenged and confronted a state that they saw as racist, discriminatory, and unjust, and “attacks on the police,” by black youths were “gradually seen</w:t>
      </w:r>
      <w:r w:rsidR="00823AFB">
        <w:t xml:space="preserve"> as expressive of black culture,</w:t>
      </w:r>
      <w:r w:rsidR="00485010">
        <w:t>”</w:t>
      </w:r>
      <w:r w:rsidR="00823AFB">
        <w:t xml:space="preserve"> </w:t>
      </w:r>
      <w:r w:rsidR="00263A27">
        <w:t>in addition to</w:t>
      </w:r>
      <w:r w:rsidR="00823AFB">
        <w:t xml:space="preserve"> other forms</w:t>
      </w:r>
      <w:r w:rsidR="00263A27">
        <w:t xml:space="preserve"> of</w:t>
      </w:r>
      <w:r w:rsidR="00823AFB">
        <w:t xml:space="preserve"> illegal activity that served as means of defying the state.</w:t>
      </w:r>
      <w:r w:rsidR="00485010">
        <w:rPr>
          <w:rStyle w:val="FootnoteReference"/>
        </w:rPr>
        <w:footnoteReference w:id="76"/>
      </w:r>
      <w:r w:rsidR="00F05DC8">
        <w:t xml:space="preserve"> </w:t>
      </w:r>
      <w:r w:rsidR="00A43ADF">
        <w:t>The police were the most visible and persistent manifestation of the white British state, and the targeting of police was a popular and easy means for black youths to vent their frust</w:t>
      </w:r>
      <w:r w:rsidR="00823AFB">
        <w:t>rations and express their griev</w:t>
      </w:r>
      <w:r w:rsidR="001222BB">
        <w:t>ances</w:t>
      </w:r>
      <w:r w:rsidR="00A43ADF">
        <w:t xml:space="preserve">. </w:t>
      </w:r>
      <w:r w:rsidR="002C7525">
        <w:t>The 1981 Scarman</w:t>
      </w:r>
      <w:r w:rsidR="00FE621C">
        <w:t xml:space="preserve"> Report recognized signs among the </w:t>
      </w:r>
      <w:r w:rsidR="002C7525">
        <w:t>black youth</w:t>
      </w:r>
      <w:r w:rsidR="00FE621C">
        <w:t xml:space="preserve"> “</w:t>
      </w:r>
      <w:r w:rsidR="002C7525">
        <w:t>of a disturbing trend towards a total rejection of white society and the development of black separatist philosophies.”</w:t>
      </w:r>
      <w:r w:rsidR="002C7525">
        <w:rPr>
          <w:rStyle w:val="FootnoteReference"/>
        </w:rPr>
        <w:footnoteReference w:id="77"/>
      </w:r>
      <w:r w:rsidR="002C7525">
        <w:t xml:space="preserve"> </w:t>
      </w:r>
      <w:r w:rsidR="00A43ADF">
        <w:t xml:space="preserve">As a result </w:t>
      </w:r>
      <w:r w:rsidR="00823AFB">
        <w:t xml:space="preserve">of this defiant identity the police disproportionately targeted black, “high crime,” communities, and the constant presence of the police in such areas </w:t>
      </w:r>
      <w:r w:rsidR="00F05DC8">
        <w:t>invariably made situations worse and more tense as many members of the black community regarded t</w:t>
      </w:r>
      <w:r w:rsidR="00823AFB">
        <w:t>he police as “natural enemies.”</w:t>
      </w:r>
      <w:r w:rsidR="00F05DC8">
        <w:rPr>
          <w:rStyle w:val="FootnoteReference"/>
        </w:rPr>
        <w:footnoteReference w:id="78"/>
      </w:r>
      <w:r w:rsidR="00F05DC8">
        <w:t xml:space="preserve"> </w:t>
      </w:r>
      <w:r w:rsidR="00823AFB">
        <w:t>One such example of the heavy-handed</w:t>
      </w:r>
      <w:r w:rsidR="00F05DC8">
        <w:t xml:space="preserve"> police </w:t>
      </w:r>
      <w:r w:rsidR="00823AFB">
        <w:t>measures</w:t>
      </w:r>
      <w:r w:rsidR="00F05DC8">
        <w:t xml:space="preserve"> in minority neighborhoods </w:t>
      </w:r>
      <w:r w:rsidR="00823AFB">
        <w:t>was</w:t>
      </w:r>
      <w:r w:rsidR="00F05DC8">
        <w:t xml:space="preserve"> the presence of 1500 uniformed offices at the 1976 Notting Hill </w:t>
      </w:r>
      <w:r w:rsidR="003D2C88">
        <w:t>Carnival</w:t>
      </w:r>
      <w:r w:rsidR="00F05DC8">
        <w:t xml:space="preserve">, a day meant to commemorate the </w:t>
      </w:r>
      <w:r w:rsidR="003D2C88">
        <w:t>atrocities</w:t>
      </w:r>
      <w:r w:rsidR="00F05DC8">
        <w:t xml:space="preserve"> of 1958, which of course ended in violent confrontation between black youths and the police. </w:t>
      </w:r>
    </w:p>
    <w:p w:rsidR="001246FC" w:rsidRDefault="00485010" w:rsidP="003C4F11">
      <w:pPr>
        <w:spacing w:line="480" w:lineRule="auto"/>
        <w:ind w:firstLine="720"/>
      </w:pPr>
      <w:r>
        <w:t xml:space="preserve">Operation Swamp was </w:t>
      </w:r>
      <w:r w:rsidR="00F05DC8">
        <w:t>another</w:t>
      </w:r>
      <w:r>
        <w:t xml:space="preserve"> example of the disproportionate focus and aggressive tactics that the police used to try to weed out the petty criminals of minority communities. </w:t>
      </w:r>
      <w:r w:rsidR="00823AFB">
        <w:t xml:space="preserve">Carried out in the Brixton district of South London, this massive stop and search effort sought to find muggers, drug dealers, and other such criminals. </w:t>
      </w:r>
      <w:r w:rsidR="00F05DC8">
        <w:t xml:space="preserve">In four days 943 people were stopped and searched, and on the fifth day violent protesting erupted and lasted for three days. </w:t>
      </w:r>
    </w:p>
    <w:p w:rsidR="008022B7" w:rsidRDefault="004654E6" w:rsidP="003C4F11">
      <w:pPr>
        <w:spacing w:line="480" w:lineRule="auto"/>
        <w:ind w:firstLine="720"/>
      </w:pPr>
      <w:r>
        <w:t>The violent conflict</w:t>
      </w:r>
      <w:r w:rsidR="00294F82">
        <w:t xml:space="preserve"> between blacks and the police </w:t>
      </w:r>
      <w:r>
        <w:t xml:space="preserve">in conjunction with “growing evidence of brutal racist murders unsolved by the police,” resulted in the home secretary, William Whitelaw, ordering his department to publish a report on the problem of racial violence and </w:t>
      </w:r>
      <w:r w:rsidR="003D2C88">
        <w:t>institutional</w:t>
      </w:r>
      <w:r>
        <w:t xml:space="preserve"> racism in the police and criminal justice system.</w:t>
      </w:r>
      <w:r>
        <w:rPr>
          <w:rStyle w:val="FootnoteReference"/>
        </w:rPr>
        <w:footnoteReference w:id="79"/>
      </w:r>
      <w:r>
        <w:t xml:space="preserve"> The </w:t>
      </w:r>
      <w:r w:rsidR="00294F82">
        <w:t xml:space="preserve">1981 </w:t>
      </w:r>
      <w:r>
        <w:t xml:space="preserve">Home Office publication was the first official recognition of institutional racism and of issues related to race that extended beyond societal prejudices in the workplace and housing. </w:t>
      </w:r>
      <w:r w:rsidR="00DF041D">
        <w:t>As a result</w:t>
      </w:r>
      <w:r w:rsidR="005F58A3">
        <w:t>,</w:t>
      </w:r>
      <w:r w:rsidR="00DF041D">
        <w:t xml:space="preserve"> a range of governmental agencies, including the House of Commons, Home Office, Metropolitan Police, Association of Chief Police Officers, and Greater London Council, “elevated racism to the status of urgent priority.”</w:t>
      </w:r>
      <w:r w:rsidR="00DF041D">
        <w:rPr>
          <w:rStyle w:val="FootnoteReference"/>
        </w:rPr>
        <w:footnoteReference w:id="80"/>
      </w:r>
      <w:r w:rsidR="00DF041D">
        <w:t xml:space="preserve"> Over the next two decades</w:t>
      </w:r>
      <w:r w:rsidR="007F57F4">
        <w:t>, culmina</w:t>
      </w:r>
      <w:r w:rsidR="00B11D01">
        <w:t>ting with the Stephen Lawrence I</w:t>
      </w:r>
      <w:r w:rsidR="007F57F4">
        <w:t xml:space="preserve">nquiry, which found widespread racism in the criminal justice system, </w:t>
      </w:r>
      <w:r w:rsidR="00106F15">
        <w:t xml:space="preserve">the </w:t>
      </w:r>
      <w:r w:rsidR="007F57F4">
        <w:t xml:space="preserve">anti-racist </w:t>
      </w:r>
      <w:r w:rsidR="00106F15">
        <w:t>movement</w:t>
      </w:r>
      <w:r w:rsidR="007F57F4">
        <w:t xml:space="preserve"> </w:t>
      </w:r>
      <w:r w:rsidR="00B11D01">
        <w:t>scored some considerable victories</w:t>
      </w:r>
      <w:r w:rsidR="007F57F4">
        <w:t xml:space="preserve">. </w:t>
      </w:r>
      <w:r w:rsidR="00F11A7D">
        <w:t>Conceptions of b</w:t>
      </w:r>
      <w:r w:rsidR="007F57F4">
        <w:t xml:space="preserve">lacks as perpetrators of violence and crime slowly transitioned to an understanding of such minority communities as victims of socio-economic hardship </w:t>
      </w:r>
      <w:r w:rsidR="00360F96">
        <w:t>and widespread societ</w:t>
      </w:r>
      <w:r w:rsidR="00F85C0B">
        <w:t>al</w:t>
      </w:r>
      <w:r w:rsidR="007F57F4">
        <w:t xml:space="preserve"> and inst</w:t>
      </w:r>
      <w:r w:rsidR="00360F96">
        <w:t>it</w:t>
      </w:r>
      <w:r w:rsidR="007F57F4">
        <w:t>utional prejudices</w:t>
      </w:r>
      <w:r w:rsidR="00F85C0B">
        <w:t xml:space="preserve"> and biases</w:t>
      </w:r>
      <w:r w:rsidR="00294F82">
        <w:t>.</w:t>
      </w:r>
      <w:r w:rsidR="00B3430F">
        <w:rPr>
          <w:rStyle w:val="FootnoteReference"/>
        </w:rPr>
        <w:footnoteReference w:id="81"/>
      </w:r>
      <w:r w:rsidR="00393D36">
        <w:t xml:space="preserve"> </w:t>
      </w:r>
      <w:r w:rsidR="009A2EB7">
        <w:t xml:space="preserve">It became clear to the British government that efforts to establish a multicultural atmosphere of mutual tolerance had not been taken seriously. </w:t>
      </w:r>
    </w:p>
    <w:p w:rsidR="0024757B" w:rsidRDefault="009A2EB7" w:rsidP="003C4F11">
      <w:pPr>
        <w:spacing w:line="480" w:lineRule="auto"/>
        <w:ind w:firstLine="720"/>
      </w:pPr>
      <w:r>
        <w:t xml:space="preserve">Through Home Office Reports and inquiries into institutional problems regarding race the British government was essentially </w:t>
      </w:r>
      <w:r w:rsidR="005F58A3">
        <w:t>acknowledging</w:t>
      </w:r>
      <w:r>
        <w:t xml:space="preserve"> that it had failed to properly implement </w:t>
      </w:r>
      <w:r w:rsidR="005F58A3">
        <w:t>the multicultural vision of equal opportunity in an atmosphere of mutual tolerance</w:t>
      </w:r>
      <w:r w:rsidR="00767E8A">
        <w:t>,</w:t>
      </w:r>
      <w:r>
        <w:t xml:space="preserve"> and that t</w:t>
      </w:r>
      <w:r w:rsidR="008022B7">
        <w:t xml:space="preserve">he burden was now on the state </w:t>
      </w:r>
      <w:r>
        <w:t xml:space="preserve">to remedy </w:t>
      </w:r>
      <w:r w:rsidR="005F58A3">
        <w:t>the</w:t>
      </w:r>
      <w:r>
        <w:t xml:space="preserve"> social ills</w:t>
      </w:r>
      <w:r w:rsidR="00106F15">
        <w:t xml:space="preserve"> that were inhibiting the proper integration of the immigrant community</w:t>
      </w:r>
      <w:r w:rsidR="005F58A3">
        <w:t>: “A more ready recognition of the ethnic minority need within the more general problem of deprivation is required, as is a clear and coordinated response to it from government at all levels.”</w:t>
      </w:r>
      <w:r w:rsidR="005F58A3">
        <w:rPr>
          <w:rStyle w:val="FootnoteReference"/>
        </w:rPr>
        <w:footnoteReference w:id="82"/>
      </w:r>
      <w:r w:rsidR="00AB6461">
        <w:t xml:space="preserve"> </w:t>
      </w:r>
      <w:r w:rsidR="00B90675">
        <w:t>However, such</w:t>
      </w:r>
      <w:r w:rsidR="007F57F4">
        <w:t xml:space="preserve"> </w:t>
      </w:r>
      <w:r>
        <w:t>state recognition of its own failure and its need to better accommodate t</w:t>
      </w:r>
      <w:r w:rsidR="00106F15">
        <w:t xml:space="preserve">he minority community </w:t>
      </w:r>
      <w:r w:rsidR="00F85C0B">
        <w:t xml:space="preserve">resulted in the </w:t>
      </w:r>
      <w:r w:rsidR="007F57F4">
        <w:t xml:space="preserve">splintering of the black constituency and the emergence of a plurality of non-white minority communities. </w:t>
      </w:r>
      <w:r w:rsidR="0069708B">
        <w:t xml:space="preserve">The non-white immigrant community that had been allied in its fight against racism as </w:t>
      </w:r>
      <w:r w:rsidR="008022B7">
        <w:t>a single</w:t>
      </w:r>
      <w:r w:rsidR="0069708B">
        <w:t xml:space="preserve"> black constituency </w:t>
      </w:r>
      <w:r w:rsidR="005F58A3">
        <w:t>against</w:t>
      </w:r>
      <w:r w:rsidR="0069708B">
        <w:t xml:space="preserve"> the white majority had finally secured</w:t>
      </w:r>
      <w:r w:rsidR="008022B7">
        <w:t xml:space="preserve"> the </w:t>
      </w:r>
      <w:r w:rsidR="005F58A3">
        <w:t>state’s</w:t>
      </w:r>
      <w:r w:rsidR="008022B7">
        <w:t xml:space="preserve"> attention. R</w:t>
      </w:r>
      <w:r w:rsidR="0069708B">
        <w:t>acism was</w:t>
      </w:r>
      <w:r w:rsidR="008022B7">
        <w:t xml:space="preserve"> recognized</w:t>
      </w:r>
      <w:r w:rsidR="0069708B">
        <w:t xml:space="preserve"> a serious issue that permeated </w:t>
      </w:r>
      <w:r w:rsidR="008022B7">
        <w:t xml:space="preserve">the </w:t>
      </w:r>
      <w:r w:rsidR="0069708B">
        <w:t xml:space="preserve">British </w:t>
      </w:r>
      <w:r w:rsidR="008022B7">
        <w:t>state</w:t>
      </w:r>
      <w:r w:rsidR="0069708B">
        <w:t xml:space="preserve"> to the highest levels of </w:t>
      </w:r>
      <w:r w:rsidR="00664D0D">
        <w:t>government</w:t>
      </w:r>
      <w:r w:rsidR="0069708B">
        <w:t>. As a res</w:t>
      </w:r>
      <w:r w:rsidR="008022B7">
        <w:t>ult of the immigrant community’s</w:t>
      </w:r>
      <w:r w:rsidR="0069708B">
        <w:t xml:space="preserve"> success in the fight against racism, this very diverse migrant population no longer had to be united under the banner of political blackness. Other minority groups could now emerge and pursue recognition and accommodation for their own particular needs and interests. The government’s commitment to combating racism was a success for the entire immigrant population, but in the aftermath of such a victory it also became clear that the utility of presenting the migrant community as a single minority or constituency </w:t>
      </w:r>
      <w:r w:rsidR="00B61C37">
        <w:t>had diminished. More specific and particular groups could now emerge to seek accommodation</w:t>
      </w:r>
      <w:r w:rsidR="005F58A3">
        <w:t>. On</w:t>
      </w:r>
      <w:r w:rsidR="00B61C37">
        <w:t xml:space="preserve">e such group that </w:t>
      </w:r>
      <w:r w:rsidR="008022B7">
        <w:t xml:space="preserve">sought to take advantage of this change </w:t>
      </w:r>
      <w:r w:rsidR="00B61C37">
        <w:t xml:space="preserve">was the Muslim community. </w:t>
      </w:r>
      <w:r w:rsidR="0069708B">
        <w:t xml:space="preserve"> </w:t>
      </w:r>
    </w:p>
    <w:p w:rsidR="0024757B" w:rsidRDefault="0024757B" w:rsidP="0024757B">
      <w:pPr>
        <w:spacing w:line="480" w:lineRule="auto"/>
        <w:rPr>
          <w:b/>
          <w:u w:val="single"/>
        </w:rPr>
      </w:pPr>
      <w:r>
        <w:rPr>
          <w:b/>
          <w:u w:val="single"/>
        </w:rPr>
        <w:t>A Muslim Minority</w:t>
      </w:r>
    </w:p>
    <w:p w:rsidR="00E56E47" w:rsidRDefault="00352223" w:rsidP="0024757B">
      <w:pPr>
        <w:spacing w:line="480" w:lineRule="auto"/>
      </w:pPr>
      <w:r>
        <w:rPr>
          <w:b/>
        </w:rPr>
        <w:tab/>
      </w:r>
      <w:r>
        <w:t>By the end of the 1</w:t>
      </w:r>
      <w:r w:rsidR="008022B7">
        <w:t>980s new minority groups</w:t>
      </w:r>
      <w:r>
        <w:t xml:space="preserve"> </w:t>
      </w:r>
      <w:r w:rsidR="008022B7">
        <w:t xml:space="preserve">became </w:t>
      </w:r>
      <w:r w:rsidR="00BC6873">
        <w:t>visible in British society</w:t>
      </w:r>
      <w:r>
        <w:t xml:space="preserve"> </w:t>
      </w:r>
      <w:r w:rsidR="008022B7">
        <w:t>and began to</w:t>
      </w:r>
      <w:r>
        <w:t xml:space="preserve"> </w:t>
      </w:r>
      <w:r w:rsidR="008022B7">
        <w:t>challenge</w:t>
      </w:r>
      <w:r>
        <w:t xml:space="preserve"> the dualism of black versus white that had taken hold of </w:t>
      </w:r>
      <w:r w:rsidR="00E56E47">
        <w:t>minority relations</w:t>
      </w:r>
      <w:r>
        <w:t xml:space="preserve">. </w:t>
      </w:r>
      <w:r w:rsidR="00A30B82">
        <w:t>The event that is often referenced as the emergence of a distinct Muslim identity that separated Asian Mu</w:t>
      </w:r>
      <w:r w:rsidR="00BC6873">
        <w:t xml:space="preserve">slim migrants from the </w:t>
      </w:r>
      <w:r w:rsidR="00A30B82">
        <w:t>black</w:t>
      </w:r>
      <w:r w:rsidR="00BC6873">
        <w:t xml:space="preserve"> migrant</w:t>
      </w:r>
      <w:r w:rsidR="00A30B82">
        <w:t xml:space="preserve"> constituency was the controversy over Salman Rushdie’s </w:t>
      </w:r>
      <w:r w:rsidR="00A30B82">
        <w:rPr>
          <w:i/>
        </w:rPr>
        <w:t>Satanic Verses</w:t>
      </w:r>
      <w:r w:rsidR="00A30B82">
        <w:t xml:space="preserve">. </w:t>
      </w:r>
      <w:r w:rsidR="006D20A8">
        <w:t>When the novel was released in 1988 many</w:t>
      </w:r>
      <w:r w:rsidR="009A2EB7">
        <w:t xml:space="preserve"> British</w:t>
      </w:r>
      <w:r w:rsidR="006D20A8">
        <w:t xml:space="preserve"> Muslims complained that its content was offensive. </w:t>
      </w:r>
      <w:r w:rsidR="009A2EB7">
        <w:t>T</w:t>
      </w:r>
      <w:r w:rsidR="006D20A8">
        <w:t xml:space="preserve">his </w:t>
      </w:r>
      <w:r w:rsidR="00BC6873">
        <w:t xml:space="preserve">affair </w:t>
      </w:r>
      <w:r w:rsidR="006D20A8">
        <w:t>was widely seen as a Muslims versus the west battle. And as a result, the Rushdie affair “generated an impassioned Muslim activi</w:t>
      </w:r>
      <w:r w:rsidR="00E56E47">
        <w:t>sm and mobilization that no prev</w:t>
      </w:r>
      <w:r w:rsidR="006D20A8">
        <w:t xml:space="preserve">ious campaign against racism had been remotely able to stir,” </w:t>
      </w:r>
      <w:r w:rsidR="00CA7854">
        <w:t>and, furthermore, the affair resulted in many passive Muslims, including non-religious Muslims, discovering a “new sense of community solidarity.”</w:t>
      </w:r>
      <w:r w:rsidR="00CA7854">
        <w:rPr>
          <w:rStyle w:val="FootnoteReference"/>
        </w:rPr>
        <w:footnoteReference w:id="83"/>
      </w:r>
      <w:r w:rsidR="00DD77ED">
        <w:t xml:space="preserve"> </w:t>
      </w:r>
    </w:p>
    <w:p w:rsidR="00670FE2" w:rsidRDefault="0046312C" w:rsidP="00E56E47">
      <w:pPr>
        <w:spacing w:line="480" w:lineRule="auto"/>
        <w:ind w:firstLine="720"/>
      </w:pPr>
      <w:r>
        <w:t>The novelty of Muslim political mobilization and activism is evident by</w:t>
      </w:r>
      <w:r w:rsidR="00DE78E3">
        <w:t xml:space="preserve"> the fact that </w:t>
      </w:r>
      <w:r w:rsidR="00B43739">
        <w:t xml:space="preserve">following the Rushdie affair the Muslim community became </w:t>
      </w:r>
      <w:r w:rsidR="00713F5B">
        <w:t>increasingly</w:t>
      </w:r>
      <w:r w:rsidR="00B43739">
        <w:t xml:space="preserve"> visible to the rest of society and for</w:t>
      </w:r>
      <w:r w:rsidR="005976F3">
        <w:t xml:space="preserve"> the</w:t>
      </w:r>
      <w:r>
        <w:t xml:space="preserve"> first time “wide sections of the British populace…realized that a substantial group of Muslims had settled in their midst.”</w:t>
      </w:r>
      <w:r>
        <w:rPr>
          <w:rStyle w:val="FootnoteReference"/>
        </w:rPr>
        <w:footnoteReference w:id="84"/>
      </w:r>
      <w:r>
        <w:t xml:space="preserve"> The Muslim population had been invi</w:t>
      </w:r>
      <w:r w:rsidR="00713F5B">
        <w:t xml:space="preserve">sible to the British majority </w:t>
      </w:r>
      <w:r w:rsidR="00D40397">
        <w:t xml:space="preserve">because they had </w:t>
      </w:r>
      <w:r>
        <w:t>blended wit</w:t>
      </w:r>
      <w:r w:rsidR="00D40397">
        <w:t>h the rest of the black minority</w:t>
      </w:r>
      <w:r>
        <w:t xml:space="preserve"> population. </w:t>
      </w:r>
      <w:r w:rsidR="00DD77ED">
        <w:t xml:space="preserve">The British Muslim community, pained by British, or Western, society’s allowance of what they considered defamation of their prophet, sought to assert their grievances through collective action, relying on a collective </w:t>
      </w:r>
      <w:r w:rsidR="00E56E47">
        <w:t xml:space="preserve">Muslim </w:t>
      </w:r>
      <w:r w:rsidR="00D40397">
        <w:t>consciousness</w:t>
      </w:r>
      <w:r w:rsidR="00DD77ED">
        <w:t xml:space="preserve">. A Muslim </w:t>
      </w:r>
      <w:r w:rsidR="00E56E47">
        <w:t xml:space="preserve">minority </w:t>
      </w:r>
      <w:r w:rsidR="00D40397">
        <w:t>identity</w:t>
      </w:r>
      <w:r w:rsidR="00DD77ED">
        <w:t xml:space="preserve"> </w:t>
      </w:r>
      <w:r w:rsidR="00D40397">
        <w:t xml:space="preserve">thus emerged from </w:t>
      </w:r>
      <w:r w:rsidR="00CD149B">
        <w:t xml:space="preserve">the </w:t>
      </w:r>
      <w:r w:rsidR="00DD77ED">
        <w:t>black migrant constituency. Muslims</w:t>
      </w:r>
      <w:r w:rsidR="00E56E47">
        <w:t>,</w:t>
      </w:r>
      <w:r w:rsidR="00DD77ED">
        <w:t xml:space="preserve"> </w:t>
      </w:r>
      <w:r w:rsidR="00E56E47">
        <w:t>implementing</w:t>
      </w:r>
      <w:r w:rsidR="00DD77ED">
        <w:t xml:space="preserve"> the logic of ethnic pride</w:t>
      </w:r>
      <w:r w:rsidR="00E56E47">
        <w:t>,</w:t>
      </w:r>
      <w:r w:rsidR="00DD77ED">
        <w:t xml:space="preserve"> </w:t>
      </w:r>
      <w:r w:rsidR="00E56E47">
        <w:t>were</w:t>
      </w:r>
      <w:r w:rsidR="00DD77ED">
        <w:t xml:space="preserve"> trying to “catch up with the success of a newly l</w:t>
      </w:r>
      <w:r w:rsidR="005E06EF">
        <w:t>egitimized black public identity</w:t>
      </w:r>
      <w:r w:rsidR="00DD77ED">
        <w:t>,” and establish a Muslim identity as a viable and legitimate minority grouping</w:t>
      </w:r>
      <w:r w:rsidR="00713F5B">
        <w:t xml:space="preserve"> with its own specific interests</w:t>
      </w:r>
      <w:r w:rsidR="00DD77ED">
        <w:t>.</w:t>
      </w:r>
      <w:r w:rsidR="00670FE2">
        <w:rPr>
          <w:rStyle w:val="FootnoteReference"/>
        </w:rPr>
        <w:footnoteReference w:id="85"/>
      </w:r>
      <w:r w:rsidR="00DD77ED">
        <w:t xml:space="preserve"> The problem for the Muslim </w:t>
      </w:r>
      <w:r w:rsidR="0037785D">
        <w:t>community was that Britain had developed its minority relations in regards to race, and the assertion of distinctly Muslim-related concerns</w:t>
      </w:r>
      <w:r w:rsidR="008167B9">
        <w:t>, that were primarily religious in nature,</w:t>
      </w:r>
      <w:r w:rsidR="0037785D">
        <w:t xml:space="preserve"> could not be accommodated by statutory mechanisms that viewed all minority </w:t>
      </w:r>
      <w:r w:rsidR="003E3B2E">
        <w:t>related issues through the lens</w:t>
      </w:r>
      <w:r w:rsidR="0037785D">
        <w:t xml:space="preserve"> of skin color.</w:t>
      </w:r>
    </w:p>
    <w:p w:rsidR="00696FB4" w:rsidRDefault="00670FE2" w:rsidP="0024757B">
      <w:pPr>
        <w:spacing w:line="480" w:lineRule="auto"/>
      </w:pPr>
      <w:r>
        <w:tab/>
      </w:r>
      <w:r w:rsidR="003E3B2E">
        <w:t xml:space="preserve">The anti-discrimination laws that developed in post-war Britain assumed that the principle grounds for discrimination was skin color. The minority discourse therefore </w:t>
      </w:r>
      <w:r w:rsidR="00B11D01">
        <w:t>was</w:t>
      </w:r>
      <w:r w:rsidR="003E3B2E">
        <w:t xml:space="preserve"> dominated by the idea that color-racism was the biggest issue facing British society and its new non-white members. </w:t>
      </w:r>
      <w:r w:rsidR="00EF4674">
        <w:t xml:space="preserve">But over the years it </w:t>
      </w:r>
      <w:r w:rsidR="00B11D01">
        <w:t>has become</w:t>
      </w:r>
      <w:r w:rsidR="00EF4674">
        <w:t xml:space="preserve"> apparent that it is the Asian Muslim community,</w:t>
      </w:r>
      <w:r w:rsidR="008167B9">
        <w:t xml:space="preserve"> </w:t>
      </w:r>
      <w:r w:rsidR="00EF4674">
        <w:t xml:space="preserve">rather than the Afro-Caribbean community, that has become the most disadvantaged and destitute. </w:t>
      </w:r>
      <w:r w:rsidR="00CD149B">
        <w:t>In 1993</w:t>
      </w:r>
      <w:r w:rsidR="0038033B">
        <w:t xml:space="preserve"> </w:t>
      </w:r>
      <w:r w:rsidR="007608BB">
        <w:t xml:space="preserve">Britain’s Policy Studies Institute </w:t>
      </w:r>
      <w:r w:rsidR="0038033B">
        <w:t>found that Pakistani and Bangladeshi groups were the most deprived of the ethnic minority groups, and much more so than groups from India and Africa. In an effort to explain these findings the report dismissed the possibility of differential discrimination because, “Previous research found that racial discrimination was experienced equally by all ethnic minority groups,” and the report further emphasized that “both the most and least successful of the groups in the ethnic minority population have a similar skin colour.”</w:t>
      </w:r>
      <w:r w:rsidR="0038033B">
        <w:rPr>
          <w:rStyle w:val="FootnoteReference"/>
        </w:rPr>
        <w:footnoteReference w:id="86"/>
      </w:r>
      <w:r w:rsidR="009F03F5">
        <w:t xml:space="preserve"> </w:t>
      </w:r>
      <w:r w:rsidR="00CD149B">
        <w:t>Such an</w:t>
      </w:r>
      <w:r w:rsidR="00E1699F">
        <w:t xml:space="preserve"> explanation </w:t>
      </w:r>
      <w:r w:rsidR="006513FD">
        <w:t>argued</w:t>
      </w:r>
      <w:r w:rsidR="00E1699F">
        <w:t xml:space="preserve"> there is no such thing as differential discrimination because </w:t>
      </w:r>
      <w:r w:rsidR="006513FD">
        <w:t>all non-white minorities</w:t>
      </w:r>
      <w:r w:rsidR="00E1699F">
        <w:t xml:space="preserve"> suffered from equal amounts of discrimination as a</w:t>
      </w:r>
      <w:r w:rsidR="006513FD">
        <w:t xml:space="preserve"> result of their race</w:t>
      </w:r>
      <w:r w:rsidR="00E1699F">
        <w:t xml:space="preserve">. </w:t>
      </w:r>
      <w:r w:rsidR="006513FD">
        <w:t>This understanding precluded</w:t>
      </w:r>
      <w:r w:rsidR="003213CA">
        <w:t xml:space="preserve"> any other possible </w:t>
      </w:r>
      <w:r w:rsidR="000D5ECB">
        <w:t xml:space="preserve">determinant of </w:t>
      </w:r>
      <w:r w:rsidR="003213CA">
        <w:t xml:space="preserve">discrimination, such as religious or cultural grounds. </w:t>
      </w:r>
    </w:p>
    <w:p w:rsidR="00AF4771" w:rsidRDefault="00696FB4" w:rsidP="0024757B">
      <w:pPr>
        <w:spacing w:line="480" w:lineRule="auto"/>
      </w:pPr>
      <w:r>
        <w:tab/>
        <w:t xml:space="preserve">Muslims, within the application of discrimination legislation, are protected from public and private discrimination </w:t>
      </w:r>
      <w:r w:rsidR="00FD10F1">
        <w:t xml:space="preserve">on the grounds of race, but there is no </w:t>
      </w:r>
      <w:r w:rsidR="008167B9">
        <w:t xml:space="preserve">significant </w:t>
      </w:r>
      <w:r w:rsidR="00FD10F1">
        <w:t xml:space="preserve">legislation that protects </w:t>
      </w:r>
      <w:r w:rsidR="00DB35FB">
        <w:t>Muslims from religious discrimination. For example, in the case of Nyazi vs. Rymans Ltd in 1988, “the Muslim plaintiff was excluded from the protection afford</w:t>
      </w:r>
      <w:r w:rsidR="00E56E47">
        <w:t>ed by</w:t>
      </w:r>
      <w:r w:rsidR="00DB35FB">
        <w:t xml:space="preserve"> the Race Relation Act on the grounds that ‘Muslims include people of many nations and colours, who speak many languages and whose only common denominator is religion and religious culture.’”</w:t>
      </w:r>
      <w:r w:rsidR="00DB35FB">
        <w:rPr>
          <w:rStyle w:val="FootnoteReference"/>
        </w:rPr>
        <w:footnoteReference w:id="87"/>
      </w:r>
      <w:r w:rsidR="00DB35FB">
        <w:t xml:space="preserve"> The logic behind this ruling being that Muslim heterogeneity precludes their being an ethnic or racial group, which is required to be protected by the Race Relations Act. Jews, as well as Sikhs, fit into this ethnic grouping and are therefore afforded the protection of anti-discrimination legislation.</w:t>
      </w:r>
      <w:r w:rsidR="006513FD">
        <w:rPr>
          <w:rStyle w:val="FootnoteReference"/>
        </w:rPr>
        <w:footnoteReference w:id="88"/>
      </w:r>
      <w:r w:rsidR="006513FD">
        <w:t xml:space="preserve"> The fact that the Jewish minority </w:t>
      </w:r>
      <w:r w:rsidR="00DB35FB">
        <w:t>include</w:t>
      </w:r>
      <w:r w:rsidR="006513FD">
        <w:t>s</w:t>
      </w:r>
      <w:r w:rsidR="00DB35FB">
        <w:t xml:space="preserve"> individuals from a variety of different origins, whose only common denominator is “religion and religious culture,” seems to be evidence of a contradiction or a double standard that leaves the impression that the British state can pick and choose which m</w:t>
      </w:r>
      <w:r w:rsidR="00473B0E">
        <w:t xml:space="preserve">inorities it wishes to protect, awarding some privileged status and others not. </w:t>
      </w:r>
    </w:p>
    <w:p w:rsidR="00255AF7" w:rsidRDefault="00AF4771" w:rsidP="0024757B">
      <w:pPr>
        <w:spacing w:line="480" w:lineRule="auto"/>
      </w:pPr>
      <w:r>
        <w:tab/>
        <w:t xml:space="preserve">Muslims have also sought to enact legislation that makes incitement to religious hatred illegal, similar to the law against </w:t>
      </w:r>
      <w:r w:rsidR="003D2C88">
        <w:t>incitement</w:t>
      </w:r>
      <w:r>
        <w:t xml:space="preserve"> to racial hatred. </w:t>
      </w:r>
      <w:r w:rsidR="005C760D">
        <w:t xml:space="preserve">Britain resisted for years until it was forced by </w:t>
      </w:r>
      <w:r w:rsidR="001F237D">
        <w:t>the EU, which</w:t>
      </w:r>
      <w:r w:rsidR="006513FD">
        <w:t xml:space="preserve"> </w:t>
      </w:r>
      <w:r w:rsidR="001F237D">
        <w:t>includes</w:t>
      </w:r>
      <w:r w:rsidR="005C760D">
        <w:t xml:space="preserve"> religious discrimination as a form of </w:t>
      </w:r>
      <w:r w:rsidR="003D2C88">
        <w:t>discrimination</w:t>
      </w:r>
      <w:r w:rsidR="005C760D">
        <w:t xml:space="preserve"> that </w:t>
      </w:r>
      <w:r w:rsidR="00C15863">
        <w:t xml:space="preserve">all </w:t>
      </w:r>
      <w:r w:rsidR="005C760D">
        <w:t xml:space="preserve">member states are expected to do away with. In 2003, the British government outlawed </w:t>
      </w:r>
      <w:r w:rsidR="00C15863">
        <w:t xml:space="preserve">religious </w:t>
      </w:r>
      <w:r w:rsidR="005C760D">
        <w:t xml:space="preserve">discrimination in employment, however, this was only a “partial catching up with the existing anti-discrimination provisions in relation to race and gender,” because the legislation </w:t>
      </w:r>
      <w:r w:rsidR="00F3570D">
        <w:t>does</w:t>
      </w:r>
      <w:r w:rsidR="005C760D">
        <w:t xml:space="preserve"> not “extend to discrimination in the provision of goods and services,” and does not create a “duty upon employers to take steps to promote equality of opportunity.”</w:t>
      </w:r>
      <w:r w:rsidR="00F323A6">
        <w:rPr>
          <w:rStyle w:val="FootnoteReference"/>
        </w:rPr>
        <w:footnoteReference w:id="89"/>
      </w:r>
      <w:r w:rsidR="00476060">
        <w:t xml:space="preserve"> Furthermore, the British maintain a statute that outlaws blasphemy of Christianity, but refuse to extend this protection to Islam.</w:t>
      </w:r>
      <w:r w:rsidR="00F3570D">
        <w:t xml:space="preserve"> Such </w:t>
      </w:r>
      <w:r w:rsidR="001F237D">
        <w:t>struggle to achieve legislative recognition and protection similar to that of other groups does</w:t>
      </w:r>
      <w:r w:rsidR="00F3570D">
        <w:t xml:space="preserve"> not seem to align with the multicultural vision </w:t>
      </w:r>
      <w:r w:rsidR="001F237D">
        <w:t>the British state was supposedly pursuant of</w:t>
      </w:r>
      <w:r w:rsidR="00F3570D">
        <w:t>. An analysis of the socio-economic position of the Muslim community further highlights their marginalized position in British society.</w:t>
      </w:r>
    </w:p>
    <w:p w:rsidR="00A139E4" w:rsidRDefault="00255AF7" w:rsidP="0024757B">
      <w:pPr>
        <w:spacing w:line="480" w:lineRule="auto"/>
        <w:rPr>
          <w:rFonts w:ascii="Cambria" w:hAnsi="Cambria"/>
        </w:rPr>
      </w:pPr>
      <w:r>
        <w:tab/>
        <w:t xml:space="preserve">Socioeconomic integration has not occurred for the majority of </w:t>
      </w:r>
      <w:r w:rsidR="005D0272">
        <w:t>Britain’s Muslims</w:t>
      </w:r>
      <w:r>
        <w:t>. According to a leaked British</w:t>
      </w:r>
      <w:r w:rsidR="00F3570D">
        <w:t xml:space="preserve"> government report in 2004, the </w:t>
      </w:r>
      <w:r>
        <w:t xml:space="preserve">unemployment rate among </w:t>
      </w:r>
      <w:r w:rsidR="008F752F">
        <w:t xml:space="preserve">the Muslim population </w:t>
      </w:r>
      <w:r>
        <w:t xml:space="preserve">was three times </w:t>
      </w:r>
      <w:r w:rsidR="00F3570D">
        <w:t>that of the general population</w:t>
      </w:r>
      <w:r>
        <w:t xml:space="preserve"> with “thirty-six percent of British Muslims </w:t>
      </w:r>
      <w:r>
        <w:rPr>
          <w:rFonts w:ascii="Cambria" w:hAnsi="Cambria"/>
        </w:rPr>
        <w:t>[dropping] out of school with no qualifications and a fifth of sixteen-to-twenty-four-year-old Muslims in Britain…unemployed.”</w:t>
      </w:r>
      <w:r>
        <w:rPr>
          <w:rStyle w:val="FootnoteReference"/>
        </w:rPr>
        <w:footnoteReference w:id="90"/>
      </w:r>
      <w:r w:rsidR="00093E36">
        <w:rPr>
          <w:rFonts w:ascii="Cambria" w:hAnsi="Cambria"/>
        </w:rPr>
        <w:t xml:space="preserve"> </w:t>
      </w:r>
      <w:r w:rsidR="008F752F">
        <w:rPr>
          <w:rFonts w:ascii="Cambria" w:hAnsi="Cambria"/>
        </w:rPr>
        <w:t xml:space="preserve">Furthermore, </w:t>
      </w:r>
      <w:r w:rsidR="00681314">
        <w:rPr>
          <w:rFonts w:ascii="Cambria" w:hAnsi="Cambria"/>
        </w:rPr>
        <w:t xml:space="preserve">fourteen percent of Muslims over ager twenty-five are unemployed, compared with a national </w:t>
      </w:r>
      <w:r w:rsidR="008F752F">
        <w:rPr>
          <w:rFonts w:ascii="Cambria" w:hAnsi="Cambria"/>
        </w:rPr>
        <w:t>unem</w:t>
      </w:r>
      <w:r w:rsidR="005D0272">
        <w:rPr>
          <w:rFonts w:ascii="Cambria" w:hAnsi="Cambria"/>
        </w:rPr>
        <w:t xml:space="preserve">ployment rate of 4 percent, and </w:t>
      </w:r>
      <w:r w:rsidR="008F752F">
        <w:rPr>
          <w:rFonts w:ascii="Cambria" w:hAnsi="Cambria"/>
        </w:rPr>
        <w:t>f</w:t>
      </w:r>
      <w:r w:rsidR="00681314">
        <w:rPr>
          <w:rFonts w:ascii="Cambria" w:hAnsi="Cambria"/>
        </w:rPr>
        <w:t>orty percent of British Musl</w:t>
      </w:r>
      <w:r w:rsidR="005D0272">
        <w:rPr>
          <w:rFonts w:ascii="Cambria" w:hAnsi="Cambria"/>
        </w:rPr>
        <w:t>ims are in low-skill jobs. N</w:t>
      </w:r>
      <w:r w:rsidR="00681314">
        <w:rPr>
          <w:rFonts w:ascii="Cambria" w:hAnsi="Cambria"/>
        </w:rPr>
        <w:t>early 70 percent of Bangladeshi and Pakistani children live in poverty.</w:t>
      </w:r>
      <w:r w:rsidR="00681314">
        <w:rPr>
          <w:rStyle w:val="FootnoteReference"/>
          <w:rFonts w:ascii="Cambria" w:hAnsi="Cambria"/>
        </w:rPr>
        <w:footnoteReference w:id="91"/>
      </w:r>
      <w:r w:rsidR="008F752F">
        <w:rPr>
          <w:rFonts w:ascii="Cambria" w:hAnsi="Cambria"/>
        </w:rPr>
        <w:t xml:space="preserve"> With such a large amount of Muslim children first growing up in poverty and then facing the reality of twenty-percent unemployment, Britain </w:t>
      </w:r>
      <w:r w:rsidR="005D0272">
        <w:rPr>
          <w:rFonts w:ascii="Cambria" w:hAnsi="Cambria"/>
        </w:rPr>
        <w:t>has a significant Muslim population that is disaffected</w:t>
      </w:r>
      <w:r w:rsidR="008F752F">
        <w:rPr>
          <w:rFonts w:ascii="Cambria" w:hAnsi="Cambria"/>
        </w:rPr>
        <w:t xml:space="preserve"> and frustrated with slim hopes of upward mobilization. </w:t>
      </w:r>
    </w:p>
    <w:p w:rsidR="00D6772D" w:rsidRPr="008F752F" w:rsidRDefault="002440DE" w:rsidP="008F752F">
      <w:pPr>
        <w:spacing w:line="480" w:lineRule="auto"/>
        <w:rPr>
          <w:rFonts w:ascii="Cambria" w:hAnsi="Cambria"/>
        </w:rPr>
      </w:pPr>
      <w:r>
        <w:rPr>
          <w:rFonts w:ascii="Cambria" w:hAnsi="Cambria"/>
        </w:rPr>
        <w:tab/>
        <w:t>A surve</w:t>
      </w:r>
      <w:r w:rsidR="00A139E4">
        <w:rPr>
          <w:rFonts w:ascii="Cambria" w:hAnsi="Cambria"/>
        </w:rPr>
        <w:t>y conducted between 2005 and 2006</w:t>
      </w:r>
      <w:r>
        <w:rPr>
          <w:rFonts w:ascii="Cambria" w:hAnsi="Cambria"/>
        </w:rPr>
        <w:t xml:space="preserve"> analyzed the risk of members of different ethnic groups to be in low-income households. </w:t>
      </w:r>
      <w:r w:rsidR="003D2C88">
        <w:rPr>
          <w:rFonts w:ascii="Cambria" w:hAnsi="Cambria"/>
        </w:rPr>
        <w:t xml:space="preserve">The survey’s definition of </w:t>
      </w:r>
      <w:r w:rsidR="005D0272">
        <w:rPr>
          <w:rFonts w:ascii="Cambria" w:hAnsi="Cambria"/>
        </w:rPr>
        <w:t>a low-income household</w:t>
      </w:r>
      <w:r w:rsidR="003D2C88">
        <w:rPr>
          <w:rFonts w:ascii="Cambria" w:hAnsi="Cambria"/>
        </w:rPr>
        <w:t xml:space="preserve"> was </w:t>
      </w:r>
      <w:r w:rsidR="005D0272">
        <w:rPr>
          <w:rFonts w:ascii="Cambria" w:hAnsi="Cambria"/>
        </w:rPr>
        <w:t>a home</w:t>
      </w:r>
      <w:r w:rsidR="003D2C88">
        <w:rPr>
          <w:rFonts w:ascii="Cambria" w:hAnsi="Cambria"/>
        </w:rPr>
        <w:t xml:space="preserve"> with less than 60 percent of contemporary median household income. </w:t>
      </w:r>
      <w:r>
        <w:rPr>
          <w:rFonts w:ascii="Cambria" w:hAnsi="Cambria"/>
        </w:rPr>
        <w:t>The study found that 20 percent of whites were at risk of living in a low-income household, as compared to 36.2 percent of Asians.</w:t>
      </w:r>
      <w:r w:rsidR="00D6772D">
        <w:rPr>
          <w:rStyle w:val="FootnoteReference"/>
          <w:rFonts w:ascii="Cambria" w:hAnsi="Cambria"/>
        </w:rPr>
        <w:footnoteReference w:id="92"/>
      </w:r>
      <w:r>
        <w:rPr>
          <w:rFonts w:ascii="Cambria" w:hAnsi="Cambria"/>
        </w:rPr>
        <w:t xml:space="preserve"> </w:t>
      </w:r>
      <w:r w:rsidR="00EE659C">
        <w:t>A</w:t>
      </w:r>
      <w:r>
        <w:t>nother</w:t>
      </w:r>
      <w:r w:rsidR="00EE659C">
        <w:t xml:space="preserve"> 2006 survey employed the International Labor Organization’s criteria of employment, which includes anyone over the age of sixteen doing at least one hour of paid work within a week of the </w:t>
      </w:r>
      <w:r w:rsidR="003D2C88">
        <w:t>survey</w:t>
      </w:r>
      <w:r w:rsidR="00EE659C">
        <w:t xml:space="preserve">. The ILO’s definition of employment also includes those who do unpaid work in a family business, as well as those who are in a government supported </w:t>
      </w:r>
      <w:r w:rsidR="003D2C88">
        <w:t>employment-training</w:t>
      </w:r>
      <w:r w:rsidR="00EE659C">
        <w:t xml:space="preserve"> program. The survey found that 76.4 percent of whites, 58.6 percent of Asians, and 64.9 percent of blacks were employed according to the ILO criteria. Furthermore, the survey found that 45.6% of Muslims, who are considered ethnically Asian, versus 76.4% of Christians are employed.</w:t>
      </w:r>
      <w:r w:rsidR="00EE659C">
        <w:rPr>
          <w:rStyle w:val="FootnoteReference"/>
        </w:rPr>
        <w:footnoteReference w:id="93"/>
      </w:r>
      <w:r w:rsidR="005D0272">
        <w:t xml:space="preserve"> Other statistics show that the rate of unemployment among Muslims is three times higher than among other “ethnic or religious groups.”</w:t>
      </w:r>
      <w:r w:rsidR="005D0272">
        <w:rPr>
          <w:rStyle w:val="FootnoteReference"/>
        </w:rPr>
        <w:footnoteReference w:id="94"/>
      </w:r>
      <w:r w:rsidR="005D0272">
        <w:t xml:space="preserve"> This data further indicates the marginalized position of the Muslim minority by demonstrating the far higher percentages of Muslims living in low-income households and </w:t>
      </w:r>
      <w:r w:rsidR="001754FD">
        <w:t>significantly</w:t>
      </w:r>
      <w:r w:rsidR="005D0272">
        <w:t xml:space="preserve"> higher rates of unemployment. </w:t>
      </w:r>
      <w:r w:rsidR="00EE659C">
        <w:t xml:space="preserve">     </w:t>
      </w:r>
      <w:r w:rsidR="00EE659C">
        <w:tab/>
      </w:r>
    </w:p>
    <w:p w:rsidR="00001AEE" w:rsidRDefault="00681314" w:rsidP="00EE659C">
      <w:pPr>
        <w:spacing w:line="480" w:lineRule="auto"/>
        <w:ind w:firstLine="720"/>
      </w:pPr>
      <w:r>
        <w:t xml:space="preserve">In 2001, one third of Britain’s two million Muslims were under the age of 15 as compared with one fifth of the national population. At the turn of the twenty-first century Britain is confronted with a Muslim generation coming of age that has been raised </w:t>
      </w:r>
      <w:r w:rsidR="005D0272">
        <w:t>with the experience of deprivation</w:t>
      </w:r>
      <w:r>
        <w:t xml:space="preserve"> on the periphery of a prosperous host society</w:t>
      </w:r>
      <w:r w:rsidR="009A470A">
        <w:t>.</w:t>
      </w:r>
      <w:r w:rsidR="005D0272">
        <w:rPr>
          <w:rStyle w:val="FootnoteReference"/>
        </w:rPr>
        <w:footnoteReference w:id="95"/>
      </w:r>
      <w:r w:rsidR="009A470A">
        <w:t xml:space="preserve"> A generation that is sure to be frustrated with its </w:t>
      </w:r>
      <w:r w:rsidR="001754FD">
        <w:t>social</w:t>
      </w:r>
      <w:r w:rsidR="009A470A">
        <w:t xml:space="preserve"> position and angry at a state that seemingly wishes to keep them down. </w:t>
      </w:r>
      <w:r w:rsidR="005D0272">
        <w:t>The potential problem</w:t>
      </w:r>
      <w:r w:rsidR="001754FD">
        <w:t>s of a young populati</w:t>
      </w:r>
      <w:r w:rsidR="005D0272">
        <w:t>on with limited future prospects and an insecure position in society, such as</w:t>
      </w:r>
      <w:r w:rsidR="001754FD">
        <w:t xml:space="preserve"> inclinations towards</w:t>
      </w:r>
      <w:r w:rsidR="005D0272">
        <w:t xml:space="preserve"> criminal activity and violence, are only compounded when such populations are </w:t>
      </w:r>
      <w:r w:rsidR="001754FD">
        <w:t>as highly concentrated as the Muslim community is in England</w:t>
      </w:r>
      <w:r w:rsidR="00076E9C">
        <w:t>, half of which live in London in tightly knit ethnic enclaves.</w:t>
      </w:r>
      <w:r w:rsidR="00076E9C">
        <w:rPr>
          <w:rStyle w:val="FootnoteReference"/>
        </w:rPr>
        <w:footnoteReference w:id="96"/>
      </w:r>
      <w:r w:rsidR="00415D46">
        <w:t xml:space="preserve"> These enclaves, first developed for purposes of first-generation survival, have become traps for subsequent generations, inhibiting integration and reaffirming difference. </w:t>
      </w:r>
    </w:p>
    <w:p w:rsidR="002B4FED" w:rsidRDefault="00001AEE" w:rsidP="00415D46">
      <w:pPr>
        <w:spacing w:line="480" w:lineRule="auto"/>
      </w:pPr>
      <w:r>
        <w:tab/>
      </w:r>
      <w:r w:rsidR="005D0272">
        <w:t xml:space="preserve"> </w:t>
      </w:r>
      <w:r w:rsidR="00D1276D">
        <w:t xml:space="preserve">The first-generation of Muslim immigrants that arrived from the Commonwealth </w:t>
      </w:r>
      <w:r w:rsidR="005D0272">
        <w:t xml:space="preserve">countries </w:t>
      </w:r>
      <w:r w:rsidR="00D1276D">
        <w:t xml:space="preserve">were </w:t>
      </w:r>
      <w:r w:rsidR="00C15863">
        <w:t>mostly</w:t>
      </w:r>
      <w:r w:rsidR="00D1276D">
        <w:t xml:space="preserve"> </w:t>
      </w:r>
      <w:r w:rsidR="003D2C88">
        <w:t>low skilled</w:t>
      </w:r>
      <w:r w:rsidR="00D1276D">
        <w:t xml:space="preserve"> and what work they could find was primarily as wage laborers</w:t>
      </w:r>
      <w:r w:rsidR="00C15863">
        <w:t>,</w:t>
      </w:r>
      <w:r w:rsidR="00D1276D">
        <w:t xml:space="preserve"> and</w:t>
      </w:r>
      <w:r w:rsidR="00C15863">
        <w:t xml:space="preserve"> they subsequently</w:t>
      </w:r>
      <w:r w:rsidR="00D1276D">
        <w:t xml:space="preserve"> gravitated towards working class areas. The combination of being migrants, unfamiliar with their new host society and in some cases unfamiliar with the host language, and Britain’s “laissez-faire multiculturalism,” which emphasized “maintaining individual or community identity,” resulted in the formation of ethnic enclaves.</w:t>
      </w:r>
      <w:r w:rsidR="007402EC">
        <w:rPr>
          <w:rStyle w:val="FootnoteReference"/>
        </w:rPr>
        <w:footnoteReference w:id="97"/>
      </w:r>
      <w:r w:rsidR="00D1276D">
        <w:t xml:space="preserve"> </w:t>
      </w:r>
      <w:r w:rsidR="002B4FED">
        <w:t xml:space="preserve">The social lives of the first generation were </w:t>
      </w:r>
      <w:r w:rsidR="00A1282B">
        <w:t>confined to</w:t>
      </w:r>
      <w:r w:rsidR="002B4FED">
        <w:t xml:space="preserve"> ethnic</w:t>
      </w:r>
      <w:r w:rsidR="00A1282B">
        <w:t xml:space="preserve"> and familial</w:t>
      </w:r>
      <w:r w:rsidR="002B4FED">
        <w:t xml:space="preserve"> networks that were relied upon in order to survive in new surroundings: </w:t>
      </w:r>
    </w:p>
    <w:p w:rsidR="00D1276D" w:rsidRDefault="002B4FED" w:rsidP="002B4FED">
      <w:pPr>
        <w:tabs>
          <w:tab w:val="left" w:pos="7920"/>
        </w:tabs>
        <w:ind w:left="540" w:right="630"/>
      </w:pPr>
      <w:r>
        <w:t>For the first generation of South Asians the extended family was an important inst</w:t>
      </w:r>
      <w:r w:rsidR="00C15863">
        <w:t>it</w:t>
      </w:r>
      <w:r>
        <w:t>ution of mutual support and transmission of values, and the main sphere of social life. If social life extended beyond the extended family it was within the ethno-religious community and was likely to be</w:t>
      </w:r>
      <w:r w:rsidR="006D50F3">
        <w:t xml:space="preserve"> focused around a local…mosque.</w:t>
      </w:r>
      <w:r>
        <w:rPr>
          <w:rStyle w:val="FootnoteReference"/>
        </w:rPr>
        <w:footnoteReference w:id="98"/>
      </w:r>
    </w:p>
    <w:p w:rsidR="00DD1F8A" w:rsidRDefault="00DD1F8A" w:rsidP="008A4B1C">
      <w:pPr>
        <w:spacing w:line="480" w:lineRule="auto"/>
        <w:ind w:firstLine="720"/>
      </w:pPr>
    </w:p>
    <w:p w:rsidR="00E53459" w:rsidRDefault="00DD1F8A" w:rsidP="00DD1F8A">
      <w:pPr>
        <w:spacing w:line="480" w:lineRule="auto"/>
      </w:pPr>
      <w:r>
        <w:t>As can be inferred from the res</w:t>
      </w:r>
      <w:r w:rsidR="00A1282B">
        <w:t xml:space="preserve">ponses of the first generation </w:t>
      </w:r>
      <w:r>
        <w:t xml:space="preserve">their lives revolved around their </w:t>
      </w:r>
      <w:r w:rsidR="00A1282B">
        <w:t>ethno-religious community</w:t>
      </w:r>
      <w:r>
        <w:t xml:space="preserve">. The first generation’s identity was very much associated with its country of origin and </w:t>
      </w:r>
      <w:r w:rsidR="00201748">
        <w:t xml:space="preserve">they </w:t>
      </w:r>
      <w:r>
        <w:t xml:space="preserve">clearly saw themselves more as migrants, rather than British citizens. Much of the first generation of South Asians “neither said they were ‘British’ nor wanted to be,” because “they had a strong sense of their own cultural difference, of the difference between the society in which they were brought up and still connected to, and </w:t>
      </w:r>
      <w:r w:rsidR="00C15863">
        <w:t xml:space="preserve">the one </w:t>
      </w:r>
      <w:r>
        <w:t>they had settled in.”</w:t>
      </w:r>
      <w:r>
        <w:rPr>
          <w:rStyle w:val="FootnoteReference"/>
        </w:rPr>
        <w:footnoteReference w:id="99"/>
      </w:r>
      <w:r>
        <w:t>Attitudes amongst the second</w:t>
      </w:r>
      <w:r w:rsidR="006D50F3">
        <w:t xml:space="preserve">-generation of Muslim migrants </w:t>
      </w:r>
      <w:r>
        <w:t xml:space="preserve">are markedly different than that of their parents’ generation. </w:t>
      </w:r>
    </w:p>
    <w:p w:rsidR="00581A9D" w:rsidRDefault="00E53459" w:rsidP="00DD1F8A">
      <w:pPr>
        <w:spacing w:line="480" w:lineRule="auto"/>
      </w:pPr>
      <w:r>
        <w:tab/>
        <w:t>Raised and educated in Britain</w:t>
      </w:r>
      <w:r w:rsidR="00DB0EF2">
        <w:t>,</w:t>
      </w:r>
      <w:r>
        <w:t xml:space="preserve"> the second-generation’s cultural affiliations, forms of socialization, and most importantly their socio-economic mobility</w:t>
      </w:r>
      <w:r w:rsidR="00DB0EF2">
        <w:t xml:space="preserve"> are good indicators as to the success of integration</w:t>
      </w:r>
      <w:r>
        <w:t xml:space="preserve">. </w:t>
      </w:r>
      <w:r w:rsidR="00225B92">
        <w:t xml:space="preserve"> S</w:t>
      </w:r>
      <w:r w:rsidR="00B77745">
        <w:t xml:space="preserve">econd-generation </w:t>
      </w:r>
      <w:r w:rsidR="00225B92">
        <w:t>Muslims</w:t>
      </w:r>
      <w:r w:rsidR="00D73F20">
        <w:t>, in comparison to the first generation,</w:t>
      </w:r>
      <w:r w:rsidR="00225B92">
        <w:t xml:space="preserve"> </w:t>
      </w:r>
      <w:r w:rsidR="003F5A9D">
        <w:t xml:space="preserve">had </w:t>
      </w:r>
      <w:r w:rsidR="00225B92">
        <w:t>“</w:t>
      </w:r>
      <w:r w:rsidR="003F5A9D">
        <w:t>much less contact with e</w:t>
      </w:r>
      <w:r w:rsidR="00225B92">
        <w:t>xtended family</w:t>
      </w:r>
      <w:r w:rsidR="00D73F20">
        <w:t xml:space="preserve"> which was…hardly conceived of as a support system.”</w:t>
      </w:r>
      <w:r w:rsidR="003F5A9D">
        <w:rPr>
          <w:rStyle w:val="FootnoteReference"/>
        </w:rPr>
        <w:footnoteReference w:id="100"/>
      </w:r>
      <w:r w:rsidR="003F5A9D">
        <w:t xml:space="preserve"> The move away from a reliance on extended family networks suggests that the second-generation’s social life is likely to be centered around “relationships formed through work or educational institution</w:t>
      </w:r>
      <w:r w:rsidR="00DB5F22">
        <w:rPr>
          <w:rFonts w:ascii="Cambria" w:hAnsi="Cambria"/>
        </w:rPr>
        <w:t>[s]</w:t>
      </w:r>
      <w:r w:rsidR="003F5A9D">
        <w:t xml:space="preserve">,” and much of </w:t>
      </w:r>
      <w:r w:rsidR="00D73F20">
        <w:t xml:space="preserve">this generation consequently have </w:t>
      </w:r>
      <w:r w:rsidR="003F5A9D">
        <w:t>friends from outside the</w:t>
      </w:r>
      <w:r w:rsidR="00D73F20">
        <w:t>ir ethno-religious communities,</w:t>
      </w:r>
      <w:r w:rsidR="003F5A9D">
        <w:t xml:space="preserve"> yet, most of these relationships </w:t>
      </w:r>
      <w:r w:rsidR="006D50F3">
        <w:t>are</w:t>
      </w:r>
      <w:r w:rsidR="003F5A9D">
        <w:t xml:space="preserve"> still based on Asian or Muslim identity.</w:t>
      </w:r>
      <w:r w:rsidR="003F5A9D">
        <w:rPr>
          <w:rStyle w:val="FootnoteReference"/>
        </w:rPr>
        <w:footnoteReference w:id="101"/>
      </w:r>
      <w:r w:rsidR="003F5A9D">
        <w:t xml:space="preserve"> The subtle distinction between ethno-religious and Muslim communities is important, because it suggests that although the second-generation is making a move away from the ethnic and sectarian differences that had divided the first generation, the second generation</w:t>
      </w:r>
      <w:r w:rsidR="006D50F3">
        <w:t xml:space="preserve"> still</w:t>
      </w:r>
      <w:r w:rsidR="003F5A9D">
        <w:t xml:space="preserve"> </w:t>
      </w:r>
      <w:r w:rsidR="00AC0332">
        <w:t>failed to integrate</w:t>
      </w:r>
      <w:r w:rsidR="00DB5F22">
        <w:t xml:space="preserve"> into mainstream society</w:t>
      </w:r>
      <w:r w:rsidR="00AC0332">
        <w:t>.</w:t>
      </w:r>
      <w:r w:rsidR="007469F1">
        <w:t xml:space="preserve"> </w:t>
      </w:r>
      <w:r w:rsidR="00AC0332">
        <w:t>T</w:t>
      </w:r>
      <w:r w:rsidR="007469F1">
        <w:t>heir relations</w:t>
      </w:r>
      <w:r w:rsidR="00AC0332">
        <w:t>hips</w:t>
      </w:r>
      <w:r w:rsidR="007469F1">
        <w:t xml:space="preserve"> </w:t>
      </w:r>
      <w:r w:rsidR="006D50F3">
        <w:t>continue</w:t>
      </w:r>
      <w:r w:rsidR="00AC0332">
        <w:t xml:space="preserve"> to be</w:t>
      </w:r>
      <w:r w:rsidR="007469F1">
        <w:t xml:space="preserve"> based on a foreign identity or rather an identity that </w:t>
      </w:r>
      <w:r w:rsidR="006D50F3">
        <w:t xml:space="preserve">is not recognized as British, </w:t>
      </w:r>
      <w:r w:rsidR="00AC0332">
        <w:t xml:space="preserve">thus reinforcing their separation and distance from mainstream society. </w:t>
      </w:r>
      <w:r w:rsidR="00F33221">
        <w:t>The second-generation is widely regarded as trapped between two cultures, that of their parents</w:t>
      </w:r>
      <w:r w:rsidR="00201748">
        <w:t>’</w:t>
      </w:r>
      <w:r w:rsidR="00F33221">
        <w:t xml:space="preserve"> country of origin and that of mainstream British society. </w:t>
      </w:r>
    </w:p>
    <w:p w:rsidR="00DB6465" w:rsidRDefault="00581A9D" w:rsidP="00DD1F8A">
      <w:pPr>
        <w:spacing w:line="480" w:lineRule="auto"/>
      </w:pPr>
      <w:r>
        <w:tab/>
      </w:r>
      <w:r w:rsidR="002E4DE0">
        <w:t xml:space="preserve">The second-generation more than the first-generation </w:t>
      </w:r>
      <w:r w:rsidR="003F0ABB">
        <w:t xml:space="preserve">feel that </w:t>
      </w:r>
      <w:r w:rsidR="003D2C88">
        <w:t>difference</w:t>
      </w:r>
      <w:r w:rsidR="003F0ABB">
        <w:t xml:space="preserve"> is not accepted by White Briti</w:t>
      </w:r>
      <w:r w:rsidR="00AC0332">
        <w:t xml:space="preserve">sh society and that there is a </w:t>
      </w:r>
      <w:r w:rsidR="003F0ABB">
        <w:t>continual social pressure to minimize one’s ethnic identity.</w:t>
      </w:r>
      <w:r w:rsidR="00942903">
        <w:rPr>
          <w:rStyle w:val="FootnoteReference"/>
        </w:rPr>
        <w:footnoteReference w:id="102"/>
      </w:r>
      <w:r w:rsidR="003F0ABB">
        <w:t xml:space="preserve"> </w:t>
      </w:r>
      <w:r w:rsidR="001C59D7">
        <w:t>When asked if they felt British, m</w:t>
      </w:r>
      <w:r w:rsidR="003F0ABB">
        <w:t>uch of the second-generation clai</w:t>
      </w:r>
      <w:r w:rsidR="001C59D7">
        <w:t xml:space="preserve">med they felt culturally British </w:t>
      </w:r>
      <w:r w:rsidR="003F0ABB">
        <w:t>evidenced by their app</w:t>
      </w:r>
      <w:r w:rsidR="001C59D7">
        <w:t>earance, forms of socializing and c</w:t>
      </w:r>
      <w:r w:rsidR="003F0ABB">
        <w:t>hoice</w:t>
      </w:r>
      <w:r w:rsidR="001C59D7">
        <w:t>s</w:t>
      </w:r>
      <w:r w:rsidR="003F0ABB">
        <w:t xml:space="preserve"> of en</w:t>
      </w:r>
      <w:r w:rsidR="001C59D7">
        <w:t>tertainment</w:t>
      </w:r>
      <w:r w:rsidR="003F0ABB">
        <w:t xml:space="preserve">, </w:t>
      </w:r>
      <w:r w:rsidR="001C59D7">
        <w:t>but many felt</w:t>
      </w:r>
      <w:r w:rsidR="003F0ABB">
        <w:t xml:space="preserve"> </w:t>
      </w:r>
      <w:r w:rsidR="001C59D7">
        <w:t>“</w:t>
      </w:r>
      <w:r w:rsidR="003F0ABB">
        <w:t>strongly that they were still not accepted by white people as British and so could not call themselves ‘British’.”</w:t>
      </w:r>
      <w:r w:rsidR="00942903">
        <w:rPr>
          <w:rStyle w:val="FootnoteReference"/>
        </w:rPr>
        <w:footnoteReference w:id="103"/>
      </w:r>
      <w:r w:rsidR="006D50F3">
        <w:t xml:space="preserve"> The second-generation </w:t>
      </w:r>
      <w:r w:rsidR="00AE5B66">
        <w:t xml:space="preserve">has transitioned away from their parents’ </w:t>
      </w:r>
      <w:r w:rsidR="00D617DF">
        <w:t>ethnic affiliations</w:t>
      </w:r>
      <w:r w:rsidR="00AE5B66">
        <w:t>, but they are rejected by British society, and are thus,</w:t>
      </w:r>
      <w:r w:rsidR="00CB6BDC">
        <w:t xml:space="preserve"> “represented as trapped between two cultures.”</w:t>
      </w:r>
      <w:r w:rsidR="00CB6BDC">
        <w:rPr>
          <w:rStyle w:val="FootnoteReference"/>
        </w:rPr>
        <w:footnoteReference w:id="104"/>
      </w:r>
      <w:r w:rsidR="00CB6BDC">
        <w:t xml:space="preserve"> </w:t>
      </w:r>
      <w:r w:rsidR="00AE5B66">
        <w:t>Furthermore, the</w:t>
      </w:r>
      <w:r w:rsidR="00CB6BDC">
        <w:t xml:space="preserve"> second-generation suffers from what is referred to as cultural-racism in which </w:t>
      </w:r>
      <w:r w:rsidR="001C59D7">
        <w:t xml:space="preserve">cultural </w:t>
      </w:r>
      <w:r w:rsidR="00CB6BDC">
        <w:t>difference is used to “vilify, marginalize or demand cultural assimilation from groups who also suffer colour-racism.”</w:t>
      </w:r>
      <w:r w:rsidR="00DB6465">
        <w:rPr>
          <w:rStyle w:val="FootnoteReference"/>
        </w:rPr>
        <w:footnoteReference w:id="105"/>
      </w:r>
      <w:r w:rsidR="00CB6BDC">
        <w:t xml:space="preserve"> </w:t>
      </w:r>
      <w:r w:rsidR="00D617DF">
        <w:t>The supposed</w:t>
      </w:r>
      <w:r w:rsidR="00663DB4">
        <w:t xml:space="preserve"> difference</w:t>
      </w:r>
      <w:r w:rsidR="00D617DF">
        <w:t>s</w:t>
      </w:r>
      <w:r w:rsidR="00663DB4">
        <w:t xml:space="preserve">, which as evidenced by the responses of Muslims is not in regard to forms of dress, socializing, or forms of entertainment, is simply a result of </w:t>
      </w:r>
      <w:r w:rsidR="00D617DF">
        <w:t>an identification with Islam</w:t>
      </w:r>
      <w:r w:rsidR="00760D67">
        <w:t>.</w:t>
      </w:r>
      <w:r w:rsidR="00663DB4">
        <w:t xml:space="preserve"> Islam</w:t>
      </w:r>
      <w:r w:rsidR="004831F2">
        <w:t>, similar to the arrival of non-whites in the immediate post-war period, was, and in many ways still is, a foreign element in Britain. A religion that is seen as different in a historically Christian society, and is often ref</w:t>
      </w:r>
      <w:r w:rsidR="00141B7A">
        <w:t>e</w:t>
      </w:r>
      <w:r w:rsidR="004831F2">
        <w:t>rred</w:t>
      </w:r>
      <w:r w:rsidR="00D617DF">
        <w:t xml:space="preserve"> to</w:t>
      </w:r>
      <w:r w:rsidR="004831F2">
        <w:t xml:space="preserve"> as overly dogmatic for a secular country. </w:t>
      </w:r>
      <w:r w:rsidR="008A0AC7">
        <w:t xml:space="preserve">As a result, the second-generation </w:t>
      </w:r>
      <w:r w:rsidR="00141B7A">
        <w:t>suffers the double ali</w:t>
      </w:r>
      <w:r w:rsidR="00D617DF">
        <w:t xml:space="preserve">enation of racial and cultural </w:t>
      </w:r>
      <w:r w:rsidR="00141B7A">
        <w:t>prejudice and is</w:t>
      </w:r>
      <w:r w:rsidR="008A0AC7">
        <w:t xml:space="preserve"> forced to find </w:t>
      </w:r>
      <w:r w:rsidR="00141B7A">
        <w:t xml:space="preserve">its identity within itself. The result is </w:t>
      </w:r>
      <w:r w:rsidR="008A0AC7">
        <w:t xml:space="preserve">an identity that is distinct </w:t>
      </w:r>
      <w:r w:rsidR="00D617DF">
        <w:t>and often at odds with</w:t>
      </w:r>
      <w:r w:rsidR="002F12BE">
        <w:t xml:space="preserve"> white British society. </w:t>
      </w:r>
      <w:r w:rsidR="008A0AC7">
        <w:t xml:space="preserve"> </w:t>
      </w:r>
    </w:p>
    <w:p w:rsidR="004337D5" w:rsidRDefault="00DB6465" w:rsidP="00DD1F8A">
      <w:pPr>
        <w:spacing w:line="480" w:lineRule="auto"/>
      </w:pPr>
      <w:r>
        <w:tab/>
        <w:t xml:space="preserve">In conditions of insecurity individuals and communities often cling to and assert what gives them psychological strength. </w:t>
      </w:r>
      <w:r w:rsidR="00AC273B">
        <w:t xml:space="preserve">Caught in between </w:t>
      </w:r>
      <w:r w:rsidR="008F5FEF">
        <w:t>an ambivalent</w:t>
      </w:r>
      <w:r w:rsidR="00AC273B">
        <w:t xml:space="preserve"> first generation and a reluctant host society, the second-generation is forced to negotiate a space </w:t>
      </w:r>
      <w:r w:rsidR="00D43EFA">
        <w:t xml:space="preserve">and an identity that is appropriate for their </w:t>
      </w:r>
      <w:r w:rsidR="0026657D">
        <w:t>reality as children of i</w:t>
      </w:r>
      <w:r w:rsidR="008F5FEF">
        <w:t>mmigrants raised in Britain</w:t>
      </w:r>
      <w:r w:rsidR="00D43EFA">
        <w:t xml:space="preserve">. The second-generation </w:t>
      </w:r>
      <w:r w:rsidR="0026657D">
        <w:t>chose to develop its identity on its most common denominator, as well as what made them distinct from the rest of society, Islam</w:t>
      </w:r>
      <w:r w:rsidR="00D43EFA">
        <w:t xml:space="preserve">. This is evidenced by the </w:t>
      </w:r>
      <w:r w:rsidR="000A255D">
        <w:t xml:space="preserve">development of </w:t>
      </w:r>
      <w:r w:rsidR="00D43EFA">
        <w:t>“</w:t>
      </w:r>
      <w:r w:rsidR="000A255D">
        <w:t>ecumenical</w:t>
      </w:r>
      <w:r w:rsidR="00D43EFA">
        <w:t xml:space="preserve"> Islam” that glosses over the sectarian and ethnic divisions that were so divisive </w:t>
      </w:r>
      <w:r w:rsidR="0026657D">
        <w:t>amongst the first generation</w:t>
      </w:r>
      <w:r w:rsidR="00D43EFA">
        <w:t>.</w:t>
      </w:r>
      <w:r w:rsidR="00FC2963">
        <w:rPr>
          <w:rStyle w:val="FootnoteReference"/>
        </w:rPr>
        <w:footnoteReference w:id="106"/>
      </w:r>
      <w:r w:rsidR="00FC2963">
        <w:t xml:space="preserve"> </w:t>
      </w:r>
      <w:r w:rsidR="0026657D">
        <w:t>The development of an international Islamic identity, similar to that of t</w:t>
      </w:r>
      <w:r w:rsidR="008B07F8">
        <w:t>he Black Power Movement and Pan-African identity, serves as a source of solidarity and strength for the marginalize</w:t>
      </w:r>
      <w:r w:rsidR="00C95DC0">
        <w:t>d Muslim populations in Britain</w:t>
      </w:r>
      <w:r w:rsidR="008B07F8">
        <w:t>.</w:t>
      </w:r>
      <w:r w:rsidR="00481243">
        <w:t xml:space="preserve"> The emergence of a </w:t>
      </w:r>
      <w:r w:rsidR="00C961F2">
        <w:t>British</w:t>
      </w:r>
      <w:r w:rsidR="00481243">
        <w:t xml:space="preserve"> Muslim identity </w:t>
      </w:r>
      <w:r w:rsidR="00C961F2">
        <w:t xml:space="preserve">has </w:t>
      </w:r>
      <w:r w:rsidR="00481243">
        <w:t xml:space="preserve">fostered </w:t>
      </w:r>
      <w:r w:rsidR="00C961F2">
        <w:t>generations of British born Muslims</w:t>
      </w:r>
      <w:r w:rsidR="004337D5">
        <w:t xml:space="preserve"> that </w:t>
      </w:r>
      <w:r w:rsidR="00C961F2">
        <w:t>are</w:t>
      </w:r>
      <w:r w:rsidR="004337D5">
        <w:t xml:space="preserve"> “</w:t>
      </w:r>
      <w:r w:rsidR="003D4459">
        <w:t>not prepared to take abuse or be subject to violence in the meek manner,” of their elders</w:t>
      </w:r>
      <w:r w:rsidR="00C961F2">
        <w:t xml:space="preserve">. These generations seek </w:t>
      </w:r>
      <w:r w:rsidR="00CA7E36">
        <w:t xml:space="preserve">to </w:t>
      </w:r>
      <w:r w:rsidR="00C961F2">
        <w:t>establish</w:t>
      </w:r>
      <w:r w:rsidR="00CA7E36">
        <w:t xml:space="preserve"> </w:t>
      </w:r>
      <w:r w:rsidR="00C961F2">
        <w:t>themselves</w:t>
      </w:r>
      <w:r w:rsidR="00CA7E36">
        <w:t xml:space="preserve"> as a fixture </w:t>
      </w:r>
      <w:r w:rsidR="00DC5C69">
        <w:t>in</w:t>
      </w:r>
      <w:r w:rsidR="00CA7E36">
        <w:t xml:space="preserve"> British society by any means necessary</w:t>
      </w:r>
      <w:r w:rsidR="003D4459">
        <w:t>.</w:t>
      </w:r>
      <w:r w:rsidR="003D4459">
        <w:rPr>
          <w:rStyle w:val="FootnoteReference"/>
        </w:rPr>
        <w:footnoteReference w:id="107"/>
      </w:r>
      <w:r w:rsidR="003D4459">
        <w:t xml:space="preserve"> </w:t>
      </w:r>
    </w:p>
    <w:p w:rsidR="00405EC1" w:rsidRDefault="00FC4547" w:rsidP="00DD1F8A">
      <w:pPr>
        <w:spacing w:line="480" w:lineRule="auto"/>
      </w:pPr>
      <w:r>
        <w:tab/>
      </w:r>
      <w:r w:rsidR="00FF2C39">
        <w:t>The race riots of 2001 and the aggressive actions taken by Muslim youths were considered a result of a “triple alienation—culture, masculinity, and youth,” that is reminiscent of the conditions that were prevalent during the violent encounters in which black youths were the primary actors.</w:t>
      </w:r>
      <w:r w:rsidR="00572BBF">
        <w:rPr>
          <w:rStyle w:val="FootnoteReference"/>
        </w:rPr>
        <w:footnoteReference w:id="108"/>
      </w:r>
      <w:r w:rsidR="00FF2C39">
        <w:t xml:space="preserve"> </w:t>
      </w:r>
      <w:r w:rsidR="00DC5C69">
        <w:t>T</w:t>
      </w:r>
      <w:r w:rsidR="00572BBF">
        <w:t xml:space="preserve">he Muslim youth active in the riots were exhibiting the strength of their Islamic group identity, as Muslims defended Muslims in the face of white aggression. </w:t>
      </w:r>
      <w:r w:rsidR="00405EC1">
        <w:t>Similar to minority communities of the past, the Muslim community of Bradford felt “fear, anger, and frustration at the presence,” of racist organizations demonstrating in their community and “the perceived failure of the police to protect the Asian community from racist aggression,” and as a result took it upon themselves to protect fellow Muslims.</w:t>
      </w:r>
      <w:r w:rsidR="00405EC1">
        <w:rPr>
          <w:rStyle w:val="FootnoteReference"/>
        </w:rPr>
        <w:footnoteReference w:id="109"/>
      </w:r>
      <w:r w:rsidR="00405EC1">
        <w:t xml:space="preserve"> </w:t>
      </w:r>
      <w:r w:rsidR="00A342E2">
        <w:t>But, as is consistent with historical media reactions to minority related unrest, it was the photos of burnt out cars and masked Muslim “young men with petrol bombs” that emerged as the personification of a national nightmare and as the source of the lawlessness</w:t>
      </w:r>
      <w:r w:rsidR="00ED4F63">
        <w:t>, rather than the white racist antagonists.</w:t>
      </w:r>
      <w:r w:rsidR="00A342E2">
        <w:rPr>
          <w:rStyle w:val="FootnoteReference"/>
        </w:rPr>
        <w:footnoteReference w:id="110"/>
      </w:r>
      <w:r w:rsidR="00A342E2">
        <w:t xml:space="preserve"> Even in the pre-9/11 world, Muslims were already in the process of</w:t>
      </w:r>
      <w:r w:rsidR="00ED4F63">
        <w:t xml:space="preserve"> being demonized in the </w:t>
      </w:r>
      <w:r w:rsidR="00A342E2">
        <w:t>British</w:t>
      </w:r>
      <w:r w:rsidR="00ED4F63">
        <w:t xml:space="preserve"> popular</w:t>
      </w:r>
      <w:r w:rsidR="00C41BA5">
        <w:t xml:space="preserve"> imagination that made it easy for observers to blame the Muslim community for the </w:t>
      </w:r>
      <w:r w:rsidR="00C15EEC">
        <w:t>demise</w:t>
      </w:r>
      <w:r w:rsidR="00C41BA5">
        <w:t xml:space="preserve"> of multiculturalism. </w:t>
      </w:r>
    </w:p>
    <w:p w:rsidR="00DC5C69" w:rsidRDefault="00DC5C69" w:rsidP="0024757B">
      <w:pPr>
        <w:spacing w:line="480" w:lineRule="auto"/>
        <w:rPr>
          <w:b/>
          <w:u w:val="single"/>
        </w:rPr>
      </w:pPr>
    </w:p>
    <w:p w:rsidR="00405A00" w:rsidRPr="00DC5C69" w:rsidRDefault="00677CE4" w:rsidP="0024757B">
      <w:pPr>
        <w:spacing w:line="480" w:lineRule="auto"/>
      </w:pPr>
      <w:r>
        <w:rPr>
          <w:b/>
          <w:u w:val="single"/>
        </w:rPr>
        <w:t>Comparing Black and Muslim Migration</w:t>
      </w:r>
    </w:p>
    <w:p w:rsidR="002414BF" w:rsidRDefault="00677CE4" w:rsidP="0024757B">
      <w:pPr>
        <w:spacing w:line="480" w:lineRule="auto"/>
      </w:pPr>
      <w:r>
        <w:tab/>
        <w:t>The experience</w:t>
      </w:r>
      <w:r w:rsidR="002244CC">
        <w:t>s</w:t>
      </w:r>
      <w:r>
        <w:t xml:space="preserve"> of the first generations of Afro-Caribb</w:t>
      </w:r>
      <w:r w:rsidR="00DC5C69">
        <w:t xml:space="preserve">ean and Muslim migrants </w:t>
      </w:r>
      <w:r>
        <w:t xml:space="preserve">share a number of similarities. </w:t>
      </w:r>
      <w:r w:rsidR="00F07341">
        <w:t>First, t</w:t>
      </w:r>
      <w:r w:rsidR="002244CC">
        <w:t>he Afro-</w:t>
      </w:r>
      <w:r w:rsidR="003D2C88">
        <w:t>Caribbean</w:t>
      </w:r>
      <w:r w:rsidR="002244CC">
        <w:t xml:space="preserve"> and Muslim migrants </w:t>
      </w:r>
      <w:r w:rsidR="00E77115">
        <w:t xml:space="preserve">both </w:t>
      </w:r>
      <w:r w:rsidR="002244CC">
        <w:t xml:space="preserve">suffered from public and </w:t>
      </w:r>
      <w:r w:rsidR="003D2C88">
        <w:t>private</w:t>
      </w:r>
      <w:r w:rsidR="002244CC">
        <w:t xml:space="preserve"> discrimination.</w:t>
      </w:r>
      <w:r w:rsidR="00ED4F63">
        <w:t xml:space="preserve"> </w:t>
      </w:r>
      <w:r w:rsidR="00E77115">
        <w:t>Each group</w:t>
      </w:r>
      <w:r w:rsidR="00ED4F63">
        <w:t xml:space="preserve"> </w:t>
      </w:r>
      <w:r w:rsidR="00E77115">
        <w:t>was</w:t>
      </w:r>
      <w:r w:rsidR="00DC5C69">
        <w:t xml:space="preserve"> i</w:t>
      </w:r>
      <w:r w:rsidR="002244CC">
        <w:t xml:space="preserve">nitially </w:t>
      </w:r>
      <w:r w:rsidR="00E77115">
        <w:t>rejected and deemed un-British, and a</w:t>
      </w:r>
      <w:r w:rsidR="002244CC">
        <w:t xml:space="preserve">s a result of their rejection from mainstream society both formed distinct identities for </w:t>
      </w:r>
      <w:r w:rsidR="00F07341">
        <w:t xml:space="preserve">the </w:t>
      </w:r>
      <w:r w:rsidR="002244CC">
        <w:t xml:space="preserve">purposes of communal strength, survival, and assertion of grievances. </w:t>
      </w:r>
      <w:r w:rsidR="00F07341">
        <w:t>Second, b</w:t>
      </w:r>
      <w:r w:rsidR="002244CC">
        <w:t xml:space="preserve">oth identities are largely </w:t>
      </w:r>
      <w:r w:rsidR="00F07341">
        <w:t>viewed</w:t>
      </w:r>
      <w:r w:rsidR="002244CC">
        <w:t xml:space="preserve"> as restrictive and negative by mainstream society, yet are acknowledged positively and as a source of pride within the </w:t>
      </w:r>
      <w:r w:rsidR="00F07341">
        <w:t>Afro-Carribean and Muslim communities</w:t>
      </w:r>
      <w:r w:rsidR="002244CC">
        <w:t xml:space="preserve">. </w:t>
      </w:r>
      <w:r w:rsidR="00F07341">
        <w:t xml:space="preserve">Furthermore, the sources of the two group identities, Islam and blackness, were foreign to Britain prior to mass migration and contrast with the historical perception of the British nation. Third, there is a visible increase in </w:t>
      </w:r>
      <w:r w:rsidR="002244CC">
        <w:t xml:space="preserve">assertiveness and aggressiveness in </w:t>
      </w:r>
      <w:r w:rsidR="00F07341">
        <w:t>Caribbean and Muslim</w:t>
      </w:r>
      <w:r w:rsidR="002244CC">
        <w:t xml:space="preserve"> generations born in Britain. </w:t>
      </w:r>
      <w:r w:rsidR="00290272">
        <w:t xml:space="preserve">And </w:t>
      </w:r>
      <w:r w:rsidR="00F07341">
        <w:t xml:space="preserve">lastly, </w:t>
      </w:r>
      <w:r w:rsidR="00290272">
        <w:t xml:space="preserve">both the Islamic and Afro-Caribbean communities were at some point labeled as problematic groups that posed issues to law and order. </w:t>
      </w:r>
    </w:p>
    <w:p w:rsidR="005B0543" w:rsidRDefault="002414BF" w:rsidP="0024757B">
      <w:pPr>
        <w:spacing w:line="480" w:lineRule="auto"/>
      </w:pPr>
      <w:r>
        <w:tab/>
      </w:r>
      <w:r w:rsidR="00463736">
        <w:t>Muslims</w:t>
      </w:r>
      <w:r w:rsidR="00E3034C">
        <w:t xml:space="preserve"> find themselves in a situation that differs from the Caribbean minority in that they</w:t>
      </w:r>
      <w:r w:rsidR="00463736">
        <w:t xml:space="preserve"> suffer from the double alienation of </w:t>
      </w:r>
      <w:r w:rsidR="00516361">
        <w:t xml:space="preserve">being confronted with </w:t>
      </w:r>
      <w:r w:rsidR="00463736">
        <w:t xml:space="preserve">racial and religious discrimination. The Muslim community in some regard shared in the success of </w:t>
      </w:r>
      <w:r w:rsidR="00516361">
        <w:t xml:space="preserve">the </w:t>
      </w:r>
      <w:r w:rsidR="00463736">
        <w:t>anti-racist movement that culminated in the 1990s</w:t>
      </w:r>
      <w:r w:rsidR="00E3034C">
        <w:t xml:space="preserve"> because </w:t>
      </w:r>
      <w:r w:rsidR="00516361">
        <w:t xml:space="preserve">they were afforded protection from racial </w:t>
      </w:r>
      <w:r w:rsidR="003D2C88">
        <w:t>discrimination</w:t>
      </w:r>
      <w:r w:rsidR="00463736">
        <w:t xml:space="preserve">, however, their fight </w:t>
      </w:r>
      <w:r w:rsidR="00516361">
        <w:t>for protection from religious discrimination was</w:t>
      </w:r>
      <w:r w:rsidR="00463736">
        <w:t xml:space="preserve"> just beginning. The harder battle that the Muslim community is presently </w:t>
      </w:r>
      <w:r w:rsidR="00516361">
        <w:t>waging</w:t>
      </w:r>
      <w:r w:rsidR="00463736">
        <w:t xml:space="preserve"> is the pursuit of full statutory protection against religious discrimination.</w:t>
      </w:r>
      <w:r w:rsidR="00E3034C">
        <w:t xml:space="preserve"> Conflicts with the Muslim world have been raging since the emergence of the Muslim minority in the late 1980s. Ranging from the debate over the disputed Palestinian territories to the </w:t>
      </w:r>
      <w:r w:rsidR="00EA7449">
        <w:t>wars in Afghanistan and Iraq</w:t>
      </w:r>
      <w:r w:rsidR="00C961F2">
        <w:t>,</w:t>
      </w:r>
      <w:r w:rsidR="00E3034C">
        <w:t xml:space="preserve"> Islam has </w:t>
      </w:r>
      <w:r w:rsidR="00C961F2">
        <w:t xml:space="preserve">been </w:t>
      </w:r>
      <w:r w:rsidR="00EA7449">
        <w:t>at the center of these conflicts, which has generated</w:t>
      </w:r>
      <w:r w:rsidR="00885E29">
        <w:t xml:space="preserve"> a misconception of Muslims as enemies of the West and Islam as a religion of violence.</w:t>
      </w:r>
      <w:r w:rsidR="00E3034C">
        <w:t xml:space="preserve"> </w:t>
      </w:r>
      <w:r w:rsidR="00885E29">
        <w:t>P</w:t>
      </w:r>
      <w:r w:rsidR="00516361">
        <w:t>articularly in the post-9/11</w:t>
      </w:r>
      <w:r w:rsidR="00ED4F63">
        <w:t xml:space="preserve"> and 7/7</w:t>
      </w:r>
      <w:r w:rsidR="00885E29">
        <w:t xml:space="preserve"> world, attacking Muslim discrimination is more important than ever. </w:t>
      </w:r>
    </w:p>
    <w:p w:rsidR="00440B08" w:rsidRPr="00BE779C" w:rsidRDefault="00BE779C" w:rsidP="0024757B">
      <w:pPr>
        <w:spacing w:line="480" w:lineRule="auto"/>
      </w:pPr>
      <w:r>
        <w:rPr>
          <w:b/>
          <w:u w:val="single"/>
        </w:rPr>
        <w:t xml:space="preserve">Future of Multiculturalism </w:t>
      </w:r>
    </w:p>
    <w:p w:rsidR="00B91928" w:rsidRDefault="00325035" w:rsidP="0024757B">
      <w:pPr>
        <w:spacing w:line="480" w:lineRule="auto"/>
      </w:pPr>
      <w:r>
        <w:tab/>
      </w:r>
      <w:r w:rsidR="00570174">
        <w:t xml:space="preserve">Critics of multiculturalism have claimed that it has buckled under Muslim-related pressures. Britain, confronted with the reality of post-war mass migration, </w:t>
      </w:r>
      <w:r w:rsidR="00AB49EF">
        <w:t xml:space="preserve">chose to reject </w:t>
      </w:r>
      <w:r w:rsidR="00AC477C">
        <w:t>a coercive-</w:t>
      </w:r>
      <w:r w:rsidR="00330AA9">
        <w:t>assimilationist</w:t>
      </w:r>
      <w:r w:rsidR="009B54BB">
        <w:t xml:space="preserve"> policy</w:t>
      </w:r>
      <w:r w:rsidR="00AC477C">
        <w:t xml:space="preserve"> and </w:t>
      </w:r>
      <w:r w:rsidR="00D72875">
        <w:t>sought</w:t>
      </w:r>
      <w:r w:rsidR="00AC477C">
        <w:t xml:space="preserve"> to </w:t>
      </w:r>
      <w:r w:rsidR="00EA7449">
        <w:t>embrace a difference affirming</w:t>
      </w:r>
      <w:r w:rsidR="00AC477C">
        <w:t xml:space="preserve"> policy under the title of multiculturalism.</w:t>
      </w:r>
      <w:r w:rsidR="00AC477C">
        <w:rPr>
          <w:rStyle w:val="FootnoteReference"/>
        </w:rPr>
        <w:footnoteReference w:id="111"/>
      </w:r>
      <w:r w:rsidR="00AC477C">
        <w:t xml:space="preserve"> </w:t>
      </w:r>
      <w:r w:rsidR="003D2C88">
        <w:t xml:space="preserve">Prior to the disturbances of 2001, many considered multiculturalism to be a great success and </w:t>
      </w:r>
      <w:r w:rsidR="00D72875">
        <w:t>believed that it was proving to be Western Europe’s ideal integration model</w:t>
      </w:r>
      <w:r w:rsidR="003D2C88">
        <w:t>.</w:t>
      </w:r>
      <w:r w:rsidR="003D2C88">
        <w:rPr>
          <w:rStyle w:val="FootnoteReference"/>
        </w:rPr>
        <w:footnoteReference w:id="112"/>
      </w:r>
      <w:r w:rsidR="003D2C88">
        <w:t xml:space="preserve"> </w:t>
      </w:r>
      <w:r w:rsidR="00B91928">
        <w:t xml:space="preserve">What are these successes that </w:t>
      </w:r>
      <w:r w:rsidR="003D2C88">
        <w:t>preceded</w:t>
      </w:r>
      <w:r w:rsidR="00B91928">
        <w:t xml:space="preserve"> the apparent faltering of the once strong multicultural system?</w:t>
      </w:r>
    </w:p>
    <w:p w:rsidR="00B667A5" w:rsidRDefault="00B91928" w:rsidP="0024757B">
      <w:pPr>
        <w:spacing w:line="480" w:lineRule="auto"/>
      </w:pPr>
      <w:r>
        <w:tab/>
      </w:r>
      <w:r w:rsidR="006C7EC5">
        <w:t>U</w:t>
      </w:r>
      <w:r w:rsidR="00A55D2B">
        <w:t xml:space="preserve">ntil the 1990s, </w:t>
      </w:r>
      <w:r w:rsidR="003D2C88">
        <w:t>integration policy and minority relations were</w:t>
      </w:r>
      <w:r w:rsidR="00A55D2B">
        <w:t xml:space="preserve"> consumed with addressing the needs of the growing non-white immigrant population that </w:t>
      </w:r>
      <w:r w:rsidR="0085100F">
        <w:t>was represented by the black community</w:t>
      </w:r>
      <w:r w:rsidR="00A55D2B">
        <w:t xml:space="preserve">. </w:t>
      </w:r>
      <w:r w:rsidR="006C7EC5">
        <w:t>Prior</w:t>
      </w:r>
      <w:r w:rsidR="00A55D2B">
        <w:t xml:space="preserve"> the emergence of a plurality o</w:t>
      </w:r>
      <w:r w:rsidR="006C7EC5">
        <w:t>f minority identities</w:t>
      </w:r>
      <w:r w:rsidR="00A55D2B">
        <w:t xml:space="preserve">, </w:t>
      </w:r>
      <w:r w:rsidR="006C7EC5">
        <w:t>the</w:t>
      </w:r>
      <w:r w:rsidR="00A55D2B">
        <w:t xml:space="preserve"> </w:t>
      </w:r>
      <w:r w:rsidR="006C7EC5">
        <w:t xml:space="preserve">state was </w:t>
      </w:r>
      <w:r w:rsidR="00A55D2B">
        <w:t xml:space="preserve">concerned with addressing the issues </w:t>
      </w:r>
      <w:r w:rsidR="006C7EC5">
        <w:t>posed by racism</w:t>
      </w:r>
      <w:r w:rsidR="00A55D2B">
        <w:t xml:space="preserve">. </w:t>
      </w:r>
      <w:r w:rsidR="00266621">
        <w:t xml:space="preserve">So if multiculturalism generally functioned successfully in Britain, then that success must be </w:t>
      </w:r>
      <w:r w:rsidR="006C7EC5">
        <w:t xml:space="preserve">measured in regard to the </w:t>
      </w:r>
      <w:r w:rsidR="00266621">
        <w:t xml:space="preserve">accommodation of the </w:t>
      </w:r>
      <w:r w:rsidR="006C7EC5">
        <w:t>non-white immigrant</w:t>
      </w:r>
      <w:r w:rsidR="00266621">
        <w:t xml:space="preserve"> population</w:t>
      </w:r>
      <w:r w:rsidR="006C7EC5">
        <w:t xml:space="preserve"> in its fight against racism and racial discrimination</w:t>
      </w:r>
      <w:r w:rsidR="00266621">
        <w:t xml:space="preserve">, only to fail under the stresses and </w:t>
      </w:r>
      <w:r w:rsidR="003D2C88">
        <w:t>demands</w:t>
      </w:r>
      <w:r w:rsidR="00266621">
        <w:t xml:space="preserve"> of the Muslim population at the turn of the twenty-first century. </w:t>
      </w:r>
      <w:r w:rsidR="003D2C88">
        <w:t xml:space="preserve">From the 1970s through the late 1990s, there were indeed a series of legislative successes for the black minority populace.  </w:t>
      </w:r>
      <w:r w:rsidR="003F2576">
        <w:t xml:space="preserve">The series of Race Relations Acts passed in the 1960s and 1970s were designed to form the foundation of the new </w:t>
      </w:r>
      <w:r w:rsidR="003D2C88">
        <w:t>multicultural</w:t>
      </w:r>
      <w:r w:rsidR="003F2576">
        <w:t xml:space="preserve"> state by outlawing racial discrimination and establishing a statutory public duty to promote good race-</w:t>
      </w:r>
      <w:r w:rsidR="003D2C88">
        <w:t>relations, which would ensure “equal opportunity accompanied,</w:t>
      </w:r>
      <w:r w:rsidR="003F2576">
        <w:t xml:space="preserve"> by </w:t>
      </w:r>
      <w:r w:rsidR="003D2C88">
        <w:t>cultural</w:t>
      </w:r>
      <w:r w:rsidR="003F2576">
        <w:t xml:space="preserve"> diversity in an atmosphere of mutual tolerance.” </w:t>
      </w:r>
      <w:r w:rsidR="00FC0982">
        <w:t xml:space="preserve">The anti-racist and anti-discrimination movement’s successes supposedly culminated </w:t>
      </w:r>
      <w:r w:rsidR="00F06CE7">
        <w:t>following the completion of the Stephen Lawrence I</w:t>
      </w:r>
      <w:r w:rsidR="00FC0982">
        <w:t>nquiry</w:t>
      </w:r>
      <w:r w:rsidR="00F06CE7">
        <w:t xml:space="preserve"> in 1999</w:t>
      </w:r>
      <w:r w:rsidR="00FC0982">
        <w:t>, which was dubbed the “multicultural moment,”</w:t>
      </w:r>
      <w:r w:rsidR="00F06CE7">
        <w:rPr>
          <w:rStyle w:val="FootnoteReference"/>
        </w:rPr>
        <w:footnoteReference w:id="113"/>
      </w:r>
      <w:r w:rsidR="00FC0982">
        <w:t xml:space="preserve"> </w:t>
      </w:r>
      <w:r w:rsidR="00424056">
        <w:t>when</w:t>
      </w:r>
      <w:r w:rsidR="00ED542A">
        <w:t xml:space="preserve"> institutional discrimination in both the police and criminal justice system had been identified and plans were outlined for such issues to be rectified. </w:t>
      </w:r>
      <w:r w:rsidR="00F06CE7">
        <w:t xml:space="preserve">By the turn of the century proponents of multiculturalism were riding high, pleased with Britain’s ability to acknowledge and </w:t>
      </w:r>
      <w:r w:rsidR="00424056">
        <w:t>attempt</w:t>
      </w:r>
      <w:r w:rsidR="0085100F">
        <w:t xml:space="preserve"> to adjust its flaws, and le</w:t>
      </w:r>
      <w:r w:rsidR="00F06CE7">
        <w:t>d the Labour government in 2000 to declare that it was committed to a country where “every colour is a good colour…everyone  is treated according to their needs and rights,” and where, “racial diversity is celebrated.”</w:t>
      </w:r>
      <w:r w:rsidR="00F06CE7">
        <w:rPr>
          <w:rStyle w:val="FootnoteReference"/>
        </w:rPr>
        <w:footnoteReference w:id="114"/>
      </w:r>
    </w:p>
    <w:p w:rsidR="00F47DA7" w:rsidRDefault="00B667A5" w:rsidP="0024757B">
      <w:pPr>
        <w:spacing w:line="480" w:lineRule="auto"/>
      </w:pPr>
      <w:r>
        <w:tab/>
        <w:t xml:space="preserve">The successes of the multicultural state sound great, but are they tangible successes or simply pats on the back for espousing liberal ideals and </w:t>
      </w:r>
      <w:r w:rsidR="009B6B70">
        <w:t>promoting diversity</w:t>
      </w:r>
      <w:r>
        <w:t>?</w:t>
      </w:r>
      <w:r w:rsidR="009B6B70">
        <w:t xml:space="preserve"> Unfortunately there is data that suggests what had been deemed a success for the black minority may not have had the desired results. Certainly from a stand point of official recognition and the passage of legislation the black minority was hugely successful, but such </w:t>
      </w:r>
      <w:r w:rsidR="002B13C0">
        <w:t xml:space="preserve">statutory protections have not been implemented as successfully. </w:t>
      </w:r>
      <w:r w:rsidR="0075753A">
        <w:t>Police statistics show that a dec</w:t>
      </w:r>
      <w:r w:rsidR="00424056">
        <w:t xml:space="preserve">ade after the Lawrence Inquiry, </w:t>
      </w:r>
      <w:r w:rsidR="0075753A">
        <w:t>black people are seven times more likely to be s</w:t>
      </w:r>
      <w:r w:rsidR="00424056">
        <w:t xml:space="preserve">topped and searched than white, and </w:t>
      </w:r>
      <w:r w:rsidR="0075753A">
        <w:t>Asian people are twice as likely to be stopped and searched as white people.</w:t>
      </w:r>
      <w:r w:rsidR="0075753A">
        <w:rPr>
          <w:rStyle w:val="FootnoteReference"/>
        </w:rPr>
        <w:footnoteReference w:id="115"/>
      </w:r>
      <w:r>
        <w:t xml:space="preserve"> </w:t>
      </w:r>
      <w:r w:rsidR="00424056">
        <w:t>T</w:t>
      </w:r>
      <w:r w:rsidR="0075753A">
        <w:t>he “disproportionate impact of stop and search on black people has shown no long term drop in the past 15 years,” and this disproportionate impact “cannot be justified by detections, since only around one in six people in all racial groups are then found to have done something serious enough to merit an arrest.”</w:t>
      </w:r>
      <w:r w:rsidR="0075753A">
        <w:rPr>
          <w:rStyle w:val="FootnoteReference"/>
        </w:rPr>
        <w:footnoteReference w:id="116"/>
      </w:r>
      <w:r w:rsidR="0075753A">
        <w:t xml:space="preserve"> </w:t>
      </w:r>
      <w:r w:rsidR="00556434">
        <w:t xml:space="preserve">Such racial disproportionality </w:t>
      </w:r>
      <w:r w:rsidR="00F47DA7">
        <w:t xml:space="preserve">and obvious discriminatory practice </w:t>
      </w:r>
      <w:r w:rsidR="00556434">
        <w:t xml:space="preserve">can hardly be deemed a success of the multicultural state. </w:t>
      </w:r>
    </w:p>
    <w:p w:rsidR="00D14097" w:rsidRDefault="00F47DA7" w:rsidP="0024757B">
      <w:pPr>
        <w:spacing w:line="480" w:lineRule="auto"/>
      </w:pPr>
      <w:r>
        <w:tab/>
        <w:t xml:space="preserve">According to surveys conducted in 2005, Blacks have the highest percentage of respondents that perceive discrimination in employment, education, and the police. The definition of discrimination for the purposes of the survey being that the individual expects to be treated worse than other races. 13.5 percent of Blacks, 7.3 percent of Asians, and 0.5 percent of whites perceive discrimination in employment. 17.6 percent of blacks, 4.8 percent of Asians, and 4 percent of whites perceive discrimination in the school system. And 31.2 percent of blacks, 19.3 percent of Asians, and 5.3 percent of whites </w:t>
      </w:r>
      <w:r w:rsidR="00485DC5">
        <w:t>perceive police discrimination.</w:t>
      </w:r>
      <w:r w:rsidR="00485DC5">
        <w:rPr>
          <w:rStyle w:val="FootnoteReference"/>
        </w:rPr>
        <w:footnoteReference w:id="117"/>
      </w:r>
      <w:r w:rsidR="00485DC5">
        <w:t xml:space="preserve"> Certainly the </w:t>
      </w:r>
      <w:r w:rsidR="00D25C86">
        <w:t>survey is impacted by the fact that these are merely perceptions, not hard data. But based on the police statistics about stop and search practices, it is</w:t>
      </w:r>
      <w:r w:rsidR="00424056">
        <w:t xml:space="preserve"> not surprising </w:t>
      </w:r>
      <w:r w:rsidR="00D25C86">
        <w:t xml:space="preserve">that blacks would </w:t>
      </w:r>
      <w:r w:rsidR="0085100F">
        <w:t xml:space="preserve">be </w:t>
      </w:r>
      <w:r w:rsidR="00D25C86">
        <w:t xml:space="preserve">the ethnic group with the most respondents perceiving </w:t>
      </w:r>
      <w:r w:rsidR="0085100F">
        <w:t xml:space="preserve">police </w:t>
      </w:r>
      <w:r w:rsidR="00D14097">
        <w:t xml:space="preserve">discrimination. </w:t>
      </w:r>
      <w:r w:rsidR="00424056">
        <w:t>T</w:t>
      </w:r>
      <w:r w:rsidR="00D25C86">
        <w:t xml:space="preserve">his information seems to portray the black community as the most disaffected minority, however, the Asian ethnic category includes a number of groups other than Muslims, and based on socio-economic data Muslims </w:t>
      </w:r>
      <w:r w:rsidR="00424056">
        <w:t>do remain</w:t>
      </w:r>
      <w:r w:rsidR="00D25C86">
        <w:t xml:space="preserve"> the most disadvantaged minority group</w:t>
      </w:r>
      <w:r w:rsidR="00D14097">
        <w:t>.</w:t>
      </w:r>
    </w:p>
    <w:p w:rsidR="00800FAE" w:rsidRDefault="00D14097" w:rsidP="0024757B">
      <w:pPr>
        <w:spacing w:line="480" w:lineRule="auto"/>
      </w:pPr>
      <w:r>
        <w:tab/>
        <w:t xml:space="preserve">Regardless if multiculturalism was ever a successful public policy or ever deserving of celebration, </w:t>
      </w:r>
      <w:r w:rsidR="00C86D82">
        <w:t>attitudes towards British multicultural</w:t>
      </w:r>
      <w:r w:rsidR="00424056">
        <w:t xml:space="preserve">ism quickly changed following the </w:t>
      </w:r>
      <w:r w:rsidR="00C86D82">
        <w:t xml:space="preserve">2001 race riots and </w:t>
      </w:r>
      <w:r w:rsidR="00424056">
        <w:t>the policy was soon characterized as a barrier that divided</w:t>
      </w:r>
      <w:r w:rsidR="00C86D82">
        <w:t xml:space="preserve"> British society.</w:t>
      </w:r>
      <w:r w:rsidR="00C86D82">
        <w:rPr>
          <w:rStyle w:val="FootnoteReference"/>
        </w:rPr>
        <w:footnoteReference w:id="118"/>
      </w:r>
      <w:r w:rsidR="00C86D82">
        <w:t xml:space="preserve"> The emphasis on maintaining cultural identity had apparently allowed the development of deep cleavages in society </w:t>
      </w:r>
      <w:r w:rsidR="00057412">
        <w:t>that inevitably lead to conflict and violence</w:t>
      </w:r>
      <w:r w:rsidR="00C86D82">
        <w:t xml:space="preserve">. </w:t>
      </w:r>
      <w:r w:rsidR="00E31D44">
        <w:t>In the cities where the 2001 race riots broke out it was argued, by the author’s of the government response panel, that immigrants had become so segregated into their g</w:t>
      </w:r>
      <w:r w:rsidR="00800FAE">
        <w:t>roup communities that “parallel lives” had developed:</w:t>
      </w:r>
    </w:p>
    <w:p w:rsidR="000D5FCA" w:rsidRDefault="00800FAE" w:rsidP="000D5FCA">
      <w:pPr>
        <w:ind w:left="630" w:right="720"/>
      </w:pPr>
      <w:r>
        <w:t xml:space="preserve">This meant that the ignorance about each other’s communities had been turned into fear, and even demonization. The result was intolerance, discrimination and, in extreme cases, violence. Our subsequent work has been founded on the principle of breaking </w:t>
      </w:r>
    </w:p>
    <w:p w:rsidR="000D5FCA" w:rsidRDefault="00800FAE" w:rsidP="000D5FCA">
      <w:pPr>
        <w:ind w:left="630" w:right="720"/>
      </w:pPr>
      <w:r>
        <w:t>down those barriers and fost</w:t>
      </w:r>
      <w:r w:rsidR="000D5FCA">
        <w:t>ering understanding and respect.</w:t>
      </w:r>
      <w:r w:rsidR="00897AEB">
        <w:rPr>
          <w:rStyle w:val="FootnoteReference"/>
        </w:rPr>
        <w:footnoteReference w:id="119"/>
      </w:r>
    </w:p>
    <w:p w:rsidR="00C86D82" w:rsidRDefault="00C86D82" w:rsidP="000D5FCA"/>
    <w:p w:rsidR="008E2786" w:rsidRDefault="00057412" w:rsidP="0024757B">
      <w:pPr>
        <w:spacing w:line="480" w:lineRule="auto"/>
      </w:pPr>
      <w:r>
        <w:t xml:space="preserve">These so-called parallel lives were so segregated that people from different communities </w:t>
      </w:r>
      <w:r w:rsidR="00666517">
        <w:t xml:space="preserve">did not seem to </w:t>
      </w:r>
      <w:r>
        <w:t>interact, or engage with one another in any way that would allow the development of meaningful connections.</w:t>
      </w:r>
      <w:r w:rsidR="00666517">
        <w:rPr>
          <w:rStyle w:val="FootnoteReference"/>
        </w:rPr>
        <w:footnoteReference w:id="120"/>
      </w:r>
      <w:r w:rsidR="00666517">
        <w:t xml:space="preserve"> It became abundantly clear that multicultural policy</w:t>
      </w:r>
      <w:r w:rsidR="001C479E">
        <w:t xml:space="preserve">, in addition to the minority relations legislation passed in the latter half of the twentieth century, </w:t>
      </w:r>
      <w:r w:rsidR="00330AA9">
        <w:t>had paid little attention</w:t>
      </w:r>
      <w:r w:rsidR="001C479E">
        <w:t xml:space="preserve"> to tackling the underlying causes of prejudice and discrimination, and little thought had been given to how “the host community and new minorities might relate to each other and how mutual respect and understanding,” might develop.</w:t>
      </w:r>
      <w:r w:rsidR="001C479E">
        <w:rPr>
          <w:rStyle w:val="FootnoteReference"/>
        </w:rPr>
        <w:footnoteReference w:id="121"/>
      </w:r>
      <w:r w:rsidR="001C479E">
        <w:t xml:space="preserve"> British policy makers hope that the development of a new social policy known as “community cohesion” can compensate for the shortcomings of nearly forty years of multiculturalism. </w:t>
      </w:r>
    </w:p>
    <w:p w:rsidR="00F91299" w:rsidRDefault="00325035" w:rsidP="0024757B">
      <w:pPr>
        <w:spacing w:line="480" w:lineRule="auto"/>
      </w:pPr>
      <w:r>
        <w:tab/>
      </w:r>
      <w:r w:rsidR="007D027B">
        <w:t>The approach of the new</w:t>
      </w:r>
      <w:r w:rsidR="00B07BB5">
        <w:t>ly developed</w:t>
      </w:r>
      <w:r w:rsidR="007D027B">
        <w:t xml:space="preserve"> community cohesion </w:t>
      </w:r>
      <w:r w:rsidR="00B07BB5">
        <w:t>policy</w:t>
      </w:r>
      <w:r w:rsidR="007D027B">
        <w:t xml:space="preserve"> is one that diverges from a focus solely on the minority as the victim. It is an approach that recognizes the needs and concerns of the host majority adapting to the </w:t>
      </w:r>
      <w:r w:rsidR="00390004">
        <w:t xml:space="preserve">presence of new groups. It recognizes that “those living in deprived areas often perceive themselves as being in competition with migrants for limited </w:t>
      </w:r>
      <w:r w:rsidR="00075576">
        <w:t>resources,” and strives to provi</w:t>
      </w:r>
      <w:r w:rsidR="00390004">
        <w:t>d</w:t>
      </w:r>
      <w:r w:rsidR="00075576">
        <w:t>e</w:t>
      </w:r>
      <w:r w:rsidR="00390004">
        <w:t xml:space="preserve"> “additional resources” for those host community.</w:t>
      </w:r>
      <w:r w:rsidR="00804F48">
        <w:rPr>
          <w:rStyle w:val="FootnoteReference"/>
        </w:rPr>
        <w:footnoteReference w:id="122"/>
      </w:r>
      <w:r w:rsidR="00390004">
        <w:t xml:space="preserve"> This is a clear divergence from the affirmative action and equal </w:t>
      </w:r>
      <w:r w:rsidR="003D2C88">
        <w:t>opportunity</w:t>
      </w:r>
      <w:r w:rsidR="00390004">
        <w:t xml:space="preserve"> model that had been the foundation of most of the legislation during the multicultural period. </w:t>
      </w:r>
      <w:r w:rsidR="00804F48">
        <w:t>This new approach, still unclear as to its potential for success, makes the host community apart of the welcoming process and recognizes that there is a necessary adjustment period for both newcomers and the host. Community Cohesion is about the managing of settlement and the creation of a “sense of belonging,” and ensuring that all “communities share common values.”</w:t>
      </w:r>
      <w:r w:rsidR="00804F48">
        <w:rPr>
          <w:rStyle w:val="FootnoteReference"/>
        </w:rPr>
        <w:footnoteReference w:id="123"/>
      </w:r>
      <w:r w:rsidR="00804F48">
        <w:t xml:space="preserve"> </w:t>
      </w:r>
      <w:r w:rsidR="004B65B3">
        <w:t xml:space="preserve">The need for the development of inter-group relations and interaction is further exhibited by polling data that suggests attitudes towards immigration </w:t>
      </w:r>
      <w:r w:rsidR="00D77C9D">
        <w:t>have</w:t>
      </w:r>
      <w:r w:rsidR="004B65B3">
        <w:t xml:space="preserve"> changed very little since the 1960s. </w:t>
      </w:r>
    </w:p>
    <w:p w:rsidR="00D77C9D" w:rsidRDefault="002B2FA2" w:rsidP="00D77C9D">
      <w:pPr>
        <w:spacing w:line="480" w:lineRule="auto"/>
        <w:ind w:firstLine="720"/>
      </w:pPr>
      <w:r>
        <w:t>Polling data reveals that the tone of</w:t>
      </w:r>
      <w:r w:rsidR="00D77C9D">
        <w:t xml:space="preserve"> the anti-immigration </w:t>
      </w:r>
      <w:r>
        <w:t>debate is markedly similar to that of the Enoch Powell era. A poll taken in 2000, prior to the uproar over the riots in 2001, indicated that 66 percent of British citizens think there are too many immigrants in the country. 63 percent feel that too much is being done to help immigrants. And nearly 40 percent feel that those settling in Britain should not maintain the culture and lifestyle they had at home.</w:t>
      </w:r>
      <w:r>
        <w:rPr>
          <w:rStyle w:val="FootnoteReference"/>
        </w:rPr>
        <w:footnoteReference w:id="124"/>
      </w:r>
      <w:r>
        <w:t xml:space="preserve"> A 2004 study analyzed British attitudes towards Muslim immigrants. The results</w:t>
      </w:r>
      <w:r w:rsidR="00D77C9D">
        <w:t xml:space="preserve"> found that 46 percent of white Brits believe</w:t>
      </w:r>
      <w:r>
        <w:t xml:space="preserve"> that Muslim immigrants take jobs away from native British. 62 percent think Muslims are not really committed to Britain. 86 percent think Muslims are more loyal to their own. And 69 percent believe England would lose its identity if more were to come.</w:t>
      </w:r>
      <w:r>
        <w:rPr>
          <w:rStyle w:val="FootnoteReference"/>
        </w:rPr>
        <w:footnoteReference w:id="125"/>
      </w:r>
      <w:r>
        <w:t xml:space="preserve"> </w:t>
      </w:r>
    </w:p>
    <w:p w:rsidR="003E2861" w:rsidRDefault="002B2FA2" w:rsidP="003E2861">
      <w:pPr>
        <w:spacing w:line="480" w:lineRule="auto"/>
        <w:ind w:firstLine="720"/>
      </w:pPr>
      <w:r>
        <w:t>The tone and content of the anti-immigration rhetoric and its similarities to the debates in the 1960s lends credence to the argument</w:t>
      </w:r>
      <w:r w:rsidR="00D77C9D">
        <w:t xml:space="preserve"> that multiculturalism </w:t>
      </w:r>
      <w:r>
        <w:t>failed to address the root causes of discrimination and prejudice amongst the majority white British populace. It is not entirely surprising that British anxieties about immigration have not changed in over forty years, because the significant factors that develop anti</w:t>
      </w:r>
      <w:r w:rsidR="00DA4714">
        <w:t xml:space="preserve">-immigration sentiment, such </w:t>
      </w:r>
      <w:r w:rsidR="00D77C9D">
        <w:t xml:space="preserve">as </w:t>
      </w:r>
      <w:r w:rsidR="00DA4714">
        <w:t xml:space="preserve">concerns for </w:t>
      </w:r>
      <w:r>
        <w:t xml:space="preserve">job and wage protection, are just as legitimate today as </w:t>
      </w:r>
      <w:r w:rsidR="00DA4714">
        <w:t>they</w:t>
      </w:r>
      <w:r>
        <w:t xml:space="preserve"> </w:t>
      </w:r>
      <w:r w:rsidR="00DA4714">
        <w:t>were</w:t>
      </w:r>
      <w:r>
        <w:t xml:space="preserve"> in the 1960s. However, the fact that over nearly</w:t>
      </w:r>
      <w:r w:rsidR="00DA4714">
        <w:t xml:space="preserve"> a</w:t>
      </w:r>
      <w:r>
        <w:t xml:space="preserve"> half-century period </w:t>
      </w:r>
      <w:r w:rsidR="00DA4714">
        <w:t xml:space="preserve">nothing has succeeded in alleviating these rifts between the British majority and the immigrant </w:t>
      </w:r>
      <w:r w:rsidR="000C66D8">
        <w:t>minority</w:t>
      </w:r>
      <w:r w:rsidR="00DA4714">
        <w:t xml:space="preserve"> suggests that British multicultural policy has failed </w:t>
      </w:r>
      <w:r w:rsidR="00D77C9D">
        <w:t>in</w:t>
      </w:r>
      <w:r w:rsidR="00DA4714">
        <w:t xml:space="preserve"> establish</w:t>
      </w:r>
      <w:r w:rsidR="00D77C9D">
        <w:t xml:space="preserve">ing </w:t>
      </w:r>
      <w:r w:rsidR="00DA4714">
        <w:t xml:space="preserve">an atmosphere of mutual tolerance. </w:t>
      </w:r>
      <w:r w:rsidR="00D77C9D">
        <w:t>I</w:t>
      </w:r>
      <w:r w:rsidR="00DA4714">
        <w:t xml:space="preserve">t also </w:t>
      </w:r>
      <w:r w:rsidR="00330AA9">
        <w:t>suggests</w:t>
      </w:r>
      <w:r w:rsidR="00DA4714">
        <w:t xml:space="preserve"> that </w:t>
      </w:r>
      <w:r w:rsidR="00330AA9">
        <w:t>the true cause</w:t>
      </w:r>
      <w:r w:rsidR="00DA4714">
        <w:t xml:space="preserve"> </w:t>
      </w:r>
      <w:r w:rsidR="00330AA9">
        <w:t>of</w:t>
      </w:r>
      <w:r w:rsidR="00DA4714">
        <w:t xml:space="preserve"> violent anti-immigrant sentiment was not addressed</w:t>
      </w:r>
      <w:r w:rsidR="000C66D8">
        <w:t xml:space="preserve"> </w:t>
      </w:r>
      <w:r w:rsidR="00081EEC">
        <w:t>or</w:t>
      </w:r>
      <w:r w:rsidR="000C66D8">
        <w:t xml:space="preserve"> corrected</w:t>
      </w:r>
      <w:r w:rsidR="00DA4714">
        <w:t>.</w:t>
      </w:r>
      <w:r w:rsidR="00C25768">
        <w:t xml:space="preserve"> </w:t>
      </w:r>
      <w:r w:rsidR="009B00F7">
        <w:t xml:space="preserve">The fears, anxieties, and prejudices of the British majority that first confronted the Afro-Caribbean population </w:t>
      </w:r>
      <w:r w:rsidR="003D2C88">
        <w:t>are</w:t>
      </w:r>
      <w:r w:rsidR="009B00F7">
        <w:t xml:space="preserve"> alive and present in the debate conce</w:t>
      </w:r>
      <w:r w:rsidR="000B7349">
        <w:t>r</w:t>
      </w:r>
      <w:r w:rsidR="008E2786">
        <w:t>n</w:t>
      </w:r>
      <w:r w:rsidR="000B7349">
        <w:t xml:space="preserve">ing </w:t>
      </w:r>
      <w:r w:rsidR="00C25768">
        <w:t>the</w:t>
      </w:r>
      <w:r w:rsidR="00D77C9D">
        <w:t xml:space="preserve"> growing</w:t>
      </w:r>
      <w:r w:rsidR="00C25768">
        <w:t xml:space="preserve"> Muslim minority. </w:t>
      </w:r>
    </w:p>
    <w:p w:rsidR="00DD4C2D" w:rsidRDefault="00BC0812" w:rsidP="003E2861">
      <w:pPr>
        <w:spacing w:line="480" w:lineRule="auto"/>
      </w:pPr>
      <w:r>
        <w:rPr>
          <w:b/>
          <w:u w:val="single"/>
        </w:rPr>
        <w:t>Conclusion</w:t>
      </w:r>
    </w:p>
    <w:p w:rsidR="008135AD" w:rsidRDefault="00266F8D" w:rsidP="00DD4C2D">
      <w:pPr>
        <w:spacing w:line="480" w:lineRule="auto"/>
        <w:ind w:firstLine="720"/>
      </w:pPr>
      <w:r>
        <w:t>In 2005, Trevor Phillips, the preeminent authority on the integration of Britain’s minorities, declared that multiculturalism should be scrapped, essentially signifying the d</w:t>
      </w:r>
      <w:r w:rsidR="008135AD">
        <w:t xml:space="preserve">eath of the multicultural model, which </w:t>
      </w:r>
      <w:r>
        <w:t xml:space="preserve">had come under serious scrutiny following the </w:t>
      </w:r>
      <w:r w:rsidR="002C6279">
        <w:t>unrest</w:t>
      </w:r>
      <w:r w:rsidR="00855068">
        <w:t xml:space="preserve"> of 2001. </w:t>
      </w:r>
      <w:r w:rsidR="00BE0572">
        <w:t>It was widely argued that the multicultu</w:t>
      </w:r>
      <w:r w:rsidR="002C6279">
        <w:t>ral model entrenched difference</w:t>
      </w:r>
      <w:r w:rsidR="00BE0572">
        <w:t xml:space="preserve">, </w:t>
      </w:r>
      <w:r w:rsidR="00E03669">
        <w:t>promoted</w:t>
      </w:r>
      <w:r w:rsidR="00BE0572">
        <w:t xml:space="preserve"> </w:t>
      </w:r>
      <w:r w:rsidR="00EE29D9">
        <w:t>separateness</w:t>
      </w:r>
      <w:r w:rsidR="00BE0572">
        <w:t xml:space="preserve">, and acted as a barrier </w:t>
      </w:r>
      <w:r w:rsidR="00EE29D9">
        <w:t xml:space="preserve">to the development of commonalty amongst members of </w:t>
      </w:r>
      <w:r w:rsidR="00BE0572">
        <w:t xml:space="preserve">British society. </w:t>
      </w:r>
      <w:r w:rsidR="00F779E8">
        <w:t>It</w:t>
      </w:r>
      <w:r w:rsidR="00441E28">
        <w:t xml:space="preserve"> had allowed the development of ethnic enclaves that preserved and maintained foreign cultures that were incompatible with British culture, and distrust, disdain, and viole</w:t>
      </w:r>
      <w:r w:rsidR="00AB0962">
        <w:t xml:space="preserve">nce </w:t>
      </w:r>
      <w:r w:rsidR="00864193">
        <w:t>was</w:t>
      </w:r>
      <w:r w:rsidR="00AB0962">
        <w:t xml:space="preserve"> the inevitable result. </w:t>
      </w:r>
      <w:r w:rsidR="002C6279">
        <w:t>Multiculturalism</w:t>
      </w:r>
      <w:r w:rsidR="00AB0962">
        <w:t xml:space="preserve"> </w:t>
      </w:r>
      <w:r w:rsidR="002C6279">
        <w:t>had been a successful</w:t>
      </w:r>
      <w:r w:rsidR="00EE29D9">
        <w:t xml:space="preserve"> integration policy through </w:t>
      </w:r>
      <w:r w:rsidR="008135AD">
        <w:t>the end of the twentieth century</w:t>
      </w:r>
      <w:r w:rsidR="00EE29D9">
        <w:t>, culminating with what was regarded as the multicultural moment i</w:t>
      </w:r>
      <w:r w:rsidR="008135AD">
        <w:t>n 2</w:t>
      </w:r>
      <w:r w:rsidR="002C6279">
        <w:t>000. But the race riots of 2001</w:t>
      </w:r>
      <w:r w:rsidR="008135AD">
        <w:t xml:space="preserve">was evidence that the model was no longer the ideal policy for addressing </w:t>
      </w:r>
      <w:r w:rsidR="00131CE4">
        <w:t>Britain’s</w:t>
      </w:r>
      <w:r w:rsidR="008135AD">
        <w:t xml:space="preserve"> twenty-first century social problems.</w:t>
      </w:r>
    </w:p>
    <w:p w:rsidR="00864193" w:rsidRDefault="00AB0962" w:rsidP="008135AD">
      <w:pPr>
        <w:spacing w:line="480" w:lineRule="auto"/>
        <w:ind w:firstLine="720"/>
      </w:pPr>
      <w:r>
        <w:t xml:space="preserve">I disagree with this assessment on a number of grounds. </w:t>
      </w:r>
      <w:r w:rsidR="008135AD">
        <w:t xml:space="preserve">British multiculturalism was developed as an integration process that sought to establish equal opportunity, accompanied by cultural diversity, in an atmosphere </w:t>
      </w:r>
      <w:r w:rsidR="00BB18CC">
        <w:t>of mutual tolerance. C</w:t>
      </w:r>
      <w:r w:rsidR="008135AD">
        <w:t xml:space="preserve">laims regarding the supposed success of the </w:t>
      </w:r>
      <w:r w:rsidR="00BB18CC">
        <w:t>model</w:t>
      </w:r>
      <w:r w:rsidR="008135AD">
        <w:t xml:space="preserve"> could only</w:t>
      </w:r>
      <w:r w:rsidR="002C6279">
        <w:t xml:space="preserve"> have been based on the policy’s</w:t>
      </w:r>
      <w:r w:rsidR="008135AD">
        <w:t xml:space="preserve"> ability to accommodate the Afro-Caribbean population, because </w:t>
      </w:r>
      <w:r w:rsidR="00E03669">
        <w:t>at the</w:t>
      </w:r>
      <w:r w:rsidR="008135AD">
        <w:t xml:space="preserve"> time that Home Secretary Jenkins outlined his multicultural vision </w:t>
      </w:r>
      <w:r w:rsidR="00E03669">
        <w:t>it was the</w:t>
      </w:r>
      <w:r w:rsidR="008135AD">
        <w:t xml:space="preserve"> black migrant minority that wa</w:t>
      </w:r>
      <w:r w:rsidR="00BB18CC">
        <w:t>s the most visibly marginalized</w:t>
      </w:r>
      <w:r w:rsidR="00EF6B78">
        <w:t xml:space="preserve"> and the focus of the integration debate</w:t>
      </w:r>
      <w:r w:rsidR="00BB18CC">
        <w:t xml:space="preserve">. </w:t>
      </w:r>
      <w:r w:rsidR="008135AD">
        <w:t xml:space="preserve">A study of the history of the Afro-Caribbean </w:t>
      </w:r>
      <w:r w:rsidR="00D37DAA">
        <w:t>population</w:t>
      </w:r>
      <w:r w:rsidR="00457D38">
        <w:t>’</w:t>
      </w:r>
      <w:r w:rsidR="00D37DAA">
        <w:t xml:space="preserve">s settlement in Britain demonstrates that at the time multiculturalism first emerged, in 1966, </w:t>
      </w:r>
      <w:r w:rsidR="002C6279">
        <w:t>the black minority</w:t>
      </w:r>
      <w:r w:rsidR="00D37DAA">
        <w:t xml:space="preserve"> population suffered from significant levels of discrimination, in addition to frequent occurrences of racial violence. </w:t>
      </w:r>
      <w:r w:rsidR="002C6279">
        <w:t xml:space="preserve">The rhetoric of anti-immigration </w:t>
      </w:r>
      <w:r w:rsidR="00BB18CC">
        <w:t>politicians</w:t>
      </w:r>
      <w:r w:rsidR="002C6279">
        <w:t xml:space="preserve"> like Enoch Powell echoed popular sentiments that were extremely fearful of further immigration</w:t>
      </w:r>
      <w:r w:rsidR="00457D38">
        <w:t xml:space="preserve"> and any subsequent impact migrants may have on the composition and character of British society.</w:t>
      </w:r>
      <w:r w:rsidR="00B7714A">
        <w:t xml:space="preserve"> I</w:t>
      </w:r>
      <w:r w:rsidR="00BB18CC">
        <w:t xml:space="preserve">ndicated </w:t>
      </w:r>
      <w:r w:rsidR="00B7714A">
        <w:t>by</w:t>
      </w:r>
      <w:r w:rsidR="00840195">
        <w:t xml:space="preserve"> p</w:t>
      </w:r>
      <w:r w:rsidR="00BB18CC">
        <w:t xml:space="preserve">opular support </w:t>
      </w:r>
      <w:r w:rsidR="00B7714A">
        <w:t>for</w:t>
      </w:r>
      <w:r w:rsidR="00BB18CC">
        <w:t xml:space="preserve"> </w:t>
      </w:r>
      <w:r w:rsidR="00840195">
        <w:t xml:space="preserve">increased immigration restrictions, </w:t>
      </w:r>
      <w:r w:rsidR="00B7714A">
        <w:t>as well as sporadic episodes of</w:t>
      </w:r>
      <w:r w:rsidR="00486443">
        <w:t xml:space="preserve"> </w:t>
      </w:r>
      <w:r w:rsidR="00B7714A">
        <w:t>indiscriminate violence</w:t>
      </w:r>
      <w:r w:rsidR="00BB18CC">
        <w:t>,</w:t>
      </w:r>
      <w:r w:rsidR="00840195">
        <w:t xml:space="preserve"> </w:t>
      </w:r>
      <w:r w:rsidR="00B7714A">
        <w:t xml:space="preserve">it was clear that </w:t>
      </w:r>
      <w:r w:rsidR="00840195">
        <w:t xml:space="preserve">the majority of Brits had no intention of embracing the new arrivals. The development of a distinct and resilient black minority identity that was fiercely and violently at odds with the British state through the 1970s suggests that </w:t>
      </w:r>
      <w:r w:rsidR="00B7714A">
        <w:t>the multicultural</w:t>
      </w:r>
      <w:r w:rsidR="00840195">
        <w:t xml:space="preserve"> vision of equal opportunity in an atmosphere of mutual tolerance was either never genuinely implemented or that it had failed from the start. </w:t>
      </w:r>
      <w:r w:rsidR="00673E01">
        <w:t>The Afro-</w:t>
      </w:r>
      <w:r w:rsidR="00131CE4">
        <w:t>Caribbean</w:t>
      </w:r>
      <w:r w:rsidR="00673E01">
        <w:t xml:space="preserve"> community would continue to be </w:t>
      </w:r>
      <w:r w:rsidR="00840195">
        <w:t>demonized</w:t>
      </w:r>
      <w:r w:rsidR="00673E01">
        <w:t xml:space="preserve"> and </w:t>
      </w:r>
      <w:r w:rsidR="00840195">
        <w:t>marginalized</w:t>
      </w:r>
      <w:r w:rsidR="00673E01">
        <w:t xml:space="preserve"> until the publication of the Scarman Report. </w:t>
      </w:r>
    </w:p>
    <w:p w:rsidR="008E1CAF" w:rsidRDefault="00840195" w:rsidP="008135AD">
      <w:pPr>
        <w:spacing w:line="480" w:lineRule="auto"/>
        <w:ind w:firstLine="720"/>
      </w:pPr>
      <w:r>
        <w:t xml:space="preserve">There were no visible signs of a British commitment to </w:t>
      </w:r>
      <w:r w:rsidR="00EF6B78">
        <w:t>multicultural vision</w:t>
      </w:r>
      <w:r>
        <w:t xml:space="preserve"> </w:t>
      </w:r>
      <w:r w:rsidR="00864193">
        <w:t xml:space="preserve">until the government </w:t>
      </w:r>
      <w:r w:rsidR="00B7714A">
        <w:t>began to</w:t>
      </w:r>
      <w:r w:rsidR="00864193">
        <w:t xml:space="preserve"> </w:t>
      </w:r>
      <w:r w:rsidR="00B7714A">
        <w:t>realize</w:t>
      </w:r>
      <w:r w:rsidR="00864193">
        <w:t xml:space="preserve"> the </w:t>
      </w:r>
      <w:r>
        <w:t xml:space="preserve">pervasiveness of prejudice and racism throughout British society and </w:t>
      </w:r>
      <w:r w:rsidR="00B7714A">
        <w:t>institutions</w:t>
      </w:r>
      <w:r>
        <w:t xml:space="preserve">. </w:t>
      </w:r>
      <w:r w:rsidR="00CC0293">
        <w:t>But even after the recognition that the government should better accommodate the needs of minorities it still took another eighteen years from the publication of the Scarman Report to the finalization o</w:t>
      </w:r>
      <w:r w:rsidR="00B7714A">
        <w:t>f the government’s supposedly groundbreaking investigation of institutional racism in the Stephen Lawrence Inquiry</w:t>
      </w:r>
      <w:r w:rsidR="00CC0293">
        <w:t>. Ten years after the Inquiry report statistics show that Afro-Carribbeans are still subject to discrimination, particularly from the police, which was the precise focus of the Stephen Lawrence Inquiry and one of the most important issues</w:t>
      </w:r>
      <w:r w:rsidR="00031E6B">
        <w:t xml:space="preserve"> it sought to tackle. I</w:t>
      </w:r>
      <w:r w:rsidR="00CC0293">
        <w:t xml:space="preserve">f multiculturalism is to be attributed with any successes, it </w:t>
      </w:r>
      <w:r w:rsidR="00031E6B">
        <w:t>can only</w:t>
      </w:r>
      <w:r w:rsidR="00CC0293">
        <w:t xml:space="preserve"> be </w:t>
      </w:r>
      <w:r w:rsidR="00EF6B78">
        <w:t>the</w:t>
      </w:r>
      <w:r w:rsidR="00CC0293">
        <w:t xml:space="preserve"> gradual recognition of the very pervasive issue of racial discrimination, which it </w:t>
      </w:r>
      <w:r w:rsidR="00031E6B">
        <w:t>apparently did little to nothing to</w:t>
      </w:r>
      <w:r w:rsidR="00CC0293">
        <w:t xml:space="preserve"> </w:t>
      </w:r>
      <w:r w:rsidR="0076507E">
        <w:t xml:space="preserve">rectify. </w:t>
      </w:r>
      <w:r w:rsidR="00CC0293">
        <w:t xml:space="preserve"> </w:t>
      </w:r>
      <w:r w:rsidR="008E1CAF">
        <w:t xml:space="preserve">Therefore, a view of multiculturalism as a </w:t>
      </w:r>
      <w:r w:rsidR="00031E6B">
        <w:t>relative</w:t>
      </w:r>
      <w:r w:rsidR="008E1CAF">
        <w:t xml:space="preserve"> success, followed by a rapid and precipitous </w:t>
      </w:r>
      <w:r w:rsidR="00031E6B">
        <w:t>downfall, is clearly misguided. Such a realization lends</w:t>
      </w:r>
      <w:r w:rsidR="008E1CAF">
        <w:t xml:space="preserve"> partial clarification </w:t>
      </w:r>
      <w:r w:rsidR="00031E6B">
        <w:t>to</w:t>
      </w:r>
      <w:r w:rsidR="008E1CAF">
        <w:t xml:space="preserve"> what appeared to be a rather abrupt failure of policy. So</w:t>
      </w:r>
      <w:r w:rsidR="00B145E4">
        <w:t>,</w:t>
      </w:r>
      <w:r w:rsidR="008E1CAF">
        <w:t xml:space="preserve"> </w:t>
      </w:r>
      <w:r w:rsidR="00D605A3">
        <w:t xml:space="preserve">multiculturalism failed as an integration policy </w:t>
      </w:r>
      <w:r w:rsidR="001602F7">
        <w:t xml:space="preserve">well before 2001 </w:t>
      </w:r>
      <w:r w:rsidR="00D605A3">
        <w:t xml:space="preserve">because it was never genuinely established in its ideal form of equal opportunity in </w:t>
      </w:r>
      <w:r w:rsidR="00D825E6">
        <w:t xml:space="preserve">an atmosphere of mutual tolerance. </w:t>
      </w:r>
      <w:r w:rsidR="00CB7115">
        <w:t xml:space="preserve">The British state maintained </w:t>
      </w:r>
      <w:r w:rsidR="00EF6B78">
        <w:t>an</w:t>
      </w:r>
      <w:r w:rsidR="00CB7115">
        <w:t xml:space="preserve"> ideology of multiculturalism by espousing rhetoric that encouraged the maintenance of distinct identities and the celebration </w:t>
      </w:r>
      <w:r w:rsidR="006B62A1">
        <w:t>of diversity, but the deep-seated cleavages</w:t>
      </w:r>
      <w:r w:rsidR="00CB7115">
        <w:t xml:space="preserve"> in society did not develop as a result of multicultural policy. The societal ills are intimately linked to the attitudes and sentiments of the white majority.</w:t>
      </w:r>
    </w:p>
    <w:p w:rsidR="00D85A42" w:rsidRDefault="00D77AB5" w:rsidP="00DD4C2D">
      <w:pPr>
        <w:spacing w:line="480" w:lineRule="auto"/>
      </w:pPr>
      <w:r>
        <w:tab/>
        <w:t xml:space="preserve">The development of a black minority identity </w:t>
      </w:r>
      <w:r w:rsidR="009D258A">
        <w:t>occurred</w:t>
      </w:r>
      <w:r>
        <w:t xml:space="preserve"> in the late 1960s and approximately twenty years late</w:t>
      </w:r>
      <w:r w:rsidR="009D258A">
        <w:t xml:space="preserve">r a </w:t>
      </w:r>
      <w:r w:rsidR="006B62A1">
        <w:t>distinct</w:t>
      </w:r>
      <w:r w:rsidR="009D258A">
        <w:t xml:space="preserve"> Muslim identity </w:t>
      </w:r>
      <w:r>
        <w:t>emerged. The development of the two identities followed a very similar trajectory that lends parti</w:t>
      </w:r>
      <w:r w:rsidR="009D258A">
        <w:t xml:space="preserve">cular insight into the present social issues. These minority identities both formed out of defensive imperatives. The black minority had been subjected to discrimination and abuse, but it did not abandon British mainstream society until the indiscriminate racial attacks of the Notting Hill riots in 1958. Discriminatory practices not only dictated where the black minority could live, but also restricted employment opportunities that ensured they would remain at the bottom of the socio-economic ladder, denying them upward mobilization and any possibility of moving out of what were developing into ethnic enclaves. </w:t>
      </w:r>
      <w:r w:rsidR="00CB499E">
        <w:t xml:space="preserve">The black minority became a separate and distinct community as a result of the actions and sentiments of the white majority. </w:t>
      </w:r>
      <w:r w:rsidR="006B62A1">
        <w:t xml:space="preserve">In line with this understanding, </w:t>
      </w:r>
      <w:r w:rsidR="00B1684B">
        <w:t>Muslims</w:t>
      </w:r>
      <w:r w:rsidR="006B62A1">
        <w:t xml:space="preserve"> </w:t>
      </w:r>
      <w:r w:rsidR="00B1684B">
        <w:t>were conscious of their socioeconomic deprivation and marginalized positio</w:t>
      </w:r>
      <w:r w:rsidR="006B62A1">
        <w:t>n well before they emerged as a distinct group.</w:t>
      </w:r>
      <w:r w:rsidR="00B1684B">
        <w:t xml:space="preserve"> </w:t>
      </w:r>
      <w:r w:rsidR="00680588">
        <w:t xml:space="preserve">It was not until the Rushdie affair that Muslims gained a specific group consciousness that recognized a need to defend their religion against what Muslims </w:t>
      </w:r>
      <w:r w:rsidR="00D85A42">
        <w:t xml:space="preserve">viewed as western society’s defamation of their prophet. Muslims felt a need to defend their beliefs in what appeared to them to be a hostile environment. </w:t>
      </w:r>
      <w:r w:rsidR="00B145E4">
        <w:t xml:space="preserve">Furthermore, the second- and third-generation </w:t>
      </w:r>
      <w:r w:rsidR="006B62A1">
        <w:t xml:space="preserve">Muslims that </w:t>
      </w:r>
      <w:r w:rsidR="00A9637F">
        <w:t>ca</w:t>
      </w:r>
      <w:r w:rsidR="006B62A1">
        <w:t xml:space="preserve">me </w:t>
      </w:r>
      <w:r w:rsidR="00A9637F">
        <w:t>of</w:t>
      </w:r>
      <w:r w:rsidR="006B62A1">
        <w:t xml:space="preserve"> age in the past two decades</w:t>
      </w:r>
      <w:r w:rsidR="00B145E4">
        <w:t xml:space="preserve"> have demonstrated an appreciation and an affinity for British culture. The</w:t>
      </w:r>
      <w:r w:rsidR="006B62A1">
        <w:t>y</w:t>
      </w:r>
      <w:r w:rsidR="00B145E4">
        <w:t xml:space="preserve"> </w:t>
      </w:r>
      <w:r w:rsidR="006B62A1">
        <w:t xml:space="preserve">have clearly adapted to many aspects of mainstream culture and </w:t>
      </w:r>
      <w:r w:rsidR="00B145E4">
        <w:t>wish to be accepted members of British society but they still feel very strongly that the majority of Brits cannot come to terms with their affiliation with Islam.</w:t>
      </w:r>
      <w:r w:rsidR="006B62A1">
        <w:t xml:space="preserve"> It is this rejection by the majority of society that results in their need to form separate and distinct community identities</w:t>
      </w:r>
      <w:r w:rsidR="00464E67">
        <w:t xml:space="preserve"> as means of group preservation. </w:t>
      </w:r>
      <w:r w:rsidR="00D85A42">
        <w:t xml:space="preserve">In these two </w:t>
      </w:r>
      <w:r w:rsidR="00A9637F">
        <w:t>cases</w:t>
      </w:r>
      <w:r w:rsidR="00D85A42">
        <w:t xml:space="preserve"> regarding the development of minority identities it appears that both blacks and Muslims were reacting</w:t>
      </w:r>
      <w:r w:rsidR="00A9637F">
        <w:t xml:space="preserve"> to</w:t>
      </w:r>
      <w:r w:rsidR="00D85A42">
        <w:t xml:space="preserve"> and defending against the beliefs and sentiments of the white majorit</w:t>
      </w:r>
      <w:r w:rsidR="00A9637F">
        <w:t xml:space="preserve">y, rather than </w:t>
      </w:r>
      <w:r w:rsidR="00D85A42">
        <w:t>a multicultural ideology that encouraged them to remain separate and different.</w:t>
      </w:r>
    </w:p>
    <w:p w:rsidR="00963DB2" w:rsidRDefault="00E263F4" w:rsidP="00B4300B">
      <w:pPr>
        <w:spacing w:line="480" w:lineRule="auto"/>
        <w:ind w:firstLine="720"/>
      </w:pPr>
      <w:r>
        <w:t xml:space="preserve">In my opinion, the multicultural vision espoused by Jenkins was never </w:t>
      </w:r>
      <w:r w:rsidR="004E2F7C">
        <w:t>genuinely</w:t>
      </w:r>
      <w:r>
        <w:t xml:space="preserve"> or appropriately pursued and thereby was never really established. However, </w:t>
      </w:r>
      <w:r w:rsidR="004E2F7C">
        <w:t xml:space="preserve">I do believe that the British state pursued what I </w:t>
      </w:r>
      <w:r w:rsidR="00464E67">
        <w:t>regard as</w:t>
      </w:r>
      <w:r w:rsidR="004E2F7C">
        <w:t xml:space="preserve"> an ideology of difference that may have </w:t>
      </w:r>
      <w:r w:rsidR="00464E67">
        <w:t xml:space="preserve">unintentionally </w:t>
      </w:r>
      <w:r>
        <w:t xml:space="preserve">amplified </w:t>
      </w:r>
      <w:r w:rsidR="00464E67">
        <w:t xml:space="preserve">the </w:t>
      </w:r>
      <w:r>
        <w:t>social issues</w:t>
      </w:r>
      <w:r w:rsidR="004E2F7C">
        <w:t>.</w:t>
      </w:r>
      <w:r>
        <w:t xml:space="preserve"> </w:t>
      </w:r>
      <w:r w:rsidR="004E2F7C">
        <w:t>Through</w:t>
      </w:r>
      <w:r w:rsidR="00B16771">
        <w:t xml:space="preserve"> official endorsement of anti-discrimination and affirmative action legislation</w:t>
      </w:r>
      <w:r>
        <w:t>,</w:t>
      </w:r>
      <w:r w:rsidR="004E2F7C">
        <w:t xml:space="preserve"> in conjunction with rhetoric that celebrated cultural diversity, the government</w:t>
      </w:r>
      <w:r w:rsidR="00B16771">
        <w:t xml:space="preserve"> further differentiated and, in the eyes of working class whites, priv</w:t>
      </w:r>
      <w:r w:rsidR="004E2F7C">
        <w:t xml:space="preserve">ileged the minority population. </w:t>
      </w:r>
      <w:r w:rsidR="00A277DF">
        <w:t>That is not to suggest that these minority communities were or are in any way privileged, because they are not</w:t>
      </w:r>
      <w:r w:rsidR="00B16771">
        <w:t>.</w:t>
      </w:r>
      <w:r w:rsidR="00A277DF">
        <w:t xml:space="preserve"> But, even in the post-Scarman and post-Lawrence report eras in which the British government recognized a need to evaluate its own flaws, little a</w:t>
      </w:r>
      <w:r w:rsidR="00464E67">
        <w:t>ttention was paid to the white majority’s</w:t>
      </w:r>
      <w:r w:rsidR="00A277DF">
        <w:t xml:space="preserve"> feelings and attitudes towards immigrants. The present trend in British integration policy towards a community cohesion model seems </w:t>
      </w:r>
      <w:r w:rsidR="00464E67">
        <w:t>to be</w:t>
      </w:r>
      <w:r w:rsidR="00A277DF">
        <w:t xml:space="preserve"> on the right track </w:t>
      </w:r>
      <w:r w:rsidR="00464E67">
        <w:t>by</w:t>
      </w:r>
      <w:r w:rsidR="00A277DF">
        <w:t xml:space="preserve"> addressing society’s problems with all members of society, rather than just focusing on those wh</w:t>
      </w:r>
      <w:r w:rsidR="00B145E4">
        <w:t xml:space="preserve">o </w:t>
      </w:r>
      <w:r w:rsidR="00464E67">
        <w:t>are</w:t>
      </w:r>
      <w:r w:rsidR="00B145E4">
        <w:t xml:space="preserve"> the most disaffected</w:t>
      </w:r>
      <w:r w:rsidR="00464E67">
        <w:t xml:space="preserve"> and marginalized</w:t>
      </w:r>
      <w:r w:rsidR="00B145E4">
        <w:t xml:space="preserve">. </w:t>
      </w:r>
      <w:r w:rsidR="00B16771">
        <w:t>The fears, anxieties, and prejudices of the British majority that first confronted the Afro-Caribbean population ar</w:t>
      </w:r>
      <w:r w:rsidR="00DB78C7">
        <w:t xml:space="preserve">e </w:t>
      </w:r>
      <w:r w:rsidR="00B16771">
        <w:t xml:space="preserve">alive and present in the </w:t>
      </w:r>
      <w:r w:rsidR="00464E67">
        <w:t xml:space="preserve">contemporary </w:t>
      </w:r>
      <w:r w:rsidR="00B16771">
        <w:t xml:space="preserve">debate concerning </w:t>
      </w:r>
      <w:r w:rsidR="00B145E4">
        <w:t xml:space="preserve">the </w:t>
      </w:r>
      <w:r w:rsidR="00B16771">
        <w:t xml:space="preserve">Muslim minority </w:t>
      </w:r>
      <w:r w:rsidR="00464E67">
        <w:t>and future immigration</w:t>
      </w:r>
      <w:r w:rsidR="00A277DF">
        <w:t xml:space="preserve">, and efforts to bridge </w:t>
      </w:r>
      <w:r w:rsidR="00464E67">
        <w:t xml:space="preserve">gaps between communities by fostering </w:t>
      </w:r>
      <w:r w:rsidR="00A277DF">
        <w:t>genuine interaction</w:t>
      </w:r>
      <w:r w:rsidR="00464E67">
        <w:t xml:space="preserve"> and familiarity</w:t>
      </w:r>
      <w:r w:rsidR="00A277DF">
        <w:t xml:space="preserve"> is the first step on the path to social harmony. </w:t>
      </w:r>
      <w:r w:rsidR="00B16771">
        <w:t xml:space="preserve"> </w:t>
      </w:r>
    </w:p>
    <w:p w:rsidR="00963DB2" w:rsidRDefault="00963DB2" w:rsidP="00B4300B">
      <w:pPr>
        <w:spacing w:line="480" w:lineRule="auto"/>
        <w:ind w:firstLine="720"/>
      </w:pPr>
    </w:p>
    <w:p w:rsidR="00963DB2" w:rsidRDefault="00963DB2" w:rsidP="00B4300B">
      <w:pPr>
        <w:spacing w:line="480" w:lineRule="auto"/>
        <w:ind w:firstLine="720"/>
      </w:pPr>
    </w:p>
    <w:p w:rsidR="00963DB2" w:rsidRDefault="00963DB2" w:rsidP="00B4300B">
      <w:pPr>
        <w:spacing w:line="480" w:lineRule="auto"/>
        <w:ind w:firstLine="720"/>
      </w:pPr>
    </w:p>
    <w:p w:rsidR="00963DB2" w:rsidRDefault="00963DB2" w:rsidP="00B4300B">
      <w:pPr>
        <w:spacing w:line="480" w:lineRule="auto"/>
        <w:ind w:firstLine="720"/>
      </w:pPr>
    </w:p>
    <w:p w:rsidR="00963DB2" w:rsidRDefault="00963DB2" w:rsidP="00B4300B">
      <w:pPr>
        <w:spacing w:line="480" w:lineRule="auto"/>
        <w:ind w:firstLine="720"/>
      </w:pPr>
    </w:p>
    <w:p w:rsidR="00963DB2" w:rsidRDefault="00963DB2" w:rsidP="00B4300B">
      <w:pPr>
        <w:spacing w:line="480" w:lineRule="auto"/>
        <w:ind w:firstLine="720"/>
      </w:pPr>
    </w:p>
    <w:p w:rsidR="00963DB2" w:rsidRDefault="00963DB2" w:rsidP="00B4300B">
      <w:pPr>
        <w:spacing w:line="480" w:lineRule="auto"/>
        <w:ind w:firstLine="720"/>
      </w:pPr>
    </w:p>
    <w:p w:rsidR="00131CE4" w:rsidRDefault="00131CE4" w:rsidP="00963DB2">
      <w:pPr>
        <w:spacing w:line="480" w:lineRule="auto"/>
      </w:pPr>
    </w:p>
    <w:p w:rsidR="00F31ED7" w:rsidRDefault="00963DB2" w:rsidP="00963DB2">
      <w:pPr>
        <w:spacing w:line="480" w:lineRule="auto"/>
        <w:rPr>
          <w:b/>
          <w:u w:val="single"/>
        </w:rPr>
      </w:pPr>
      <w:r>
        <w:rPr>
          <w:b/>
          <w:u w:val="single"/>
        </w:rPr>
        <w:t>Works Cited</w:t>
      </w:r>
    </w:p>
    <w:p w:rsidR="00F31ED7" w:rsidRPr="0044265B" w:rsidRDefault="00F31ED7" w:rsidP="00F31ED7">
      <w:pPr>
        <w:ind w:left="360" w:hanging="360"/>
      </w:pPr>
      <w:r w:rsidRPr="0044265B">
        <w:t xml:space="preserve">Benetto, Jason. “Police and Racism: What has been achieved ten years after the Stephen Lawrence Inquiry report.” </w:t>
      </w:r>
      <w:r w:rsidRPr="0044265B">
        <w:rPr>
          <w:i/>
        </w:rPr>
        <w:t>Equality and Human Rights Commission</w:t>
      </w:r>
      <w:r w:rsidRPr="0044265B">
        <w:t xml:space="preserve"> (2009).</w:t>
      </w:r>
    </w:p>
    <w:p w:rsidR="00F31ED7" w:rsidRDefault="00F31ED7" w:rsidP="00F31ED7"/>
    <w:p w:rsidR="00F31ED7" w:rsidRPr="00BB091E" w:rsidRDefault="00F31ED7" w:rsidP="00F31ED7">
      <w:pPr>
        <w:ind w:left="360" w:hanging="360"/>
      </w:pPr>
      <w:r w:rsidRPr="00BB091E">
        <w:t xml:space="preserve">Caldwell, Christopher. </w:t>
      </w:r>
      <w:r w:rsidRPr="00BB091E">
        <w:rPr>
          <w:i/>
        </w:rPr>
        <w:t>Reflections on the Revolution in Europe: Immigration, Islam, and the West</w:t>
      </w:r>
      <w:r w:rsidRPr="00BB091E">
        <w:t>. New York: Doubleday, 2009.</w:t>
      </w:r>
    </w:p>
    <w:p w:rsidR="00F31ED7" w:rsidRDefault="00F31ED7" w:rsidP="00F31ED7"/>
    <w:p w:rsidR="00F31ED7" w:rsidRDefault="00F31ED7" w:rsidP="00F31ED7">
      <w:pPr>
        <w:ind w:left="360" w:hanging="360"/>
      </w:pPr>
      <w:r w:rsidRPr="00BB091E">
        <w:t xml:space="preserve">Cantle, Ted. </w:t>
      </w:r>
      <w:r w:rsidRPr="00BB091E">
        <w:rPr>
          <w:i/>
        </w:rPr>
        <w:t xml:space="preserve">Community Cohesion: A new framework for race and diversity. </w:t>
      </w:r>
      <w:r w:rsidRPr="00BB091E">
        <w:t>New York: Palgrave Macmillian, 2005.</w:t>
      </w:r>
    </w:p>
    <w:p w:rsidR="00F31ED7" w:rsidRDefault="00F31ED7" w:rsidP="00F31ED7"/>
    <w:p w:rsidR="00F31ED7" w:rsidRPr="0044265B" w:rsidRDefault="00F31ED7" w:rsidP="00F31ED7">
      <w:pPr>
        <w:ind w:left="360" w:hanging="360"/>
      </w:pPr>
      <w:r>
        <w:t>Cantle, Ted.</w:t>
      </w:r>
      <w:r w:rsidRPr="0044265B">
        <w:t xml:space="preserve"> “Review of community </w:t>
      </w:r>
      <w:r>
        <w:t>cohesion in Oldham final report.</w:t>
      </w:r>
      <w:r w:rsidRPr="0044265B">
        <w:t xml:space="preserve">” </w:t>
      </w:r>
      <w:r w:rsidRPr="0044265B">
        <w:rPr>
          <w:i/>
        </w:rPr>
        <w:t>Institute of Community Cohesion</w:t>
      </w:r>
      <w:r>
        <w:t xml:space="preserve"> (2006).</w:t>
      </w:r>
    </w:p>
    <w:p w:rsidR="00F31ED7" w:rsidRDefault="00F31ED7" w:rsidP="00F31ED7"/>
    <w:p w:rsidR="00F31ED7" w:rsidRPr="00BB091E" w:rsidRDefault="00F31ED7" w:rsidP="00F31ED7">
      <w:r w:rsidRPr="00BB091E">
        <w:t xml:space="preserve">Cargill, Morris. </w:t>
      </w:r>
      <w:r w:rsidRPr="00BB091E">
        <w:rPr>
          <w:i/>
        </w:rPr>
        <w:t>Jamaica Farewell</w:t>
      </w:r>
      <w:r w:rsidRPr="00BB091E">
        <w:t>. London: Barricade, 1978.</w:t>
      </w:r>
    </w:p>
    <w:p w:rsidR="00F31ED7" w:rsidRDefault="00F31ED7" w:rsidP="00F31ED7"/>
    <w:p w:rsidR="00F31ED7" w:rsidRPr="00BB091E" w:rsidRDefault="00F31ED7" w:rsidP="00F31ED7">
      <w:r w:rsidRPr="00BB091E">
        <w:t xml:space="preserve">Cesari, Jocelyne. </w:t>
      </w:r>
      <w:r w:rsidRPr="00BB091E">
        <w:rPr>
          <w:i/>
        </w:rPr>
        <w:t>When Islam and Democracy Meet</w:t>
      </w:r>
      <w:r w:rsidRPr="00BB091E">
        <w:t xml:space="preserve">: </w:t>
      </w:r>
      <w:r w:rsidRPr="00BB091E">
        <w:rPr>
          <w:i/>
        </w:rPr>
        <w:t>Muslims in Europe and the United States</w:t>
      </w:r>
      <w:r w:rsidRPr="00BB091E">
        <w:t>. New York: Palgrave Macmillian, 2004.</w:t>
      </w:r>
    </w:p>
    <w:p w:rsidR="00F31ED7" w:rsidRDefault="00F31ED7" w:rsidP="00F31ED7">
      <w:pPr>
        <w:pStyle w:val="FootnoteText"/>
      </w:pPr>
    </w:p>
    <w:p w:rsidR="00F31ED7" w:rsidRDefault="00F31ED7" w:rsidP="00F31ED7">
      <w:pPr>
        <w:pStyle w:val="FootnoteText"/>
        <w:ind w:left="360" w:hanging="360"/>
      </w:pPr>
      <w:r w:rsidRPr="00BB091E">
        <w:t>Collins, Marcus. “Pride and Prejudice: West Indian Men in Mid-Century Britain</w:t>
      </w:r>
      <w:r w:rsidRPr="00BB091E">
        <w:rPr>
          <w:i/>
        </w:rPr>
        <w:t>,</w:t>
      </w:r>
      <w:r w:rsidRPr="00BB091E">
        <w:t xml:space="preserve">” </w:t>
      </w:r>
      <w:r w:rsidRPr="00BB091E">
        <w:rPr>
          <w:i/>
        </w:rPr>
        <w:t>The Journal of British Studies</w:t>
      </w:r>
      <w:r>
        <w:t xml:space="preserve"> 40 (2001): 1 – 35.</w:t>
      </w:r>
    </w:p>
    <w:p w:rsidR="00F31ED7" w:rsidRPr="00BB091E" w:rsidRDefault="00F31ED7" w:rsidP="00F31ED7"/>
    <w:p w:rsidR="00F31ED7" w:rsidRPr="00BB091E" w:rsidRDefault="00F31ED7" w:rsidP="00F31ED7">
      <w:pPr>
        <w:tabs>
          <w:tab w:val="left" w:pos="360"/>
        </w:tabs>
        <w:ind w:left="360" w:hanging="360"/>
      </w:pPr>
      <w:r w:rsidRPr="00BB091E">
        <w:t xml:space="preserve">Franz, Barbara. “Europe’s Muslim Youth: An inquiry into the Politics of discrimination, Relative Deprivation, and Identity Formation.” </w:t>
      </w:r>
      <w:r w:rsidRPr="00BB091E">
        <w:rPr>
          <w:i/>
        </w:rPr>
        <w:t>Mediterranean Quarterly</w:t>
      </w:r>
      <w:r>
        <w:t xml:space="preserve"> 18 (2007): 89-112.</w:t>
      </w:r>
    </w:p>
    <w:p w:rsidR="00F31ED7" w:rsidRDefault="00F31ED7" w:rsidP="00F31ED7"/>
    <w:p w:rsidR="00F31ED7" w:rsidRDefault="00F31ED7" w:rsidP="00F31ED7">
      <w:pPr>
        <w:ind w:left="360" w:hanging="360"/>
      </w:pPr>
      <w:r w:rsidRPr="00BB091E">
        <w:t xml:space="preserve">Fyvel, T.R. </w:t>
      </w:r>
      <w:r w:rsidRPr="00BB091E">
        <w:rPr>
          <w:i/>
        </w:rPr>
        <w:t>Troublemakers; rebellious youth in an affluent society</w:t>
      </w:r>
      <w:r w:rsidRPr="00BB091E">
        <w:t>. New York: Schocken Books, 1962.</w:t>
      </w:r>
    </w:p>
    <w:p w:rsidR="00F31ED7" w:rsidRDefault="00F31ED7" w:rsidP="00F31ED7"/>
    <w:p w:rsidR="00F31ED7" w:rsidRPr="00BB091E" w:rsidRDefault="00F31ED7" w:rsidP="00F31ED7">
      <w:pPr>
        <w:ind w:left="360" w:hanging="360"/>
      </w:pPr>
      <w:r w:rsidRPr="00BB091E">
        <w:t xml:space="preserve">Gilroy, Paul. </w:t>
      </w:r>
      <w:r w:rsidRPr="00BB091E">
        <w:rPr>
          <w:i/>
        </w:rPr>
        <w:t>‘There ain’t no black in the Union Jack’: the Cultural Politics of Race and Nation</w:t>
      </w:r>
      <w:r w:rsidRPr="00BB091E">
        <w:t>. Chicago: University of Chicago Press, 1991.</w:t>
      </w:r>
    </w:p>
    <w:p w:rsidR="00F31ED7" w:rsidRPr="00BB091E" w:rsidRDefault="00F31ED7" w:rsidP="00F31ED7"/>
    <w:p w:rsidR="00F31ED7" w:rsidRPr="0044265B" w:rsidRDefault="00F31ED7" w:rsidP="00F31ED7">
      <w:pPr>
        <w:ind w:left="360" w:hanging="360"/>
      </w:pPr>
      <w:r w:rsidRPr="0044265B">
        <w:t xml:space="preserve">Hussain, Asifa. </w:t>
      </w:r>
      <w:r w:rsidRPr="0044265B">
        <w:rPr>
          <w:i/>
        </w:rPr>
        <w:t>Multicultural Nationalism: Islamaphobia, Anglophobia, and Devolution</w:t>
      </w:r>
      <w:r w:rsidRPr="0044265B">
        <w:t>. Oxford: Oxford University Press, 2006.</w:t>
      </w:r>
    </w:p>
    <w:p w:rsidR="00F31ED7" w:rsidRDefault="00F31ED7" w:rsidP="00F31ED7"/>
    <w:p w:rsidR="00F31ED7" w:rsidRDefault="00F31ED7" w:rsidP="00F31ED7">
      <w:r w:rsidRPr="00BB091E">
        <w:t xml:space="preserve">Kay, James. “UK Needs a Cultural Shift.” </w:t>
      </w:r>
      <w:r w:rsidRPr="00BB091E">
        <w:rPr>
          <w:i/>
        </w:rPr>
        <w:t>Evening Post</w:t>
      </w:r>
      <w:r w:rsidRPr="00BB091E">
        <w:t>, April 21, 2006.</w:t>
      </w:r>
    </w:p>
    <w:p w:rsidR="00F31ED7" w:rsidRDefault="00F31ED7" w:rsidP="00F31ED7"/>
    <w:p w:rsidR="00F31ED7" w:rsidRPr="00BB091E" w:rsidRDefault="00F31ED7" w:rsidP="00F31ED7">
      <w:pPr>
        <w:pStyle w:val="FootnoteText"/>
        <w:ind w:left="360" w:hanging="360"/>
      </w:pPr>
      <w:r w:rsidRPr="00BB091E">
        <w:t xml:space="preserve">Khan, Omar. “Perpetrators of Racist Violence and Harassment.” </w:t>
      </w:r>
      <w:r w:rsidRPr="00BB091E">
        <w:rPr>
          <w:i/>
        </w:rPr>
        <w:t>The Runnymede Trust</w:t>
      </w:r>
      <w:r>
        <w:t xml:space="preserve"> (2002).</w:t>
      </w:r>
    </w:p>
    <w:p w:rsidR="00F31ED7" w:rsidRDefault="00F31ED7" w:rsidP="00F31ED7"/>
    <w:p w:rsidR="00F31ED7" w:rsidRPr="00E64AD4" w:rsidRDefault="00F31ED7" w:rsidP="00F31ED7">
      <w:pPr>
        <w:ind w:left="360" w:hanging="360"/>
      </w:pPr>
      <w:r w:rsidRPr="00E64AD4">
        <w:t xml:space="preserve">Lewis, Bernard. “The Roots of Muslim Rage: Why so many Muslims deeply resent the West, and why their bitterness will not be easily mollified.” </w:t>
      </w:r>
      <w:r w:rsidRPr="00E64AD4">
        <w:rPr>
          <w:i/>
        </w:rPr>
        <w:t>The Atlantic Monthly</w:t>
      </w:r>
      <w:r w:rsidRPr="00E64AD4">
        <w:t>, 266(1990).</w:t>
      </w:r>
    </w:p>
    <w:p w:rsidR="00F31ED7" w:rsidRDefault="00F31ED7" w:rsidP="00F31ED7"/>
    <w:p w:rsidR="00F31ED7" w:rsidRDefault="00F31ED7" w:rsidP="00F31ED7">
      <w:pPr>
        <w:ind w:left="360" w:hanging="360"/>
      </w:pPr>
      <w:r w:rsidRPr="00BB091E">
        <w:t xml:space="preserve">MacArthur, Brian ed. </w:t>
      </w:r>
      <w:r w:rsidRPr="00BB091E">
        <w:rPr>
          <w:i/>
        </w:rPr>
        <w:t>The Penguin Book of Twentieth Century Speeches</w:t>
      </w:r>
      <w:r w:rsidRPr="00BB091E">
        <w:t>, New York: Penguin, 1999.</w:t>
      </w:r>
    </w:p>
    <w:p w:rsidR="00F31ED7" w:rsidRDefault="00F31ED7" w:rsidP="00F31ED7"/>
    <w:p w:rsidR="00F31ED7" w:rsidRPr="00E64AD4" w:rsidRDefault="00F31ED7" w:rsidP="00F31ED7">
      <w:pPr>
        <w:ind w:left="360" w:hanging="360"/>
      </w:pPr>
      <w:r w:rsidRPr="00E64AD4">
        <w:t xml:space="preserve">Meer, Nasser, and Tariq Modood. “The Multicultural State We’re In: Muslims, ‘Multiculture’ and the ‘Civic Re-balancing’ of British multiculturalism.” </w:t>
      </w:r>
      <w:r w:rsidRPr="00E64AD4">
        <w:rPr>
          <w:i/>
        </w:rPr>
        <w:t>Political Studies</w:t>
      </w:r>
      <w:r w:rsidRPr="00E64AD4">
        <w:t xml:space="preserve"> 57 (2009).</w:t>
      </w:r>
    </w:p>
    <w:p w:rsidR="00F31ED7" w:rsidRPr="00BB091E" w:rsidRDefault="00F31ED7" w:rsidP="00F31ED7"/>
    <w:p w:rsidR="00F31ED7" w:rsidRDefault="00F31ED7" w:rsidP="00F31ED7">
      <w:pPr>
        <w:pStyle w:val="FootnoteText"/>
      </w:pPr>
    </w:p>
    <w:p w:rsidR="00F31ED7" w:rsidRPr="00BB091E" w:rsidRDefault="00F31ED7" w:rsidP="00F31ED7">
      <w:pPr>
        <w:pStyle w:val="FootnoteText"/>
        <w:ind w:left="360" w:hanging="360"/>
      </w:pPr>
      <w:r w:rsidRPr="00BB091E">
        <w:t xml:space="preserve">Modood, Tariq, Anna Triandafyllidou, and Ricard Zapata-Barrero. </w:t>
      </w:r>
      <w:r w:rsidRPr="00BB091E">
        <w:rPr>
          <w:i/>
        </w:rPr>
        <w:t>Multiculturalism, Muslims and Citizenship: A European Approach</w:t>
      </w:r>
      <w:r w:rsidRPr="00BB091E">
        <w:t>. New York: Routledge, 2006.</w:t>
      </w:r>
    </w:p>
    <w:p w:rsidR="00F31ED7" w:rsidRDefault="00F31ED7" w:rsidP="00F31ED7"/>
    <w:p w:rsidR="00F31ED7" w:rsidRDefault="00F31ED7" w:rsidP="00F31ED7">
      <w:pPr>
        <w:ind w:left="360" w:hanging="360"/>
      </w:pPr>
      <w:r w:rsidRPr="00BB091E">
        <w:t xml:space="preserve">Modood, Sharon Beishon, and Satnam Virdee. </w:t>
      </w:r>
      <w:r w:rsidRPr="00BB091E">
        <w:rPr>
          <w:i/>
        </w:rPr>
        <w:t>Changing Ethnic Identities</w:t>
      </w:r>
      <w:r w:rsidRPr="00BB091E">
        <w:t>. London: Policy Studies Institute, 1994.</w:t>
      </w:r>
    </w:p>
    <w:p w:rsidR="00F31ED7" w:rsidRDefault="00F31ED7" w:rsidP="00F31ED7"/>
    <w:p w:rsidR="00F31ED7" w:rsidRPr="00BB091E" w:rsidRDefault="00F31ED7" w:rsidP="00F31ED7">
      <w:pPr>
        <w:ind w:left="360" w:hanging="360"/>
      </w:pPr>
      <w:r w:rsidRPr="00BB091E">
        <w:t xml:space="preserve">Nielsen, Jorgen S. </w:t>
      </w:r>
      <w:r w:rsidRPr="00BB091E">
        <w:rPr>
          <w:i/>
        </w:rPr>
        <w:t xml:space="preserve">Muslims in Western Europe. </w:t>
      </w:r>
      <w:r w:rsidRPr="00BB091E">
        <w:t>Edinburgh: Edinburgh University Press, 2004.</w:t>
      </w:r>
    </w:p>
    <w:p w:rsidR="00F31ED7" w:rsidRDefault="00F31ED7" w:rsidP="00F31ED7"/>
    <w:p w:rsidR="00F31ED7" w:rsidRDefault="00F31ED7" w:rsidP="00F31ED7">
      <w:r w:rsidRPr="00BB091E">
        <w:t xml:space="preserve">Parekh, Ikhu. “The Future of Multiethnic Britain.” </w:t>
      </w:r>
      <w:r w:rsidRPr="00BB091E">
        <w:rPr>
          <w:i/>
        </w:rPr>
        <w:t>The Runnymede Trust</w:t>
      </w:r>
      <w:r>
        <w:t xml:space="preserve"> (2000).</w:t>
      </w:r>
    </w:p>
    <w:p w:rsidR="00F31ED7" w:rsidRDefault="00F31ED7" w:rsidP="00F31ED7"/>
    <w:p w:rsidR="00F31ED7" w:rsidRDefault="00F31ED7" w:rsidP="00F31ED7">
      <w:pPr>
        <w:ind w:left="360" w:hanging="360"/>
      </w:pPr>
      <w:r>
        <w:t xml:space="preserve">Pedersen, Lars. </w:t>
      </w:r>
      <w:r>
        <w:rPr>
          <w:i/>
        </w:rPr>
        <w:t>Newer Islamic Movements in Western Europe</w:t>
      </w:r>
      <w:r>
        <w:t>. Aldershot: Ashgate, 1999.</w:t>
      </w:r>
    </w:p>
    <w:p w:rsidR="00F31ED7" w:rsidRDefault="00F31ED7" w:rsidP="00F31ED7">
      <w:pPr>
        <w:pStyle w:val="FootnoteText"/>
      </w:pPr>
    </w:p>
    <w:p w:rsidR="00F31ED7" w:rsidRDefault="00F31ED7" w:rsidP="00F31ED7">
      <w:pPr>
        <w:pStyle w:val="FootnoteText"/>
      </w:pPr>
      <w:r w:rsidRPr="00BB091E">
        <w:t xml:space="preserve">Pilkington, Edward. </w:t>
      </w:r>
      <w:r w:rsidRPr="00BB091E">
        <w:rPr>
          <w:i/>
        </w:rPr>
        <w:t xml:space="preserve">Beyond the Mother Country. </w:t>
      </w:r>
      <w:r w:rsidRPr="00BB091E">
        <w:t>London, Tauris, 1988.</w:t>
      </w:r>
    </w:p>
    <w:p w:rsidR="00F31ED7" w:rsidRDefault="00F31ED7" w:rsidP="00F31ED7"/>
    <w:p w:rsidR="00F31ED7" w:rsidRPr="00BB091E" w:rsidRDefault="005D6FB2" w:rsidP="00F31ED7">
      <w:pPr>
        <w:tabs>
          <w:tab w:val="left" w:pos="360"/>
        </w:tabs>
        <w:ind w:left="360" w:hanging="360"/>
      </w:pPr>
      <w:fldSimple w:instr=" ADDIN ZOTERO_ITEM {&quot;citationItems&quot;:[{&quot;uri&quot;:[&quot;http://zotero.org/users/424347/items/5X5NI9EA&quot;]}]} ">
        <w:r w:rsidR="00F31ED7" w:rsidRPr="00BB091E">
          <w:rPr>
            <w:color w:val="000000"/>
          </w:rPr>
          <w:t xml:space="preserve">Powell, Enoch. “Enoch Powell's 'Rivers of Blood' speech.” </w:t>
        </w:r>
        <w:r w:rsidR="00F31ED7" w:rsidRPr="00BB091E">
          <w:rPr>
            <w:i/>
            <w:iCs/>
            <w:color w:val="000000"/>
          </w:rPr>
          <w:t>The Telegraph</w:t>
        </w:r>
        <w:r w:rsidR="00F31ED7" w:rsidRPr="00BB091E">
          <w:rPr>
            <w:color w:val="000000"/>
          </w:rPr>
          <w:t>, November 6, 2007. Accessed</w:t>
        </w:r>
        <w:r w:rsidR="00F31ED7">
          <w:rPr>
            <w:color w:val="000000"/>
          </w:rPr>
          <w:t xml:space="preserve"> 5/5/2011</w:t>
        </w:r>
        <w:r w:rsidR="00F31ED7" w:rsidRPr="00BB091E">
          <w:rPr>
            <w:color w:val="000000"/>
          </w:rPr>
          <w:t>. http://www.telegraph.co.uk/comment/3643823/Enoch-Powells-Rivers-of-Blood-speech.html.</w:t>
        </w:r>
      </w:fldSimple>
    </w:p>
    <w:p w:rsidR="00F31ED7" w:rsidRPr="00BB091E" w:rsidRDefault="00F31ED7" w:rsidP="00F31ED7"/>
    <w:p w:rsidR="00F31ED7" w:rsidRDefault="00F31ED7" w:rsidP="00F31ED7">
      <w:r w:rsidRPr="00BB091E">
        <w:t xml:space="preserve">Rath, Jan et al., </w:t>
      </w:r>
      <w:r w:rsidRPr="00BB091E">
        <w:rPr>
          <w:i/>
        </w:rPr>
        <w:t xml:space="preserve">Western Europe and its Islam. </w:t>
      </w:r>
      <w:r w:rsidRPr="00BB091E">
        <w:t>Boston: Brill, 2001.</w:t>
      </w:r>
    </w:p>
    <w:p w:rsidR="00F31ED7" w:rsidRDefault="00F31ED7" w:rsidP="00F31ED7"/>
    <w:p w:rsidR="00F31ED7" w:rsidRPr="00BB091E" w:rsidRDefault="00F31ED7" w:rsidP="00F31ED7">
      <w:pPr>
        <w:ind w:left="360" w:hanging="360"/>
      </w:pPr>
      <w:r w:rsidRPr="00BB091E">
        <w:t xml:space="preserve">Rollock, Nicola. “The Stephen Lawrence Inquiry 10 Years On: A Critical Review of the Literature.” </w:t>
      </w:r>
      <w:r w:rsidRPr="00BB091E">
        <w:rPr>
          <w:i/>
        </w:rPr>
        <w:t>The Runnymede Trust</w:t>
      </w:r>
      <w:r>
        <w:t xml:space="preserve"> (2009).</w:t>
      </w:r>
    </w:p>
    <w:p w:rsidR="00F31ED7" w:rsidRDefault="00F31ED7" w:rsidP="00F31ED7"/>
    <w:p w:rsidR="00F31ED7" w:rsidRDefault="00F31ED7" w:rsidP="00F31ED7">
      <w:pPr>
        <w:ind w:left="360" w:hanging="360"/>
      </w:pPr>
      <w:r>
        <w:t xml:space="preserve">Samad, Yunas, and Kasturi Sen. </w:t>
      </w:r>
      <w:r>
        <w:rPr>
          <w:i/>
        </w:rPr>
        <w:t>Islam in the European Union: Transnationalism, Youth and the War on Terror</w:t>
      </w:r>
      <w:r>
        <w:t>. Oxford: Oxford University Press, 2007.</w:t>
      </w:r>
    </w:p>
    <w:p w:rsidR="00F31ED7" w:rsidRDefault="00F31ED7" w:rsidP="00F31ED7"/>
    <w:p w:rsidR="00F31ED7" w:rsidRDefault="00F31ED7" w:rsidP="00F31ED7">
      <w:r w:rsidRPr="00BB091E">
        <w:t xml:space="preserve">Sawh, Roy. </w:t>
      </w:r>
      <w:r w:rsidRPr="00BB091E">
        <w:rPr>
          <w:i/>
        </w:rPr>
        <w:t xml:space="preserve">From Where I Stand. </w:t>
      </w:r>
      <w:r w:rsidRPr="00BB091E">
        <w:t>London: H</w:t>
      </w:r>
      <w:r>
        <w:t>a</w:t>
      </w:r>
      <w:r w:rsidRPr="00BB091E">
        <w:t>nsib, 1987.</w:t>
      </w:r>
    </w:p>
    <w:p w:rsidR="00F31ED7" w:rsidRDefault="00F31ED7" w:rsidP="00F31ED7"/>
    <w:p w:rsidR="00F31ED7" w:rsidRPr="00BB091E" w:rsidRDefault="00F31ED7" w:rsidP="00F31ED7">
      <w:pPr>
        <w:tabs>
          <w:tab w:val="left" w:pos="360"/>
        </w:tabs>
      </w:pPr>
      <w:r w:rsidRPr="00BB091E">
        <w:t xml:space="preserve">Shadid, W.A.R., and P.S. Van Koningsveld, eds. </w:t>
      </w:r>
      <w:r w:rsidRPr="00BB091E">
        <w:rPr>
          <w:i/>
        </w:rPr>
        <w:t>Muslims in the Margin: Political responses to the presence of Islam in Western Europe</w:t>
      </w:r>
      <w:r w:rsidRPr="00BB091E">
        <w:t>. Netherlands: Kok Pharos, 1996.</w:t>
      </w:r>
    </w:p>
    <w:p w:rsidR="00F31ED7" w:rsidRPr="00BB091E" w:rsidRDefault="00F31ED7" w:rsidP="00F31ED7">
      <w:pPr>
        <w:ind w:left="360" w:hanging="360"/>
      </w:pPr>
      <w:r w:rsidRPr="00BB091E">
        <w:rPr>
          <w:i/>
        </w:rPr>
        <w:t>Quarterly</w:t>
      </w:r>
      <w:r>
        <w:t xml:space="preserve"> 18 (2007).</w:t>
      </w:r>
    </w:p>
    <w:p w:rsidR="00F31ED7" w:rsidRDefault="00F31ED7" w:rsidP="00F31ED7"/>
    <w:p w:rsidR="00F31ED7" w:rsidRPr="00BB091E" w:rsidRDefault="00F31ED7" w:rsidP="00F31ED7">
      <w:pPr>
        <w:ind w:left="360" w:hanging="360"/>
      </w:pPr>
      <w:r w:rsidRPr="00BB091E">
        <w:t xml:space="preserve">Studlar, Donley T. “British Public Opinion, Colour Issues, and Enoch Powell: A Longitudinal Analysis.” </w:t>
      </w:r>
      <w:r w:rsidRPr="00BB091E">
        <w:rPr>
          <w:i/>
        </w:rPr>
        <w:t xml:space="preserve">British Journal of Political Science </w:t>
      </w:r>
      <w:r>
        <w:t>4 (1974).</w:t>
      </w:r>
    </w:p>
    <w:p w:rsidR="00F31ED7" w:rsidRPr="00BB091E" w:rsidRDefault="00F31ED7" w:rsidP="00F31ED7"/>
    <w:p w:rsidR="00F31ED7" w:rsidRDefault="00F31ED7" w:rsidP="00F31ED7">
      <w:r w:rsidRPr="00BB091E">
        <w:rPr>
          <w:i/>
        </w:rPr>
        <w:t>The Scarman Report</w:t>
      </w:r>
      <w:r w:rsidRPr="00BB091E">
        <w:t xml:space="preserve"> . London: HMSO, 1981.</w:t>
      </w:r>
    </w:p>
    <w:p w:rsidR="00F31ED7" w:rsidRDefault="00F31ED7" w:rsidP="00F31ED7"/>
    <w:p w:rsidR="00F31ED7" w:rsidRDefault="00F31ED7" w:rsidP="00F31ED7">
      <w:pPr>
        <w:ind w:left="360" w:hanging="360"/>
      </w:pPr>
      <w:r>
        <w:t xml:space="preserve">“The End of Parallel Lives? The Report of the Community Cohesion Panel.” </w:t>
      </w:r>
      <w:r>
        <w:rPr>
          <w:i/>
        </w:rPr>
        <w:t xml:space="preserve">Community Cohesion Panel </w:t>
      </w:r>
      <w:r>
        <w:t>(2004).</w:t>
      </w:r>
    </w:p>
    <w:p w:rsidR="00F31ED7" w:rsidRPr="00BB091E" w:rsidRDefault="00F31ED7" w:rsidP="00F31ED7"/>
    <w:p w:rsidR="00F31ED7" w:rsidRDefault="00F31ED7" w:rsidP="00F31ED7">
      <w:pPr>
        <w:ind w:left="360" w:hanging="360"/>
      </w:pPr>
      <w:r w:rsidRPr="0044265B">
        <w:t xml:space="preserve">Walby, Sylvia, Jo Armstrong, and Les Humphreys. “Review of Equality Statistics.” </w:t>
      </w:r>
      <w:r w:rsidRPr="0044265B">
        <w:rPr>
          <w:i/>
        </w:rPr>
        <w:t xml:space="preserve">Equality and Human Rights Commission </w:t>
      </w:r>
      <w:r w:rsidRPr="0044265B">
        <w:t>(2008).</w:t>
      </w:r>
    </w:p>
    <w:p w:rsidR="00F31ED7" w:rsidRPr="0044265B" w:rsidRDefault="00F31ED7" w:rsidP="00F31ED7"/>
    <w:p w:rsidR="00F31ED7" w:rsidRPr="00BB091E" w:rsidRDefault="00F31ED7" w:rsidP="00F31ED7">
      <w:pPr>
        <w:ind w:left="270" w:hanging="270"/>
      </w:pPr>
      <w:r w:rsidRPr="00BB091E">
        <w:t xml:space="preserve">Whipple, Amy. “Revisiting the ‘Rivers of Blood’ Controversy: Letters to Enoch Powell.” </w:t>
      </w:r>
      <w:r w:rsidRPr="00BB091E">
        <w:rPr>
          <w:i/>
        </w:rPr>
        <w:t>The Journal of British Studies</w:t>
      </w:r>
      <w:r>
        <w:t xml:space="preserve"> 48 (2009): 717-735.</w:t>
      </w:r>
    </w:p>
    <w:p w:rsidR="00F31ED7" w:rsidRDefault="00F31ED7" w:rsidP="00F31ED7"/>
    <w:p w:rsidR="00F31ED7" w:rsidRPr="00BB091E" w:rsidRDefault="00F31ED7" w:rsidP="00F31ED7">
      <w:pPr>
        <w:ind w:left="360" w:hanging="360"/>
      </w:pPr>
      <w:r w:rsidRPr="00BB091E">
        <w:t xml:space="preserve">Wright, Peter. </w:t>
      </w:r>
      <w:r w:rsidRPr="00BB091E">
        <w:rPr>
          <w:i/>
        </w:rPr>
        <w:t xml:space="preserve">The Coloured Worker in British Industry. </w:t>
      </w:r>
      <w:r w:rsidRPr="00BB091E">
        <w:t>London: Institute of Race Relations, 1968.</w:t>
      </w:r>
    </w:p>
    <w:p w:rsidR="00F31ED7" w:rsidRPr="00BB091E" w:rsidRDefault="00F31ED7" w:rsidP="00F31ED7"/>
    <w:p w:rsidR="00F31ED7" w:rsidRPr="00BB091E" w:rsidRDefault="00F31ED7" w:rsidP="00F31ED7"/>
    <w:p w:rsidR="00D83BB5" w:rsidRPr="00963DB2" w:rsidRDefault="00D83BB5" w:rsidP="00963DB2">
      <w:pPr>
        <w:spacing w:line="480" w:lineRule="auto"/>
        <w:rPr>
          <w:b/>
          <w:u w:val="single"/>
        </w:rPr>
      </w:pPr>
    </w:p>
    <w:sectPr w:rsidR="00D83BB5" w:rsidRPr="00963DB2" w:rsidSect="00511214">
      <w:footerReference w:type="even" r:id="rId7"/>
      <w:footerReference w:type="default" r:id="rId8"/>
      <w:headerReference w:type="first" r:id="rId9"/>
      <w:pgSz w:w="12240" w:h="15840"/>
      <w:pgMar w:top="1440" w:right="1800" w:bottom="1440" w:left="1800"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6FB2" w:rsidRDefault="005D6FB2" w:rsidP="005D6FB2">
      <w:r>
        <w:separator/>
      </w:r>
    </w:p>
  </w:endnote>
  <w:endnote w:type="continuationSeparator" w:id="0">
    <w:p w:rsidR="005D6FB2" w:rsidRDefault="005D6FB2" w:rsidP="005D6FB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charset w:val="00"/>
    <w:family w:val="auto"/>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B78" w:rsidRDefault="005D6FB2" w:rsidP="00511214">
    <w:pPr>
      <w:pStyle w:val="Footer"/>
      <w:framePr w:wrap="around" w:vAnchor="text" w:hAnchor="margin" w:xAlign="right" w:y="1"/>
      <w:rPr>
        <w:rStyle w:val="PageNumber"/>
      </w:rPr>
    </w:pPr>
    <w:r>
      <w:rPr>
        <w:rStyle w:val="PageNumber"/>
      </w:rPr>
      <w:fldChar w:fldCharType="begin"/>
    </w:r>
    <w:r w:rsidR="00EF6B78">
      <w:rPr>
        <w:rStyle w:val="PageNumber"/>
      </w:rPr>
      <w:instrText xml:space="preserve">PAGE  </w:instrText>
    </w:r>
    <w:r>
      <w:rPr>
        <w:rStyle w:val="PageNumber"/>
      </w:rPr>
      <w:fldChar w:fldCharType="end"/>
    </w:r>
  </w:p>
  <w:p w:rsidR="00EF6B78" w:rsidRDefault="00EF6B78" w:rsidP="0051121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B78" w:rsidRDefault="005D6FB2" w:rsidP="00511214">
    <w:pPr>
      <w:pStyle w:val="Footer"/>
      <w:framePr w:wrap="around" w:vAnchor="text" w:hAnchor="margin" w:xAlign="right" w:y="1"/>
      <w:rPr>
        <w:rStyle w:val="PageNumber"/>
      </w:rPr>
    </w:pPr>
    <w:r>
      <w:rPr>
        <w:rStyle w:val="PageNumber"/>
      </w:rPr>
      <w:fldChar w:fldCharType="begin"/>
    </w:r>
    <w:r w:rsidR="00EF6B78">
      <w:rPr>
        <w:rStyle w:val="PageNumber"/>
      </w:rPr>
      <w:instrText xml:space="preserve">PAGE  </w:instrText>
    </w:r>
    <w:r>
      <w:rPr>
        <w:rStyle w:val="PageNumber"/>
      </w:rPr>
      <w:fldChar w:fldCharType="separate"/>
    </w:r>
    <w:r w:rsidR="006F17CF">
      <w:rPr>
        <w:rStyle w:val="PageNumber"/>
        <w:noProof/>
      </w:rPr>
      <w:t>52</w:t>
    </w:r>
    <w:r>
      <w:rPr>
        <w:rStyle w:val="PageNumber"/>
      </w:rPr>
      <w:fldChar w:fldCharType="end"/>
    </w:r>
  </w:p>
  <w:p w:rsidR="00EF6B78" w:rsidRDefault="00EF6B78" w:rsidP="0051121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6FB2" w:rsidRDefault="005D6FB2" w:rsidP="005D6FB2">
      <w:r>
        <w:separator/>
      </w:r>
    </w:p>
  </w:footnote>
  <w:footnote w:type="continuationSeparator" w:id="0">
    <w:p w:rsidR="005D6FB2" w:rsidRDefault="005D6FB2" w:rsidP="005D6FB2">
      <w:r>
        <w:continuationSeparator/>
      </w:r>
    </w:p>
  </w:footnote>
  <w:footnote w:id="1">
    <w:p w:rsidR="00EF6B78" w:rsidRDefault="00EF6B78" w:rsidP="008F0FE3">
      <w:pPr>
        <w:pStyle w:val="FootnoteText"/>
      </w:pPr>
      <w:r>
        <w:rPr>
          <w:rStyle w:val="FootnoteReference"/>
        </w:rPr>
        <w:footnoteRef/>
      </w:r>
      <w:r>
        <w:t xml:space="preserve"> </w:t>
      </w:r>
      <w:r>
        <w:rPr>
          <w:sz w:val="20"/>
        </w:rPr>
        <w:t xml:space="preserve">Barbara Franz, “Europe’s Muslim Youth: An inquiry into the Politics of discrimination, Relative Deprivation, and Identity Formation,” </w:t>
      </w:r>
      <w:r>
        <w:rPr>
          <w:i/>
          <w:sz w:val="20"/>
        </w:rPr>
        <w:t>Mediterranean Quarterly</w:t>
      </w:r>
      <w:r>
        <w:rPr>
          <w:sz w:val="20"/>
        </w:rPr>
        <w:t xml:space="preserve"> 18 (2007), </w:t>
      </w:r>
      <w:r w:rsidRPr="00750C93">
        <w:rPr>
          <w:sz w:val="20"/>
        </w:rPr>
        <w:t>97</w:t>
      </w:r>
      <w:r>
        <w:rPr>
          <w:sz w:val="20"/>
        </w:rPr>
        <w:t>.</w:t>
      </w:r>
    </w:p>
  </w:footnote>
  <w:footnote w:id="2">
    <w:p w:rsidR="00EF6B78" w:rsidRPr="00C635AC" w:rsidRDefault="00EF6B78" w:rsidP="008F0FE3">
      <w:pPr>
        <w:pStyle w:val="FootnoteText"/>
        <w:rPr>
          <w:sz w:val="20"/>
        </w:rPr>
      </w:pPr>
      <w:r w:rsidRPr="00C635AC">
        <w:rPr>
          <w:rStyle w:val="FootnoteReference"/>
          <w:sz w:val="20"/>
        </w:rPr>
        <w:footnoteRef/>
      </w:r>
      <w:r w:rsidRPr="00C635AC">
        <w:rPr>
          <w:sz w:val="20"/>
        </w:rPr>
        <w:t xml:space="preserve"> Burnley Task Force Report</w:t>
      </w:r>
      <w:r>
        <w:rPr>
          <w:sz w:val="20"/>
        </w:rPr>
        <w:t xml:space="preserve"> (2001),</w:t>
      </w:r>
      <w:r w:rsidRPr="00C635AC">
        <w:rPr>
          <w:sz w:val="20"/>
        </w:rPr>
        <w:t xml:space="preserve"> 35</w:t>
      </w:r>
      <w:r>
        <w:rPr>
          <w:sz w:val="20"/>
        </w:rPr>
        <w:t>.</w:t>
      </w:r>
    </w:p>
  </w:footnote>
  <w:footnote w:id="3">
    <w:p w:rsidR="00EF6B78" w:rsidRDefault="00EF6B78" w:rsidP="008F0FE3">
      <w:pPr>
        <w:pStyle w:val="FootnoteText"/>
      </w:pPr>
      <w:r w:rsidRPr="00C635AC">
        <w:rPr>
          <w:rStyle w:val="FootnoteReference"/>
          <w:sz w:val="20"/>
        </w:rPr>
        <w:footnoteRef/>
      </w:r>
      <w:r w:rsidRPr="00C635AC">
        <w:rPr>
          <w:sz w:val="20"/>
        </w:rPr>
        <w:t xml:space="preserve"> Bernhard Lewis, </w:t>
      </w:r>
      <w:r>
        <w:rPr>
          <w:sz w:val="20"/>
        </w:rPr>
        <w:t xml:space="preserve">“The </w:t>
      </w:r>
      <w:r w:rsidRPr="00C635AC">
        <w:rPr>
          <w:sz w:val="20"/>
        </w:rPr>
        <w:t>Roots of Muslim Rage</w:t>
      </w:r>
      <w:r>
        <w:rPr>
          <w:sz w:val="20"/>
        </w:rPr>
        <w:t xml:space="preserve">: Why so many Muslims deeply resent the West, and why their bitterness will not be easily mollified,” </w:t>
      </w:r>
      <w:r>
        <w:rPr>
          <w:i/>
          <w:sz w:val="20"/>
        </w:rPr>
        <w:t>The Atlantic Monthly</w:t>
      </w:r>
      <w:r>
        <w:rPr>
          <w:sz w:val="20"/>
        </w:rPr>
        <w:t>, 266(1990),</w:t>
      </w:r>
      <w:r w:rsidRPr="00C635AC">
        <w:rPr>
          <w:sz w:val="20"/>
        </w:rPr>
        <w:t xml:space="preserve"> 146</w:t>
      </w:r>
      <w:r>
        <w:rPr>
          <w:sz w:val="20"/>
        </w:rPr>
        <w:t>.</w:t>
      </w:r>
    </w:p>
  </w:footnote>
  <w:footnote w:id="4">
    <w:p w:rsidR="00EF6B78" w:rsidRPr="002C5B04" w:rsidRDefault="00EF6B78" w:rsidP="008F0FE3">
      <w:pPr>
        <w:pStyle w:val="FootnoteText"/>
        <w:rPr>
          <w:sz w:val="20"/>
        </w:rPr>
      </w:pPr>
      <w:r w:rsidRPr="002C5B04">
        <w:rPr>
          <w:rStyle w:val="FootnoteReference"/>
          <w:sz w:val="20"/>
        </w:rPr>
        <w:footnoteRef/>
      </w:r>
      <w:r w:rsidRPr="002C5B04">
        <w:rPr>
          <w:sz w:val="20"/>
        </w:rPr>
        <w:t xml:space="preserve"> Tariq Madood</w:t>
      </w:r>
      <w:r>
        <w:rPr>
          <w:sz w:val="20"/>
        </w:rPr>
        <w:t xml:space="preserve">, Anna Triandafyllidou, and Ricard Zapata-Barrero, </w:t>
      </w:r>
      <w:r>
        <w:rPr>
          <w:i/>
          <w:sz w:val="20"/>
        </w:rPr>
        <w:t>Multiculturalism, Muslims and Citizenship: A European Approach</w:t>
      </w:r>
      <w:r>
        <w:rPr>
          <w:sz w:val="20"/>
        </w:rPr>
        <w:t>, (New York: Routledge, 2006),</w:t>
      </w:r>
      <w:r w:rsidRPr="002C5B04">
        <w:rPr>
          <w:sz w:val="20"/>
        </w:rPr>
        <w:t xml:space="preserve"> 48</w:t>
      </w:r>
      <w:r>
        <w:rPr>
          <w:sz w:val="20"/>
        </w:rPr>
        <w:t>.</w:t>
      </w:r>
    </w:p>
  </w:footnote>
  <w:footnote w:id="5">
    <w:p w:rsidR="00EF6B78" w:rsidRPr="00C81D08" w:rsidRDefault="00EF6B78">
      <w:pPr>
        <w:pStyle w:val="FootnoteText"/>
      </w:pPr>
      <w:r>
        <w:rPr>
          <w:rStyle w:val="FootnoteReference"/>
        </w:rPr>
        <w:footnoteRef/>
      </w:r>
      <w:r>
        <w:t xml:space="preserve"> </w:t>
      </w:r>
      <w:r w:rsidRPr="00C81D08">
        <w:rPr>
          <w:sz w:val="20"/>
        </w:rPr>
        <w:t xml:space="preserve">Bhikhu Parekh, “The Future of Multiethnic Britain,” </w:t>
      </w:r>
      <w:r w:rsidRPr="00C81D08">
        <w:rPr>
          <w:i/>
          <w:sz w:val="20"/>
        </w:rPr>
        <w:t>The Runnymede Trust</w:t>
      </w:r>
      <w:r w:rsidRPr="00C81D08">
        <w:rPr>
          <w:sz w:val="20"/>
        </w:rPr>
        <w:t xml:space="preserve"> (2000).</w:t>
      </w:r>
    </w:p>
  </w:footnote>
  <w:footnote w:id="6">
    <w:p w:rsidR="00EF6B78" w:rsidRPr="00794C7F" w:rsidRDefault="00EF6B78">
      <w:pPr>
        <w:pStyle w:val="FootnoteText"/>
        <w:rPr>
          <w:sz w:val="20"/>
        </w:rPr>
      </w:pPr>
      <w:r w:rsidRPr="00794C7F">
        <w:rPr>
          <w:rStyle w:val="FootnoteReference"/>
          <w:sz w:val="20"/>
        </w:rPr>
        <w:footnoteRef/>
      </w:r>
      <w:r w:rsidRPr="00794C7F">
        <w:rPr>
          <w:sz w:val="20"/>
        </w:rPr>
        <w:t xml:space="preserve"> Rollock, Nicola, “The Stephen Lawrence Inquiry 10 Years On: A Critical Review of the Literature,” </w:t>
      </w:r>
      <w:r w:rsidRPr="00794C7F">
        <w:rPr>
          <w:i/>
          <w:sz w:val="20"/>
        </w:rPr>
        <w:t>The Runnymede Trust</w:t>
      </w:r>
      <w:r w:rsidRPr="00794C7F">
        <w:rPr>
          <w:sz w:val="20"/>
        </w:rPr>
        <w:t xml:space="preserve"> (2009), 4-5. </w:t>
      </w:r>
    </w:p>
  </w:footnote>
  <w:footnote w:id="7">
    <w:p w:rsidR="00EF6B78" w:rsidRPr="00794C7F" w:rsidRDefault="00EF6B78">
      <w:pPr>
        <w:pStyle w:val="FootnoteText"/>
        <w:rPr>
          <w:i/>
        </w:rPr>
      </w:pPr>
      <w:r>
        <w:rPr>
          <w:rStyle w:val="FootnoteReference"/>
        </w:rPr>
        <w:footnoteRef/>
      </w:r>
      <w:r>
        <w:t xml:space="preserve"> </w:t>
      </w:r>
      <w:r w:rsidRPr="00C8375D">
        <w:rPr>
          <w:sz w:val="20"/>
        </w:rPr>
        <w:t xml:space="preserve">Naser Meer and Tariq Modood, “The Multicultural State We’re In: Muslims, ‘Multiculture’ and the ‘Civic Re-balancing’ of British multiculturalism, </w:t>
      </w:r>
      <w:r w:rsidRPr="00C8375D">
        <w:rPr>
          <w:i/>
          <w:sz w:val="20"/>
        </w:rPr>
        <w:t>Political Studies</w:t>
      </w:r>
      <w:r w:rsidRPr="00C8375D">
        <w:rPr>
          <w:sz w:val="20"/>
        </w:rPr>
        <w:t xml:space="preserve"> 57 (2009), 3.</w:t>
      </w:r>
    </w:p>
  </w:footnote>
  <w:footnote w:id="8">
    <w:p w:rsidR="00EF6B78" w:rsidRPr="00C8375D" w:rsidRDefault="00EF6B78">
      <w:pPr>
        <w:pStyle w:val="FootnoteText"/>
        <w:rPr>
          <w:sz w:val="20"/>
        </w:rPr>
      </w:pPr>
      <w:r w:rsidRPr="00C8375D">
        <w:rPr>
          <w:rStyle w:val="FootnoteReference"/>
          <w:sz w:val="20"/>
        </w:rPr>
        <w:footnoteRef/>
      </w:r>
      <w:r w:rsidRPr="00C8375D">
        <w:rPr>
          <w:sz w:val="20"/>
        </w:rPr>
        <w:t xml:space="preserve"> Naser Meer and Tariq Modood, “The Multicultural State We’</w:t>
      </w:r>
      <w:r>
        <w:rPr>
          <w:sz w:val="20"/>
        </w:rPr>
        <w:t>re In,” 9</w:t>
      </w:r>
      <w:r w:rsidRPr="00C8375D">
        <w:rPr>
          <w:sz w:val="20"/>
        </w:rPr>
        <w:t>.</w:t>
      </w:r>
    </w:p>
  </w:footnote>
  <w:footnote w:id="9">
    <w:p w:rsidR="00EF6B78" w:rsidRPr="001B2536" w:rsidRDefault="00EF6B78">
      <w:pPr>
        <w:pStyle w:val="FootnoteText"/>
        <w:rPr>
          <w:sz w:val="20"/>
        </w:rPr>
      </w:pPr>
      <w:r w:rsidRPr="005B7808">
        <w:rPr>
          <w:rStyle w:val="FootnoteReference"/>
          <w:sz w:val="20"/>
        </w:rPr>
        <w:footnoteRef/>
      </w:r>
      <w:r w:rsidRPr="005B7808">
        <w:rPr>
          <w:sz w:val="20"/>
        </w:rPr>
        <w:t xml:space="preserve"> </w:t>
      </w:r>
      <w:r>
        <w:rPr>
          <w:sz w:val="20"/>
        </w:rPr>
        <w:t>James Kay, “</w:t>
      </w:r>
      <w:r w:rsidRPr="005B7808">
        <w:rPr>
          <w:sz w:val="20"/>
        </w:rPr>
        <w:t>UK Needs</w:t>
      </w:r>
      <w:r>
        <w:rPr>
          <w:sz w:val="20"/>
        </w:rPr>
        <w:t xml:space="preserve"> a </w:t>
      </w:r>
      <w:r w:rsidRPr="005B7808">
        <w:rPr>
          <w:sz w:val="20"/>
        </w:rPr>
        <w:t>Cultural Shift</w:t>
      </w:r>
      <w:r>
        <w:rPr>
          <w:sz w:val="20"/>
        </w:rPr>
        <w:t xml:space="preserve">,” </w:t>
      </w:r>
      <w:r>
        <w:rPr>
          <w:i/>
          <w:sz w:val="20"/>
        </w:rPr>
        <w:t>Evening Post</w:t>
      </w:r>
      <w:r>
        <w:rPr>
          <w:sz w:val="20"/>
        </w:rPr>
        <w:t>, April 21, 2006, 28.</w:t>
      </w:r>
    </w:p>
  </w:footnote>
  <w:footnote w:id="10">
    <w:p w:rsidR="00EF6B78" w:rsidRPr="00002D04" w:rsidRDefault="00EF6B78" w:rsidP="00D83BB5">
      <w:pPr>
        <w:pStyle w:val="FootnoteText"/>
        <w:rPr>
          <w:sz w:val="20"/>
        </w:rPr>
      </w:pPr>
      <w:r w:rsidRPr="00002D04">
        <w:rPr>
          <w:rStyle w:val="FootnoteReference"/>
          <w:sz w:val="20"/>
        </w:rPr>
        <w:footnoteRef/>
      </w:r>
      <w:r>
        <w:rPr>
          <w:sz w:val="20"/>
        </w:rPr>
        <w:t xml:space="preserve"> Brian MacArthur, ed., </w:t>
      </w:r>
      <w:r>
        <w:rPr>
          <w:i/>
          <w:sz w:val="20"/>
        </w:rPr>
        <w:t>The Penguin Book of Twentieth Century Speeches</w:t>
      </w:r>
      <w:r>
        <w:rPr>
          <w:sz w:val="20"/>
        </w:rPr>
        <w:t>, (New York: Penguin, 1999),</w:t>
      </w:r>
      <w:r w:rsidRPr="00002D04">
        <w:rPr>
          <w:sz w:val="20"/>
        </w:rPr>
        <w:t xml:space="preserve"> 362-3</w:t>
      </w:r>
      <w:r>
        <w:rPr>
          <w:sz w:val="20"/>
        </w:rPr>
        <w:t>.</w:t>
      </w:r>
    </w:p>
  </w:footnote>
  <w:footnote w:id="11">
    <w:p w:rsidR="00EF6B78" w:rsidRPr="004A6A45" w:rsidRDefault="00EF6B78">
      <w:pPr>
        <w:pStyle w:val="FootnoteText"/>
        <w:rPr>
          <w:sz w:val="20"/>
        </w:rPr>
      </w:pPr>
      <w:r w:rsidRPr="004A6A45">
        <w:rPr>
          <w:rStyle w:val="FootnoteReference"/>
          <w:sz w:val="20"/>
        </w:rPr>
        <w:footnoteRef/>
      </w:r>
      <w:r w:rsidRPr="004A6A45">
        <w:rPr>
          <w:sz w:val="20"/>
        </w:rPr>
        <w:t xml:space="preserve"> </w:t>
      </w:r>
      <w:r>
        <w:rPr>
          <w:sz w:val="20"/>
        </w:rPr>
        <w:t xml:space="preserve">Peter Wright, </w:t>
      </w:r>
      <w:r w:rsidRPr="004A6A45">
        <w:rPr>
          <w:i/>
          <w:sz w:val="20"/>
        </w:rPr>
        <w:t>The Coloured Worker in British Industry</w:t>
      </w:r>
      <w:r>
        <w:rPr>
          <w:i/>
          <w:sz w:val="20"/>
        </w:rPr>
        <w:t xml:space="preserve">, </w:t>
      </w:r>
      <w:r>
        <w:rPr>
          <w:sz w:val="20"/>
        </w:rPr>
        <w:t>(London: Institute of Race Relations, 1968),</w:t>
      </w:r>
      <w:r w:rsidRPr="004A6A45">
        <w:rPr>
          <w:sz w:val="20"/>
        </w:rPr>
        <w:t xml:space="preserve"> 211</w:t>
      </w:r>
      <w:r>
        <w:rPr>
          <w:sz w:val="20"/>
        </w:rPr>
        <w:t>.</w:t>
      </w:r>
    </w:p>
  </w:footnote>
  <w:footnote w:id="12">
    <w:p w:rsidR="00EF6B78" w:rsidRPr="0046274A" w:rsidRDefault="00EF6B78">
      <w:pPr>
        <w:pStyle w:val="FootnoteText"/>
        <w:rPr>
          <w:sz w:val="20"/>
        </w:rPr>
      </w:pPr>
      <w:r w:rsidRPr="0046274A">
        <w:rPr>
          <w:rStyle w:val="FootnoteReference"/>
          <w:sz w:val="20"/>
        </w:rPr>
        <w:footnoteRef/>
      </w:r>
      <w:r w:rsidRPr="0046274A">
        <w:rPr>
          <w:sz w:val="20"/>
        </w:rPr>
        <w:t xml:space="preserve"> </w:t>
      </w:r>
      <w:r>
        <w:rPr>
          <w:sz w:val="20"/>
        </w:rPr>
        <w:t xml:space="preserve">Edward Pilkington, </w:t>
      </w:r>
      <w:r w:rsidRPr="0046274A">
        <w:rPr>
          <w:i/>
          <w:sz w:val="20"/>
        </w:rPr>
        <w:t>Beyond the Mother Country</w:t>
      </w:r>
      <w:r>
        <w:rPr>
          <w:i/>
          <w:sz w:val="20"/>
        </w:rPr>
        <w:t xml:space="preserve"> </w:t>
      </w:r>
      <w:r>
        <w:rPr>
          <w:sz w:val="20"/>
        </w:rPr>
        <w:t>(London, Tauris, 1988),</w:t>
      </w:r>
      <w:r w:rsidRPr="0046274A">
        <w:rPr>
          <w:i/>
          <w:sz w:val="20"/>
        </w:rPr>
        <w:t xml:space="preserve"> </w:t>
      </w:r>
      <w:r w:rsidRPr="0046274A">
        <w:rPr>
          <w:sz w:val="20"/>
        </w:rPr>
        <w:t>85</w:t>
      </w:r>
      <w:r>
        <w:rPr>
          <w:sz w:val="20"/>
        </w:rPr>
        <w:t>.</w:t>
      </w:r>
    </w:p>
  </w:footnote>
  <w:footnote w:id="13">
    <w:p w:rsidR="00EF6B78" w:rsidRPr="002A2AE6" w:rsidRDefault="00EF6B78">
      <w:pPr>
        <w:pStyle w:val="FootnoteText"/>
        <w:rPr>
          <w:sz w:val="20"/>
        </w:rPr>
      </w:pPr>
      <w:r w:rsidRPr="002A2AE6">
        <w:rPr>
          <w:rStyle w:val="FootnoteReference"/>
          <w:sz w:val="20"/>
        </w:rPr>
        <w:footnoteRef/>
      </w:r>
      <w:r w:rsidRPr="002A2AE6">
        <w:rPr>
          <w:sz w:val="20"/>
        </w:rPr>
        <w:t xml:space="preserve"> </w:t>
      </w:r>
      <w:r>
        <w:rPr>
          <w:sz w:val="20"/>
        </w:rPr>
        <w:t>Marcus Collins, “</w:t>
      </w:r>
      <w:r w:rsidRPr="00CC326E">
        <w:rPr>
          <w:sz w:val="20"/>
        </w:rPr>
        <w:t>Pride and Prejudice: West Indian Men in Mid-Century Britain</w:t>
      </w:r>
      <w:r>
        <w:rPr>
          <w:i/>
          <w:sz w:val="20"/>
        </w:rPr>
        <w:t>,</w:t>
      </w:r>
      <w:r>
        <w:rPr>
          <w:sz w:val="20"/>
        </w:rPr>
        <w:t xml:space="preserve">” </w:t>
      </w:r>
      <w:r>
        <w:rPr>
          <w:i/>
          <w:sz w:val="20"/>
        </w:rPr>
        <w:t>The Journal of British Studies</w:t>
      </w:r>
      <w:r>
        <w:rPr>
          <w:sz w:val="20"/>
        </w:rPr>
        <w:t xml:space="preserve"> 40 (2001),</w:t>
      </w:r>
      <w:r w:rsidRPr="002A2AE6">
        <w:rPr>
          <w:sz w:val="20"/>
        </w:rPr>
        <w:t xml:space="preserve"> 399</w:t>
      </w:r>
      <w:r>
        <w:rPr>
          <w:sz w:val="20"/>
        </w:rPr>
        <w:t>.</w:t>
      </w:r>
    </w:p>
  </w:footnote>
  <w:footnote w:id="14">
    <w:p w:rsidR="00EF6B78" w:rsidRPr="00A22938" w:rsidRDefault="00EF6B78">
      <w:pPr>
        <w:pStyle w:val="FootnoteText"/>
        <w:rPr>
          <w:sz w:val="20"/>
        </w:rPr>
      </w:pPr>
      <w:r w:rsidRPr="00A22938">
        <w:rPr>
          <w:rStyle w:val="FootnoteReference"/>
          <w:sz w:val="20"/>
        </w:rPr>
        <w:footnoteRef/>
      </w:r>
      <w:r w:rsidRPr="00A22938">
        <w:rPr>
          <w:sz w:val="20"/>
        </w:rPr>
        <w:t xml:space="preserve"> Collins, </w:t>
      </w:r>
      <w:r w:rsidRPr="00A22938">
        <w:rPr>
          <w:i/>
          <w:sz w:val="20"/>
        </w:rPr>
        <w:t>Pride and Prejudice: West Indian Men in Mid-Century Britain</w:t>
      </w:r>
      <w:r w:rsidRPr="00A22938">
        <w:rPr>
          <w:sz w:val="20"/>
        </w:rPr>
        <w:t>, 417.</w:t>
      </w:r>
    </w:p>
  </w:footnote>
  <w:footnote w:id="15">
    <w:p w:rsidR="00EF6B78" w:rsidRPr="00A22938" w:rsidRDefault="00EF6B78">
      <w:pPr>
        <w:pStyle w:val="FootnoteText"/>
        <w:rPr>
          <w:sz w:val="20"/>
        </w:rPr>
      </w:pPr>
      <w:r w:rsidRPr="00A22938">
        <w:rPr>
          <w:rStyle w:val="FootnoteReference"/>
          <w:sz w:val="20"/>
        </w:rPr>
        <w:footnoteRef/>
      </w:r>
      <w:r w:rsidRPr="00A22938">
        <w:rPr>
          <w:sz w:val="20"/>
        </w:rPr>
        <w:t xml:space="preserve"> Collins, </w:t>
      </w:r>
      <w:r w:rsidRPr="00A22938">
        <w:rPr>
          <w:i/>
          <w:sz w:val="20"/>
        </w:rPr>
        <w:t>Pride and Prejudice: West Indian Men in Mid-Century Britain,</w:t>
      </w:r>
      <w:r w:rsidRPr="00A22938">
        <w:rPr>
          <w:sz w:val="20"/>
        </w:rPr>
        <w:t xml:space="preserve"> 394.</w:t>
      </w:r>
    </w:p>
  </w:footnote>
  <w:footnote w:id="16">
    <w:p w:rsidR="00EF6B78" w:rsidRPr="00A22938" w:rsidRDefault="00EF6B78">
      <w:pPr>
        <w:pStyle w:val="FootnoteText"/>
        <w:rPr>
          <w:sz w:val="20"/>
        </w:rPr>
      </w:pPr>
      <w:r w:rsidRPr="00A22938">
        <w:rPr>
          <w:rStyle w:val="FootnoteReference"/>
          <w:sz w:val="20"/>
        </w:rPr>
        <w:footnoteRef/>
      </w:r>
      <w:r w:rsidRPr="00A22938">
        <w:rPr>
          <w:sz w:val="20"/>
        </w:rPr>
        <w:t xml:space="preserve"> Pilkington,” Beyond the mother country,” 85.</w:t>
      </w:r>
    </w:p>
  </w:footnote>
  <w:footnote w:id="17">
    <w:p w:rsidR="00EF6B78" w:rsidRDefault="00EF6B78">
      <w:pPr>
        <w:pStyle w:val="FootnoteText"/>
      </w:pPr>
      <w:r w:rsidRPr="00A22938">
        <w:rPr>
          <w:rStyle w:val="FootnoteReference"/>
          <w:sz w:val="20"/>
        </w:rPr>
        <w:footnoteRef/>
      </w:r>
      <w:r w:rsidRPr="00A22938">
        <w:rPr>
          <w:sz w:val="20"/>
        </w:rPr>
        <w:t xml:space="preserve"> Collins, </w:t>
      </w:r>
      <w:r w:rsidRPr="00A22938">
        <w:rPr>
          <w:i/>
          <w:sz w:val="20"/>
        </w:rPr>
        <w:t>Pride and Prejudice: West Indian Men in Mid-Century Britain,</w:t>
      </w:r>
      <w:r w:rsidRPr="00A22938">
        <w:rPr>
          <w:sz w:val="20"/>
        </w:rPr>
        <w:t xml:space="preserve"> 391.</w:t>
      </w:r>
    </w:p>
  </w:footnote>
  <w:footnote w:id="18">
    <w:p w:rsidR="00EF6B78" w:rsidRPr="00663636" w:rsidRDefault="00EF6B78">
      <w:pPr>
        <w:pStyle w:val="FootnoteText"/>
        <w:rPr>
          <w:sz w:val="20"/>
        </w:rPr>
      </w:pPr>
      <w:r w:rsidRPr="00663636">
        <w:rPr>
          <w:rStyle w:val="FootnoteReference"/>
          <w:sz w:val="20"/>
        </w:rPr>
        <w:footnoteRef/>
      </w:r>
      <w:r>
        <w:rPr>
          <w:sz w:val="20"/>
        </w:rPr>
        <w:t xml:space="preserve"> </w:t>
      </w:r>
      <w:r w:rsidRPr="00663636">
        <w:rPr>
          <w:sz w:val="20"/>
        </w:rPr>
        <w:t xml:space="preserve"> </w:t>
      </w:r>
      <w:r>
        <w:rPr>
          <w:sz w:val="20"/>
        </w:rPr>
        <w:t xml:space="preserve">Morris Cargill, </w:t>
      </w:r>
      <w:r w:rsidRPr="00663636">
        <w:rPr>
          <w:i/>
          <w:sz w:val="20"/>
        </w:rPr>
        <w:t>Jamaica Farewell</w:t>
      </w:r>
      <w:r>
        <w:rPr>
          <w:sz w:val="20"/>
        </w:rPr>
        <w:t>, (London: Barricade, 1978),</w:t>
      </w:r>
      <w:r w:rsidRPr="00663636">
        <w:rPr>
          <w:i/>
          <w:sz w:val="20"/>
        </w:rPr>
        <w:t xml:space="preserve"> </w:t>
      </w:r>
      <w:r w:rsidRPr="00663636">
        <w:rPr>
          <w:sz w:val="20"/>
        </w:rPr>
        <w:t>42</w:t>
      </w:r>
      <w:r>
        <w:rPr>
          <w:sz w:val="20"/>
        </w:rPr>
        <w:t>.</w:t>
      </w:r>
    </w:p>
  </w:footnote>
  <w:footnote w:id="19">
    <w:p w:rsidR="00EF6B78" w:rsidRPr="003C0DC2" w:rsidRDefault="00EF6B78">
      <w:pPr>
        <w:pStyle w:val="FootnoteText"/>
        <w:rPr>
          <w:sz w:val="20"/>
        </w:rPr>
      </w:pPr>
      <w:r w:rsidRPr="003C0DC2">
        <w:rPr>
          <w:rStyle w:val="FootnoteReference"/>
          <w:sz w:val="20"/>
        </w:rPr>
        <w:footnoteRef/>
      </w:r>
      <w:r w:rsidRPr="003C0DC2">
        <w:rPr>
          <w:sz w:val="20"/>
        </w:rPr>
        <w:t xml:space="preserve"> </w:t>
      </w:r>
      <w:r>
        <w:rPr>
          <w:sz w:val="20"/>
        </w:rPr>
        <w:t xml:space="preserve">Cargill, </w:t>
      </w:r>
      <w:r w:rsidRPr="003C0DC2">
        <w:rPr>
          <w:i/>
          <w:sz w:val="20"/>
        </w:rPr>
        <w:t>Jamaica Farewell</w:t>
      </w:r>
      <w:r>
        <w:rPr>
          <w:i/>
          <w:sz w:val="20"/>
        </w:rPr>
        <w:t>,</w:t>
      </w:r>
      <w:r w:rsidRPr="003C0DC2">
        <w:rPr>
          <w:sz w:val="20"/>
        </w:rPr>
        <w:t xml:space="preserve"> 43</w:t>
      </w:r>
      <w:r>
        <w:rPr>
          <w:sz w:val="20"/>
        </w:rPr>
        <w:t>.</w:t>
      </w:r>
    </w:p>
  </w:footnote>
  <w:footnote w:id="20">
    <w:p w:rsidR="00EF6B78" w:rsidRPr="00AC05AA" w:rsidRDefault="00EF6B78">
      <w:pPr>
        <w:pStyle w:val="FootnoteText"/>
        <w:rPr>
          <w:sz w:val="20"/>
        </w:rPr>
      </w:pPr>
      <w:r w:rsidRPr="00AC05AA">
        <w:rPr>
          <w:rStyle w:val="FootnoteReference"/>
          <w:sz w:val="20"/>
        </w:rPr>
        <w:footnoteRef/>
      </w:r>
      <w:r w:rsidRPr="00AC05AA">
        <w:rPr>
          <w:sz w:val="20"/>
        </w:rPr>
        <w:t xml:space="preserve"> </w:t>
      </w:r>
      <w:r>
        <w:rPr>
          <w:sz w:val="20"/>
        </w:rPr>
        <w:t xml:space="preserve">Wright, </w:t>
      </w:r>
      <w:r w:rsidRPr="00AC05AA">
        <w:rPr>
          <w:i/>
          <w:sz w:val="20"/>
        </w:rPr>
        <w:t>Coloured Workers in Britain</w:t>
      </w:r>
      <w:r>
        <w:rPr>
          <w:i/>
          <w:sz w:val="20"/>
        </w:rPr>
        <w:t>,</w:t>
      </w:r>
      <w:r w:rsidRPr="00AC05AA">
        <w:rPr>
          <w:i/>
          <w:sz w:val="20"/>
        </w:rPr>
        <w:t xml:space="preserve"> </w:t>
      </w:r>
      <w:r w:rsidRPr="00AC05AA">
        <w:rPr>
          <w:sz w:val="20"/>
        </w:rPr>
        <w:t>211</w:t>
      </w:r>
      <w:r>
        <w:rPr>
          <w:sz w:val="20"/>
        </w:rPr>
        <w:t>.</w:t>
      </w:r>
    </w:p>
  </w:footnote>
  <w:footnote w:id="21">
    <w:p w:rsidR="00EF6B78" w:rsidRPr="007A2780" w:rsidRDefault="00EF6B78">
      <w:pPr>
        <w:pStyle w:val="FootnoteText"/>
        <w:rPr>
          <w:sz w:val="20"/>
        </w:rPr>
      </w:pPr>
      <w:r w:rsidRPr="007A2780">
        <w:rPr>
          <w:rStyle w:val="FootnoteReference"/>
          <w:sz w:val="20"/>
        </w:rPr>
        <w:footnoteRef/>
      </w:r>
      <w:r w:rsidRPr="007A2780">
        <w:rPr>
          <w:sz w:val="20"/>
        </w:rPr>
        <w:t xml:space="preserve"> </w:t>
      </w:r>
      <w:r>
        <w:rPr>
          <w:sz w:val="20"/>
        </w:rPr>
        <w:t>Collins, “</w:t>
      </w:r>
      <w:r w:rsidRPr="007A2780">
        <w:rPr>
          <w:sz w:val="20"/>
        </w:rPr>
        <w:t>Pride prejudice</w:t>
      </w:r>
      <w:r>
        <w:rPr>
          <w:sz w:val="20"/>
        </w:rPr>
        <w:t>,”</w:t>
      </w:r>
      <w:r w:rsidRPr="007A2780">
        <w:rPr>
          <w:sz w:val="20"/>
        </w:rPr>
        <w:t xml:space="preserve"> 402</w:t>
      </w:r>
      <w:r>
        <w:rPr>
          <w:sz w:val="20"/>
        </w:rPr>
        <w:t>.</w:t>
      </w:r>
    </w:p>
  </w:footnote>
  <w:footnote w:id="22">
    <w:p w:rsidR="00EF6B78" w:rsidRDefault="00EF6B78">
      <w:pPr>
        <w:pStyle w:val="FootnoteText"/>
      </w:pPr>
      <w:r w:rsidRPr="007A2780">
        <w:rPr>
          <w:rStyle w:val="FootnoteReference"/>
          <w:sz w:val="20"/>
        </w:rPr>
        <w:footnoteRef/>
      </w:r>
      <w:r w:rsidRPr="007A2780">
        <w:rPr>
          <w:sz w:val="20"/>
        </w:rPr>
        <w:t xml:space="preserve"> </w:t>
      </w:r>
      <w:r>
        <w:rPr>
          <w:sz w:val="20"/>
        </w:rPr>
        <w:t>Collins, “</w:t>
      </w:r>
      <w:r w:rsidRPr="007A2780">
        <w:rPr>
          <w:sz w:val="20"/>
        </w:rPr>
        <w:t>Pride and prejudice</w:t>
      </w:r>
      <w:r>
        <w:rPr>
          <w:sz w:val="20"/>
        </w:rPr>
        <w:t>,</w:t>
      </w:r>
      <w:r w:rsidRPr="007A2780">
        <w:rPr>
          <w:sz w:val="20"/>
        </w:rPr>
        <w:t xml:space="preserve"> 402</w:t>
      </w:r>
      <w:r>
        <w:rPr>
          <w:sz w:val="20"/>
        </w:rPr>
        <w:t>.</w:t>
      </w:r>
    </w:p>
  </w:footnote>
  <w:footnote w:id="23">
    <w:p w:rsidR="00EF6B78" w:rsidRPr="00AD07A4" w:rsidRDefault="00EF6B78">
      <w:pPr>
        <w:pStyle w:val="FootnoteText"/>
        <w:rPr>
          <w:i/>
          <w:sz w:val="20"/>
        </w:rPr>
      </w:pPr>
      <w:r w:rsidRPr="00AD07A4">
        <w:rPr>
          <w:rStyle w:val="FootnoteReference"/>
          <w:sz w:val="20"/>
        </w:rPr>
        <w:footnoteRef/>
      </w:r>
      <w:r w:rsidRPr="00AD07A4">
        <w:rPr>
          <w:sz w:val="20"/>
        </w:rPr>
        <w:t xml:space="preserve"> </w:t>
      </w:r>
      <w:r>
        <w:rPr>
          <w:sz w:val="20"/>
        </w:rPr>
        <w:t xml:space="preserve">Pilkington, </w:t>
      </w:r>
      <w:r w:rsidRPr="00AD07A4">
        <w:rPr>
          <w:i/>
          <w:sz w:val="20"/>
        </w:rPr>
        <w:t>Beyond the mother country</w:t>
      </w:r>
      <w:r>
        <w:rPr>
          <w:i/>
          <w:sz w:val="20"/>
        </w:rPr>
        <w:t>,</w:t>
      </w:r>
      <w:r w:rsidRPr="00AD07A4">
        <w:rPr>
          <w:i/>
          <w:sz w:val="20"/>
        </w:rPr>
        <w:t xml:space="preserve"> </w:t>
      </w:r>
      <w:r w:rsidRPr="00AD07A4">
        <w:rPr>
          <w:sz w:val="20"/>
        </w:rPr>
        <w:t>89</w:t>
      </w:r>
      <w:r>
        <w:rPr>
          <w:sz w:val="20"/>
        </w:rPr>
        <w:t>.</w:t>
      </w:r>
    </w:p>
  </w:footnote>
  <w:footnote w:id="24">
    <w:p w:rsidR="00EF6B78" w:rsidRPr="00BF2F98" w:rsidRDefault="00EF6B78" w:rsidP="006E7164">
      <w:pPr>
        <w:pStyle w:val="FootnoteText"/>
        <w:rPr>
          <w:sz w:val="20"/>
        </w:rPr>
      </w:pPr>
      <w:r w:rsidRPr="00BF2F98">
        <w:rPr>
          <w:rStyle w:val="FootnoteReference"/>
          <w:sz w:val="20"/>
        </w:rPr>
        <w:footnoteRef/>
      </w:r>
      <w:r w:rsidRPr="00BF2F98">
        <w:rPr>
          <w:sz w:val="20"/>
        </w:rPr>
        <w:t xml:space="preserve"> </w:t>
      </w:r>
      <w:r>
        <w:rPr>
          <w:sz w:val="20"/>
        </w:rPr>
        <w:t xml:space="preserve">Paul Gilroy, </w:t>
      </w:r>
      <w:r>
        <w:rPr>
          <w:i/>
          <w:sz w:val="20"/>
        </w:rPr>
        <w:t>‘There ain’t no black in the Union Jack’: the Cultural Politics of Race and Nation</w:t>
      </w:r>
      <w:r>
        <w:rPr>
          <w:sz w:val="20"/>
        </w:rPr>
        <w:t>, (Chicago: University of Chicago Press, 1991),</w:t>
      </w:r>
      <w:r w:rsidRPr="00BF2F98">
        <w:rPr>
          <w:sz w:val="20"/>
        </w:rPr>
        <w:t xml:space="preserve"> 80</w:t>
      </w:r>
      <w:r>
        <w:rPr>
          <w:sz w:val="20"/>
        </w:rPr>
        <w:t>.</w:t>
      </w:r>
    </w:p>
  </w:footnote>
  <w:footnote w:id="25">
    <w:p w:rsidR="00EF6B78" w:rsidRPr="00BF2F98" w:rsidRDefault="00EF6B78">
      <w:pPr>
        <w:pStyle w:val="FootnoteText"/>
        <w:rPr>
          <w:sz w:val="20"/>
        </w:rPr>
      </w:pPr>
      <w:r w:rsidRPr="00BF2F98">
        <w:rPr>
          <w:rStyle w:val="FootnoteReference"/>
          <w:sz w:val="20"/>
        </w:rPr>
        <w:footnoteRef/>
      </w:r>
      <w:r w:rsidRPr="00BF2F98">
        <w:rPr>
          <w:sz w:val="20"/>
        </w:rPr>
        <w:t xml:space="preserve"> </w:t>
      </w:r>
      <w:r>
        <w:rPr>
          <w:sz w:val="20"/>
        </w:rPr>
        <w:t xml:space="preserve">Pilkington, </w:t>
      </w:r>
      <w:r w:rsidRPr="00A82525">
        <w:rPr>
          <w:i/>
          <w:sz w:val="20"/>
        </w:rPr>
        <w:t>Beyond the mother country</w:t>
      </w:r>
      <w:r>
        <w:rPr>
          <w:sz w:val="20"/>
        </w:rPr>
        <w:t>,</w:t>
      </w:r>
      <w:r w:rsidRPr="00BF2F98">
        <w:rPr>
          <w:sz w:val="20"/>
        </w:rPr>
        <w:t xml:space="preserve"> 92</w:t>
      </w:r>
      <w:r>
        <w:rPr>
          <w:sz w:val="20"/>
        </w:rPr>
        <w:t>.</w:t>
      </w:r>
    </w:p>
  </w:footnote>
  <w:footnote w:id="26">
    <w:p w:rsidR="00EF6B78" w:rsidRPr="00FC17B8" w:rsidRDefault="00EF6B78">
      <w:pPr>
        <w:pStyle w:val="FootnoteText"/>
        <w:rPr>
          <w:sz w:val="20"/>
        </w:rPr>
      </w:pPr>
      <w:r w:rsidRPr="00FC17B8">
        <w:rPr>
          <w:rStyle w:val="FootnoteReference"/>
          <w:sz w:val="20"/>
        </w:rPr>
        <w:footnoteRef/>
      </w:r>
      <w:r w:rsidRPr="00FC17B8">
        <w:rPr>
          <w:sz w:val="20"/>
        </w:rPr>
        <w:t xml:space="preserve"> </w:t>
      </w:r>
      <w:r>
        <w:rPr>
          <w:sz w:val="20"/>
        </w:rPr>
        <w:t xml:space="preserve">Pilkington, </w:t>
      </w:r>
      <w:r w:rsidRPr="00A82525">
        <w:rPr>
          <w:i/>
          <w:sz w:val="20"/>
        </w:rPr>
        <w:t>Beyond mother country</w:t>
      </w:r>
      <w:r>
        <w:rPr>
          <w:i/>
          <w:sz w:val="20"/>
        </w:rPr>
        <w:t>,</w:t>
      </w:r>
      <w:r w:rsidRPr="00FC17B8">
        <w:rPr>
          <w:sz w:val="20"/>
        </w:rPr>
        <w:t xml:space="preserve"> 94</w:t>
      </w:r>
      <w:r>
        <w:rPr>
          <w:sz w:val="20"/>
        </w:rPr>
        <w:t>.</w:t>
      </w:r>
    </w:p>
  </w:footnote>
  <w:footnote w:id="27">
    <w:p w:rsidR="00EF6B78" w:rsidRPr="00E24C6A" w:rsidRDefault="00EF6B78">
      <w:pPr>
        <w:pStyle w:val="FootnoteText"/>
        <w:rPr>
          <w:sz w:val="20"/>
        </w:rPr>
      </w:pPr>
      <w:r w:rsidRPr="00E24C6A">
        <w:rPr>
          <w:rStyle w:val="FootnoteReference"/>
          <w:sz w:val="20"/>
        </w:rPr>
        <w:footnoteRef/>
      </w:r>
      <w:r w:rsidRPr="00E24C6A">
        <w:rPr>
          <w:sz w:val="20"/>
        </w:rPr>
        <w:t xml:space="preserve"> </w:t>
      </w:r>
      <w:r>
        <w:rPr>
          <w:sz w:val="20"/>
        </w:rPr>
        <w:t xml:space="preserve">Pilkington, </w:t>
      </w:r>
      <w:r w:rsidRPr="00F96A35">
        <w:rPr>
          <w:i/>
          <w:sz w:val="20"/>
        </w:rPr>
        <w:t>Beyond the mother country</w:t>
      </w:r>
      <w:r>
        <w:rPr>
          <w:i/>
          <w:sz w:val="20"/>
        </w:rPr>
        <w:t>,</w:t>
      </w:r>
      <w:r w:rsidRPr="00E24C6A">
        <w:rPr>
          <w:sz w:val="20"/>
        </w:rPr>
        <w:t xml:space="preserve"> 97</w:t>
      </w:r>
      <w:r>
        <w:rPr>
          <w:sz w:val="20"/>
        </w:rPr>
        <w:t>.</w:t>
      </w:r>
    </w:p>
  </w:footnote>
  <w:footnote w:id="28">
    <w:p w:rsidR="00EF6B78" w:rsidRPr="005F482A" w:rsidRDefault="00EF6B78">
      <w:pPr>
        <w:pStyle w:val="FootnoteText"/>
        <w:rPr>
          <w:sz w:val="20"/>
        </w:rPr>
      </w:pPr>
      <w:r w:rsidRPr="005F482A">
        <w:rPr>
          <w:rStyle w:val="FootnoteReference"/>
          <w:sz w:val="20"/>
        </w:rPr>
        <w:footnoteRef/>
      </w:r>
      <w:r w:rsidRPr="005F482A">
        <w:rPr>
          <w:sz w:val="20"/>
        </w:rPr>
        <w:t xml:space="preserve"> </w:t>
      </w:r>
      <w:r>
        <w:rPr>
          <w:sz w:val="20"/>
        </w:rPr>
        <w:t xml:space="preserve">Pilkington, </w:t>
      </w:r>
      <w:r w:rsidRPr="005F482A">
        <w:rPr>
          <w:i/>
          <w:sz w:val="20"/>
        </w:rPr>
        <w:t>Beyond Mother Country</w:t>
      </w:r>
      <w:r>
        <w:rPr>
          <w:i/>
          <w:sz w:val="20"/>
        </w:rPr>
        <w:t>,</w:t>
      </w:r>
      <w:r w:rsidRPr="005F482A">
        <w:rPr>
          <w:sz w:val="20"/>
        </w:rPr>
        <w:t xml:space="preserve"> 103</w:t>
      </w:r>
      <w:r>
        <w:rPr>
          <w:sz w:val="20"/>
        </w:rPr>
        <w:t>.</w:t>
      </w:r>
    </w:p>
  </w:footnote>
  <w:footnote w:id="29">
    <w:p w:rsidR="00EF6B78" w:rsidRPr="00785BE2" w:rsidRDefault="00EF6B78" w:rsidP="00130F2F">
      <w:pPr>
        <w:pStyle w:val="FootnoteText"/>
        <w:rPr>
          <w:sz w:val="20"/>
        </w:rPr>
      </w:pPr>
      <w:r w:rsidRPr="00785BE2">
        <w:rPr>
          <w:rStyle w:val="FootnoteReference"/>
          <w:sz w:val="20"/>
        </w:rPr>
        <w:footnoteRef/>
      </w:r>
      <w:r w:rsidRPr="00785BE2">
        <w:rPr>
          <w:sz w:val="20"/>
        </w:rPr>
        <w:t xml:space="preserve"> </w:t>
      </w:r>
      <w:r>
        <w:rPr>
          <w:sz w:val="20"/>
        </w:rPr>
        <w:t xml:space="preserve">Pilkington, </w:t>
      </w:r>
      <w:r w:rsidRPr="00595F56">
        <w:rPr>
          <w:i/>
          <w:sz w:val="20"/>
        </w:rPr>
        <w:t>Beyond the mother country</w:t>
      </w:r>
      <w:r>
        <w:rPr>
          <w:i/>
          <w:sz w:val="20"/>
        </w:rPr>
        <w:t>,</w:t>
      </w:r>
      <w:r w:rsidRPr="00785BE2">
        <w:rPr>
          <w:sz w:val="20"/>
        </w:rPr>
        <w:t xml:space="preserve"> 121</w:t>
      </w:r>
      <w:r>
        <w:rPr>
          <w:sz w:val="20"/>
        </w:rPr>
        <w:t>.</w:t>
      </w:r>
    </w:p>
  </w:footnote>
  <w:footnote w:id="30">
    <w:p w:rsidR="00EF6B78" w:rsidRPr="00FD7414" w:rsidRDefault="00EF6B78" w:rsidP="00130F2F">
      <w:pPr>
        <w:pStyle w:val="FootnoteText"/>
        <w:rPr>
          <w:sz w:val="20"/>
        </w:rPr>
      </w:pPr>
      <w:r w:rsidRPr="00FD7414">
        <w:rPr>
          <w:rStyle w:val="FootnoteReference"/>
          <w:sz w:val="20"/>
        </w:rPr>
        <w:footnoteRef/>
      </w:r>
      <w:r w:rsidRPr="00FD7414">
        <w:rPr>
          <w:sz w:val="20"/>
        </w:rPr>
        <w:t xml:space="preserve"> </w:t>
      </w:r>
      <w:r>
        <w:rPr>
          <w:sz w:val="20"/>
        </w:rPr>
        <w:t xml:space="preserve">Pilkington, </w:t>
      </w:r>
      <w:r w:rsidRPr="00FD7414">
        <w:rPr>
          <w:i/>
          <w:sz w:val="20"/>
        </w:rPr>
        <w:t>Beyond the mother country</w:t>
      </w:r>
      <w:r>
        <w:rPr>
          <w:i/>
          <w:sz w:val="20"/>
        </w:rPr>
        <w:t>,</w:t>
      </w:r>
      <w:r w:rsidRPr="00FD7414">
        <w:rPr>
          <w:i/>
          <w:sz w:val="20"/>
        </w:rPr>
        <w:t xml:space="preserve"> </w:t>
      </w:r>
      <w:r w:rsidRPr="00FD7414">
        <w:rPr>
          <w:sz w:val="20"/>
        </w:rPr>
        <w:t>107</w:t>
      </w:r>
      <w:r>
        <w:rPr>
          <w:sz w:val="20"/>
        </w:rPr>
        <w:t>.</w:t>
      </w:r>
    </w:p>
  </w:footnote>
  <w:footnote w:id="31">
    <w:p w:rsidR="00EF6B78" w:rsidRPr="00E56B4D" w:rsidRDefault="00EF6B78" w:rsidP="00130F2F">
      <w:pPr>
        <w:pStyle w:val="FootnoteText"/>
      </w:pPr>
      <w:r w:rsidRPr="00E56B4D">
        <w:rPr>
          <w:rStyle w:val="FootnoteReference"/>
          <w:sz w:val="20"/>
        </w:rPr>
        <w:footnoteRef/>
      </w:r>
      <w:r w:rsidRPr="00E56B4D">
        <w:rPr>
          <w:sz w:val="20"/>
        </w:rPr>
        <w:t xml:space="preserve"> </w:t>
      </w:r>
      <w:r>
        <w:rPr>
          <w:sz w:val="20"/>
        </w:rPr>
        <w:t xml:space="preserve">T.R. </w:t>
      </w:r>
      <w:r w:rsidRPr="00E56B4D">
        <w:rPr>
          <w:sz w:val="20"/>
        </w:rPr>
        <w:t>Fyvel</w:t>
      </w:r>
      <w:r>
        <w:rPr>
          <w:sz w:val="20"/>
        </w:rPr>
        <w:t>,</w:t>
      </w:r>
      <w:r w:rsidRPr="00E56B4D">
        <w:rPr>
          <w:sz w:val="20"/>
        </w:rPr>
        <w:t xml:space="preserve"> </w:t>
      </w:r>
      <w:r w:rsidRPr="00E56B4D">
        <w:rPr>
          <w:i/>
          <w:sz w:val="20"/>
        </w:rPr>
        <w:t>Troublemakers</w:t>
      </w:r>
      <w:r>
        <w:rPr>
          <w:i/>
          <w:sz w:val="20"/>
        </w:rPr>
        <w:t>; rebellious youth in an affluent society</w:t>
      </w:r>
      <w:r>
        <w:rPr>
          <w:sz w:val="20"/>
        </w:rPr>
        <w:t>, (New York: Schocken Books, 1962),</w:t>
      </w:r>
      <w:r w:rsidRPr="00E56B4D">
        <w:rPr>
          <w:sz w:val="20"/>
        </w:rPr>
        <w:t xml:space="preserve"> 62</w:t>
      </w:r>
      <w:r>
        <w:rPr>
          <w:sz w:val="20"/>
        </w:rPr>
        <w:t>.</w:t>
      </w:r>
    </w:p>
  </w:footnote>
  <w:footnote w:id="32">
    <w:p w:rsidR="00EF6B78" w:rsidRPr="005F236B" w:rsidRDefault="00EF6B78" w:rsidP="00130F2F">
      <w:pPr>
        <w:pStyle w:val="FootnoteText"/>
        <w:rPr>
          <w:sz w:val="20"/>
        </w:rPr>
      </w:pPr>
      <w:r w:rsidRPr="005F236B">
        <w:rPr>
          <w:rStyle w:val="FootnoteReference"/>
          <w:sz w:val="20"/>
        </w:rPr>
        <w:footnoteRef/>
      </w:r>
      <w:r w:rsidRPr="005F236B">
        <w:rPr>
          <w:sz w:val="20"/>
        </w:rPr>
        <w:t xml:space="preserve"> </w:t>
      </w:r>
      <w:r>
        <w:rPr>
          <w:sz w:val="20"/>
        </w:rPr>
        <w:t xml:space="preserve">Pilkington, </w:t>
      </w:r>
      <w:r w:rsidRPr="00595F56">
        <w:rPr>
          <w:i/>
          <w:sz w:val="20"/>
        </w:rPr>
        <w:t>B</w:t>
      </w:r>
      <w:r>
        <w:rPr>
          <w:i/>
          <w:sz w:val="20"/>
        </w:rPr>
        <w:t>e</w:t>
      </w:r>
      <w:r w:rsidRPr="00595F56">
        <w:rPr>
          <w:i/>
          <w:sz w:val="20"/>
        </w:rPr>
        <w:t>yond the mother country</w:t>
      </w:r>
      <w:r>
        <w:rPr>
          <w:i/>
          <w:sz w:val="20"/>
        </w:rPr>
        <w:t>,</w:t>
      </w:r>
      <w:r w:rsidRPr="005F236B">
        <w:rPr>
          <w:sz w:val="20"/>
        </w:rPr>
        <w:t xml:space="preserve"> 120</w:t>
      </w:r>
      <w:r>
        <w:rPr>
          <w:sz w:val="20"/>
        </w:rPr>
        <w:t>.</w:t>
      </w:r>
    </w:p>
  </w:footnote>
  <w:footnote w:id="33">
    <w:p w:rsidR="00EF6B78" w:rsidRDefault="00EF6B78" w:rsidP="00130F2F">
      <w:pPr>
        <w:pStyle w:val="FootnoteText"/>
      </w:pPr>
      <w:r w:rsidRPr="005F236B">
        <w:rPr>
          <w:rStyle w:val="FootnoteReference"/>
          <w:sz w:val="20"/>
        </w:rPr>
        <w:footnoteRef/>
      </w:r>
      <w:r w:rsidRPr="005F236B">
        <w:rPr>
          <w:sz w:val="20"/>
        </w:rPr>
        <w:t xml:space="preserve"> </w:t>
      </w:r>
      <w:r>
        <w:rPr>
          <w:sz w:val="20"/>
        </w:rPr>
        <w:t xml:space="preserve">Pilkington, </w:t>
      </w:r>
      <w:r w:rsidRPr="00595F56">
        <w:rPr>
          <w:i/>
          <w:sz w:val="20"/>
        </w:rPr>
        <w:t>Beyond the mother country</w:t>
      </w:r>
      <w:r>
        <w:rPr>
          <w:i/>
          <w:sz w:val="20"/>
        </w:rPr>
        <w:t>,</w:t>
      </w:r>
      <w:r w:rsidRPr="005F236B">
        <w:rPr>
          <w:sz w:val="20"/>
        </w:rPr>
        <w:t xml:space="preserve"> 119-120</w:t>
      </w:r>
      <w:r>
        <w:rPr>
          <w:sz w:val="20"/>
        </w:rPr>
        <w:t>.</w:t>
      </w:r>
    </w:p>
  </w:footnote>
  <w:footnote w:id="34">
    <w:p w:rsidR="00EF6B78" w:rsidRPr="008F0FE3" w:rsidRDefault="00EF6B78" w:rsidP="00130F2F">
      <w:pPr>
        <w:pStyle w:val="FootnoteText"/>
        <w:rPr>
          <w:sz w:val="20"/>
        </w:rPr>
      </w:pPr>
      <w:r w:rsidRPr="008F0FE3">
        <w:rPr>
          <w:rStyle w:val="FootnoteReference"/>
          <w:sz w:val="20"/>
        </w:rPr>
        <w:footnoteRef/>
      </w:r>
      <w:r w:rsidRPr="008F0FE3">
        <w:rPr>
          <w:sz w:val="20"/>
        </w:rPr>
        <w:t xml:space="preserve"> </w:t>
      </w:r>
      <w:r>
        <w:rPr>
          <w:sz w:val="20"/>
        </w:rPr>
        <w:t xml:space="preserve">Pilkington, </w:t>
      </w:r>
      <w:r w:rsidRPr="002550AC">
        <w:rPr>
          <w:i/>
          <w:sz w:val="20"/>
        </w:rPr>
        <w:t>Beyond the mother country</w:t>
      </w:r>
      <w:r>
        <w:rPr>
          <w:i/>
          <w:sz w:val="20"/>
        </w:rPr>
        <w:t>,</w:t>
      </w:r>
      <w:r w:rsidRPr="008F0FE3">
        <w:rPr>
          <w:sz w:val="20"/>
        </w:rPr>
        <w:t xml:space="preserve"> 123</w:t>
      </w:r>
      <w:r>
        <w:rPr>
          <w:sz w:val="20"/>
        </w:rPr>
        <w:t>.</w:t>
      </w:r>
    </w:p>
  </w:footnote>
  <w:footnote w:id="35">
    <w:p w:rsidR="00EF6B78" w:rsidRDefault="00EF6B78" w:rsidP="006738B5">
      <w:pPr>
        <w:pStyle w:val="FootnoteText"/>
      </w:pPr>
      <w:r w:rsidRPr="007D4659">
        <w:rPr>
          <w:rStyle w:val="FootnoteReference"/>
          <w:sz w:val="20"/>
        </w:rPr>
        <w:footnoteRef/>
      </w:r>
      <w:r w:rsidRPr="007D4659">
        <w:rPr>
          <w:sz w:val="20"/>
        </w:rPr>
        <w:t xml:space="preserve"> </w:t>
      </w:r>
      <w:r>
        <w:rPr>
          <w:sz w:val="20"/>
        </w:rPr>
        <w:t>Collins, “</w:t>
      </w:r>
      <w:r w:rsidRPr="007D4659">
        <w:rPr>
          <w:sz w:val="20"/>
        </w:rPr>
        <w:t>pride and prejudice</w:t>
      </w:r>
      <w:r>
        <w:rPr>
          <w:sz w:val="20"/>
        </w:rPr>
        <w:t>,”</w:t>
      </w:r>
      <w:r w:rsidRPr="007D4659">
        <w:rPr>
          <w:sz w:val="20"/>
        </w:rPr>
        <w:t xml:space="preserve"> 411</w:t>
      </w:r>
      <w:r>
        <w:rPr>
          <w:sz w:val="20"/>
        </w:rPr>
        <w:t>.</w:t>
      </w:r>
    </w:p>
  </w:footnote>
  <w:footnote w:id="36">
    <w:p w:rsidR="00EF6B78" w:rsidRPr="00CF55FD" w:rsidRDefault="00EF6B78" w:rsidP="006738B5">
      <w:pPr>
        <w:pStyle w:val="FootnoteText"/>
        <w:rPr>
          <w:sz w:val="20"/>
        </w:rPr>
      </w:pPr>
      <w:r w:rsidRPr="00CF55FD">
        <w:rPr>
          <w:rStyle w:val="FootnoteReference"/>
          <w:sz w:val="20"/>
        </w:rPr>
        <w:footnoteRef/>
      </w:r>
      <w:r w:rsidRPr="00CF55FD">
        <w:rPr>
          <w:sz w:val="20"/>
        </w:rPr>
        <w:t xml:space="preserve"> </w:t>
      </w:r>
      <w:r>
        <w:rPr>
          <w:sz w:val="20"/>
        </w:rPr>
        <w:t>Collins, “</w:t>
      </w:r>
      <w:r w:rsidRPr="00CF55FD">
        <w:rPr>
          <w:sz w:val="20"/>
        </w:rPr>
        <w:t>pride and prejudice</w:t>
      </w:r>
      <w:r>
        <w:rPr>
          <w:sz w:val="20"/>
        </w:rPr>
        <w:t>,”</w:t>
      </w:r>
      <w:r w:rsidRPr="00CF55FD">
        <w:rPr>
          <w:sz w:val="20"/>
        </w:rPr>
        <w:t xml:space="preserve"> 414</w:t>
      </w:r>
      <w:r>
        <w:rPr>
          <w:sz w:val="20"/>
        </w:rPr>
        <w:t>.</w:t>
      </w:r>
    </w:p>
  </w:footnote>
  <w:footnote w:id="37">
    <w:p w:rsidR="00EF6B78" w:rsidRPr="00CF55FD" w:rsidRDefault="00EF6B78" w:rsidP="006738B5">
      <w:pPr>
        <w:pStyle w:val="FootnoteText"/>
        <w:rPr>
          <w:sz w:val="20"/>
        </w:rPr>
      </w:pPr>
      <w:r w:rsidRPr="00CF55FD">
        <w:rPr>
          <w:rStyle w:val="FootnoteReference"/>
          <w:sz w:val="20"/>
        </w:rPr>
        <w:footnoteRef/>
      </w:r>
      <w:r w:rsidRPr="00CF55FD">
        <w:rPr>
          <w:sz w:val="20"/>
        </w:rPr>
        <w:t xml:space="preserve"> </w:t>
      </w:r>
      <w:r>
        <w:rPr>
          <w:sz w:val="20"/>
        </w:rPr>
        <w:t>Collins, “</w:t>
      </w:r>
      <w:r w:rsidRPr="00CF55FD">
        <w:rPr>
          <w:sz w:val="20"/>
        </w:rPr>
        <w:t>pride and prejudice</w:t>
      </w:r>
      <w:r>
        <w:rPr>
          <w:sz w:val="20"/>
        </w:rPr>
        <w:t>”</w:t>
      </w:r>
      <w:r w:rsidRPr="00CF55FD">
        <w:rPr>
          <w:sz w:val="20"/>
        </w:rPr>
        <w:t xml:space="preserve"> 415</w:t>
      </w:r>
      <w:r>
        <w:rPr>
          <w:sz w:val="20"/>
        </w:rPr>
        <w:t>.</w:t>
      </w:r>
    </w:p>
  </w:footnote>
  <w:footnote w:id="38">
    <w:p w:rsidR="00EF6B78" w:rsidRPr="00266666" w:rsidRDefault="00EF6B78">
      <w:pPr>
        <w:pStyle w:val="FootnoteText"/>
        <w:rPr>
          <w:sz w:val="20"/>
        </w:rPr>
      </w:pPr>
      <w:r w:rsidRPr="00266666">
        <w:rPr>
          <w:rStyle w:val="FootnoteReference"/>
          <w:sz w:val="20"/>
        </w:rPr>
        <w:footnoteRef/>
      </w:r>
      <w:r w:rsidRPr="00266666">
        <w:rPr>
          <w:sz w:val="20"/>
        </w:rPr>
        <w:t xml:space="preserve"> Collins, “pride and prejudice,” 415.</w:t>
      </w:r>
    </w:p>
  </w:footnote>
  <w:footnote w:id="39">
    <w:p w:rsidR="00EF6B78" w:rsidRPr="006126FD" w:rsidRDefault="00EF6B78" w:rsidP="006738B5">
      <w:pPr>
        <w:pStyle w:val="FootnoteText"/>
        <w:rPr>
          <w:sz w:val="20"/>
        </w:rPr>
      </w:pPr>
      <w:r w:rsidRPr="006126FD">
        <w:rPr>
          <w:rStyle w:val="FootnoteReference"/>
          <w:sz w:val="20"/>
        </w:rPr>
        <w:footnoteRef/>
      </w:r>
      <w:r w:rsidRPr="006126FD">
        <w:rPr>
          <w:sz w:val="20"/>
        </w:rPr>
        <w:t xml:space="preserve"> </w:t>
      </w:r>
      <w:r>
        <w:rPr>
          <w:sz w:val="20"/>
        </w:rPr>
        <w:t xml:space="preserve">Roy Sawh, </w:t>
      </w:r>
      <w:r w:rsidRPr="006126FD">
        <w:rPr>
          <w:i/>
          <w:sz w:val="20"/>
        </w:rPr>
        <w:t>From Where I Stand,</w:t>
      </w:r>
      <w:r>
        <w:rPr>
          <w:sz w:val="20"/>
        </w:rPr>
        <w:t xml:space="preserve"> (London: Hnsib, 1987),</w:t>
      </w:r>
      <w:r w:rsidRPr="006126FD">
        <w:rPr>
          <w:i/>
          <w:sz w:val="20"/>
        </w:rPr>
        <w:t xml:space="preserve"> </w:t>
      </w:r>
      <w:r w:rsidRPr="006126FD">
        <w:rPr>
          <w:sz w:val="20"/>
        </w:rPr>
        <w:t>86</w:t>
      </w:r>
      <w:r>
        <w:rPr>
          <w:sz w:val="20"/>
        </w:rPr>
        <w:t>.</w:t>
      </w:r>
    </w:p>
  </w:footnote>
  <w:footnote w:id="40">
    <w:p w:rsidR="00EF6B78" w:rsidRPr="006126FD" w:rsidRDefault="00EF6B78" w:rsidP="006738B5">
      <w:pPr>
        <w:pStyle w:val="FootnoteText"/>
        <w:rPr>
          <w:sz w:val="20"/>
        </w:rPr>
      </w:pPr>
      <w:r w:rsidRPr="006126FD">
        <w:rPr>
          <w:rStyle w:val="FootnoteReference"/>
          <w:sz w:val="20"/>
        </w:rPr>
        <w:footnoteRef/>
      </w:r>
      <w:r>
        <w:rPr>
          <w:sz w:val="20"/>
        </w:rPr>
        <w:t xml:space="preserve">Sawh, </w:t>
      </w:r>
      <w:r>
        <w:rPr>
          <w:i/>
          <w:sz w:val="20"/>
        </w:rPr>
        <w:t>From Where I Stand</w:t>
      </w:r>
      <w:r>
        <w:rPr>
          <w:sz w:val="20"/>
        </w:rPr>
        <w:t>,</w:t>
      </w:r>
      <w:r w:rsidRPr="006126FD">
        <w:rPr>
          <w:sz w:val="20"/>
        </w:rPr>
        <w:t xml:space="preserve"> 89</w:t>
      </w:r>
      <w:r>
        <w:rPr>
          <w:sz w:val="20"/>
        </w:rPr>
        <w:t>.</w:t>
      </w:r>
    </w:p>
  </w:footnote>
  <w:footnote w:id="41">
    <w:p w:rsidR="00EF6B78" w:rsidRPr="00616C11" w:rsidRDefault="00EF6B78" w:rsidP="006738B5">
      <w:pPr>
        <w:pStyle w:val="FootnoteText"/>
        <w:rPr>
          <w:i/>
        </w:rPr>
      </w:pPr>
      <w:r w:rsidRPr="006126FD">
        <w:rPr>
          <w:rStyle w:val="FootnoteReference"/>
          <w:sz w:val="20"/>
        </w:rPr>
        <w:footnoteRef/>
      </w:r>
      <w:r w:rsidRPr="006126FD">
        <w:rPr>
          <w:sz w:val="20"/>
        </w:rPr>
        <w:t xml:space="preserve"> </w:t>
      </w:r>
      <w:r>
        <w:rPr>
          <w:sz w:val="20"/>
        </w:rPr>
        <w:t xml:space="preserve">Sawh, </w:t>
      </w:r>
      <w:r w:rsidRPr="006126FD">
        <w:rPr>
          <w:i/>
          <w:sz w:val="20"/>
        </w:rPr>
        <w:t>From where I stand</w:t>
      </w:r>
      <w:r>
        <w:rPr>
          <w:i/>
          <w:sz w:val="20"/>
        </w:rPr>
        <w:t>,</w:t>
      </w:r>
      <w:r w:rsidRPr="006126FD">
        <w:rPr>
          <w:i/>
          <w:sz w:val="20"/>
        </w:rPr>
        <w:t xml:space="preserve"> </w:t>
      </w:r>
      <w:r w:rsidRPr="006126FD">
        <w:rPr>
          <w:sz w:val="20"/>
        </w:rPr>
        <w:t>89-90</w:t>
      </w:r>
    </w:p>
  </w:footnote>
  <w:footnote w:id="42">
    <w:p w:rsidR="00EF6B78" w:rsidRPr="00C9741F" w:rsidRDefault="00EF6B78">
      <w:pPr>
        <w:pStyle w:val="FootnoteText"/>
        <w:rPr>
          <w:sz w:val="20"/>
        </w:rPr>
      </w:pPr>
      <w:r w:rsidRPr="00C9741F">
        <w:rPr>
          <w:rStyle w:val="FootnoteReference"/>
          <w:sz w:val="20"/>
        </w:rPr>
        <w:footnoteRef/>
      </w:r>
      <w:r w:rsidRPr="00C9741F">
        <w:rPr>
          <w:sz w:val="20"/>
        </w:rPr>
        <w:t xml:space="preserve"> </w:t>
      </w:r>
      <w:r w:rsidR="005D6FB2">
        <w:rPr>
          <w:sz w:val="20"/>
        </w:rPr>
        <w:fldChar w:fldCharType="begin"/>
      </w:r>
      <w:r>
        <w:rPr>
          <w:sz w:val="20"/>
        </w:rPr>
        <w:instrText xml:space="preserve"> ADDIN ZOTERO_ITEM {"citationItems":[{"uri":["http://zotero.org/users/424347/items/5X5NI9EA"]}]} </w:instrText>
      </w:r>
      <w:r w:rsidR="005D6FB2">
        <w:rPr>
          <w:sz w:val="20"/>
        </w:rPr>
        <w:fldChar w:fldCharType="separate"/>
      </w:r>
      <w:r w:rsidRPr="0036698A">
        <w:rPr>
          <w:rFonts w:ascii="Cambria" w:eastAsia="Times New Roman" w:cs="Times New Roman"/>
          <w:color w:val="000000"/>
          <w:sz w:val="20"/>
        </w:rPr>
        <w:t xml:space="preserve">Enoch Powell, “Enoch Powell's 'Rivers of Blood' speech,” </w:t>
      </w:r>
      <w:r w:rsidRPr="0036698A">
        <w:rPr>
          <w:rFonts w:ascii="Cambria" w:eastAsia="Times New Roman" w:cs="Times New Roman"/>
          <w:i/>
          <w:iCs/>
          <w:color w:val="000000"/>
          <w:sz w:val="20"/>
        </w:rPr>
        <w:t>Telegraph.co.uk</w:t>
      </w:r>
      <w:r w:rsidRPr="0036698A">
        <w:rPr>
          <w:rFonts w:ascii="Cambria" w:eastAsia="Times New Roman" w:cs="Times New Roman"/>
          <w:color w:val="000000"/>
          <w:sz w:val="20"/>
        </w:rPr>
        <w:t>, http://www.telegraph.co.uk/comment/3643823/Enoch-Powells-Rivers-of-Blood-speech.html.</w:t>
      </w:r>
      <w:r w:rsidR="005D6FB2">
        <w:rPr>
          <w:sz w:val="20"/>
        </w:rPr>
        <w:fldChar w:fldCharType="end"/>
      </w:r>
      <w:fldSimple w:instr=" PRINTDATE  \* MERGEFORMAT ">
        <w:r>
          <w:rPr>
            <w:noProof/>
            <w:sz w:val="20"/>
          </w:rPr>
          <w:t>0/0/00 0:00 AM</w:t>
        </w:r>
      </w:fldSimple>
    </w:p>
  </w:footnote>
  <w:footnote w:id="43">
    <w:p w:rsidR="00EF6B78" w:rsidRPr="00C9741F" w:rsidRDefault="00EF6B78">
      <w:pPr>
        <w:pStyle w:val="FootnoteText"/>
        <w:rPr>
          <w:sz w:val="20"/>
        </w:rPr>
      </w:pPr>
      <w:r w:rsidRPr="00C9741F">
        <w:rPr>
          <w:rStyle w:val="FootnoteReference"/>
          <w:sz w:val="20"/>
        </w:rPr>
        <w:footnoteRef/>
      </w:r>
      <w:r w:rsidRPr="00C9741F">
        <w:rPr>
          <w:sz w:val="20"/>
        </w:rPr>
        <w:t>Powell</w:t>
      </w:r>
      <w:r>
        <w:rPr>
          <w:sz w:val="20"/>
        </w:rPr>
        <w:t>, “Rivers of Blood Speech.”</w:t>
      </w:r>
    </w:p>
  </w:footnote>
  <w:footnote w:id="44">
    <w:p w:rsidR="00EF6B78" w:rsidRDefault="00EF6B78">
      <w:pPr>
        <w:pStyle w:val="FootnoteText"/>
      </w:pPr>
      <w:r w:rsidRPr="00C9741F">
        <w:rPr>
          <w:rStyle w:val="FootnoteReference"/>
          <w:sz w:val="20"/>
        </w:rPr>
        <w:footnoteRef/>
      </w:r>
      <w:r>
        <w:rPr>
          <w:sz w:val="20"/>
        </w:rPr>
        <w:t xml:space="preserve"> </w:t>
      </w:r>
      <w:r w:rsidRPr="00C9741F">
        <w:rPr>
          <w:sz w:val="20"/>
        </w:rPr>
        <w:t>Powell</w:t>
      </w:r>
      <w:r>
        <w:rPr>
          <w:sz w:val="20"/>
        </w:rPr>
        <w:t>, “Rivers of Blood Speech.”</w:t>
      </w:r>
    </w:p>
  </w:footnote>
  <w:footnote w:id="45">
    <w:p w:rsidR="00EF6B78" w:rsidRPr="00D37C7C" w:rsidRDefault="00EF6B78">
      <w:pPr>
        <w:pStyle w:val="FootnoteText"/>
        <w:rPr>
          <w:sz w:val="20"/>
        </w:rPr>
      </w:pPr>
      <w:r w:rsidRPr="00D37C7C">
        <w:rPr>
          <w:rStyle w:val="FootnoteReference"/>
          <w:sz w:val="20"/>
        </w:rPr>
        <w:footnoteRef/>
      </w:r>
      <w:r w:rsidRPr="00D37C7C">
        <w:rPr>
          <w:sz w:val="20"/>
        </w:rPr>
        <w:t xml:space="preserve"> </w:t>
      </w:r>
      <w:r w:rsidRPr="00C9741F">
        <w:rPr>
          <w:sz w:val="20"/>
        </w:rPr>
        <w:t>Powell</w:t>
      </w:r>
      <w:r>
        <w:rPr>
          <w:sz w:val="20"/>
        </w:rPr>
        <w:t>, “Rivers of Blood Speech.”</w:t>
      </w:r>
    </w:p>
  </w:footnote>
  <w:footnote w:id="46">
    <w:p w:rsidR="00EF6B78" w:rsidRPr="007D4659" w:rsidRDefault="00EF6B78">
      <w:pPr>
        <w:pStyle w:val="FootnoteText"/>
        <w:rPr>
          <w:sz w:val="20"/>
        </w:rPr>
      </w:pPr>
      <w:r w:rsidRPr="007D4659">
        <w:rPr>
          <w:rStyle w:val="FootnoteReference"/>
          <w:sz w:val="20"/>
        </w:rPr>
        <w:footnoteRef/>
      </w:r>
      <w:r w:rsidRPr="007D4659">
        <w:rPr>
          <w:sz w:val="20"/>
        </w:rPr>
        <w:t xml:space="preserve"> </w:t>
      </w:r>
      <w:r w:rsidRPr="00C9741F">
        <w:rPr>
          <w:sz w:val="20"/>
        </w:rPr>
        <w:t>Powell</w:t>
      </w:r>
      <w:r>
        <w:rPr>
          <w:sz w:val="20"/>
        </w:rPr>
        <w:t>, “Rivers of Blood Speech.”</w:t>
      </w:r>
    </w:p>
  </w:footnote>
  <w:footnote w:id="47">
    <w:p w:rsidR="00EF6B78" w:rsidRDefault="00EF6B78">
      <w:pPr>
        <w:pStyle w:val="FootnoteText"/>
      </w:pPr>
      <w:r>
        <w:rPr>
          <w:rStyle w:val="FootnoteReference"/>
        </w:rPr>
        <w:footnoteRef/>
      </w:r>
      <w:r>
        <w:t xml:space="preserve"> </w:t>
      </w:r>
      <w:r w:rsidRPr="00C9741F">
        <w:rPr>
          <w:sz w:val="20"/>
        </w:rPr>
        <w:t>Powell</w:t>
      </w:r>
      <w:r>
        <w:rPr>
          <w:sz w:val="20"/>
        </w:rPr>
        <w:t>, “Rivers of Blood Speech.”</w:t>
      </w:r>
    </w:p>
  </w:footnote>
  <w:footnote w:id="48">
    <w:p w:rsidR="00EF6B78" w:rsidRPr="00EC113C" w:rsidRDefault="00EF6B78">
      <w:pPr>
        <w:pStyle w:val="FootnoteText"/>
        <w:rPr>
          <w:sz w:val="20"/>
        </w:rPr>
      </w:pPr>
      <w:r w:rsidRPr="00EC113C">
        <w:rPr>
          <w:rStyle w:val="FootnoteReference"/>
          <w:sz w:val="20"/>
        </w:rPr>
        <w:footnoteRef/>
      </w:r>
      <w:r w:rsidRPr="00EC113C">
        <w:rPr>
          <w:sz w:val="20"/>
        </w:rPr>
        <w:t xml:space="preserve"> </w:t>
      </w:r>
      <w:r>
        <w:rPr>
          <w:sz w:val="20"/>
        </w:rPr>
        <w:t>James Kay, “</w:t>
      </w:r>
      <w:r w:rsidRPr="005B7808">
        <w:rPr>
          <w:sz w:val="20"/>
        </w:rPr>
        <w:t>UK Needs</w:t>
      </w:r>
      <w:r>
        <w:rPr>
          <w:sz w:val="20"/>
        </w:rPr>
        <w:t xml:space="preserve"> a </w:t>
      </w:r>
      <w:r w:rsidRPr="005B7808">
        <w:rPr>
          <w:sz w:val="20"/>
        </w:rPr>
        <w:t>Cultural Shift</w:t>
      </w:r>
      <w:r>
        <w:rPr>
          <w:sz w:val="20"/>
        </w:rPr>
        <w:t xml:space="preserve">,” </w:t>
      </w:r>
      <w:r>
        <w:rPr>
          <w:i/>
          <w:sz w:val="20"/>
        </w:rPr>
        <w:t>Evening Post</w:t>
      </w:r>
      <w:r>
        <w:rPr>
          <w:sz w:val="20"/>
        </w:rPr>
        <w:t>, April 21, 2006, 28.</w:t>
      </w:r>
    </w:p>
  </w:footnote>
  <w:footnote w:id="49">
    <w:p w:rsidR="00EF6B78" w:rsidRPr="007D4659" w:rsidRDefault="00EF6B78">
      <w:pPr>
        <w:pStyle w:val="FootnoteText"/>
        <w:rPr>
          <w:sz w:val="20"/>
        </w:rPr>
      </w:pPr>
      <w:r w:rsidRPr="007D4659">
        <w:rPr>
          <w:rStyle w:val="FootnoteReference"/>
          <w:sz w:val="20"/>
        </w:rPr>
        <w:footnoteRef/>
      </w:r>
      <w:r w:rsidRPr="007D4659">
        <w:rPr>
          <w:sz w:val="20"/>
        </w:rPr>
        <w:t xml:space="preserve"> </w:t>
      </w:r>
      <w:r w:rsidRPr="00C9741F">
        <w:rPr>
          <w:sz w:val="20"/>
        </w:rPr>
        <w:t>Powell</w:t>
      </w:r>
      <w:r>
        <w:rPr>
          <w:sz w:val="20"/>
        </w:rPr>
        <w:t>, “Rivers of Blood Speech.”</w:t>
      </w:r>
    </w:p>
  </w:footnote>
  <w:footnote w:id="50">
    <w:p w:rsidR="00EF6B78" w:rsidRPr="00D339F4" w:rsidRDefault="00EF6B78">
      <w:pPr>
        <w:pStyle w:val="FootnoteText"/>
        <w:rPr>
          <w:sz w:val="20"/>
        </w:rPr>
      </w:pPr>
      <w:r w:rsidRPr="00D339F4">
        <w:rPr>
          <w:rStyle w:val="FootnoteReference"/>
          <w:sz w:val="20"/>
        </w:rPr>
        <w:footnoteRef/>
      </w:r>
      <w:r w:rsidRPr="00D339F4">
        <w:rPr>
          <w:sz w:val="20"/>
        </w:rPr>
        <w:t xml:space="preserve"> </w:t>
      </w:r>
      <w:r w:rsidRPr="00C9741F">
        <w:rPr>
          <w:sz w:val="20"/>
        </w:rPr>
        <w:t>Powell</w:t>
      </w:r>
      <w:r>
        <w:rPr>
          <w:sz w:val="20"/>
        </w:rPr>
        <w:t>, “Rivers of Blood Speech.”</w:t>
      </w:r>
    </w:p>
  </w:footnote>
  <w:footnote w:id="51">
    <w:p w:rsidR="00EF6B78" w:rsidRPr="009623EC" w:rsidRDefault="00EF6B78">
      <w:pPr>
        <w:pStyle w:val="FootnoteText"/>
        <w:rPr>
          <w:sz w:val="20"/>
        </w:rPr>
      </w:pPr>
      <w:r w:rsidRPr="009623EC">
        <w:rPr>
          <w:rStyle w:val="FootnoteReference"/>
          <w:sz w:val="20"/>
        </w:rPr>
        <w:footnoteRef/>
      </w:r>
      <w:r w:rsidRPr="009623EC">
        <w:rPr>
          <w:sz w:val="20"/>
        </w:rPr>
        <w:t xml:space="preserve"> Christopher Caldwell</w:t>
      </w:r>
      <w:r>
        <w:rPr>
          <w:sz w:val="20"/>
        </w:rPr>
        <w:t xml:space="preserve">, </w:t>
      </w:r>
      <w:r>
        <w:rPr>
          <w:i/>
          <w:sz w:val="20"/>
        </w:rPr>
        <w:t>Reflections on the Revolution in Europe: Immigration, Islam, and the West</w:t>
      </w:r>
      <w:r>
        <w:rPr>
          <w:sz w:val="20"/>
        </w:rPr>
        <w:t xml:space="preserve"> (New York: Doubleday, 2009),</w:t>
      </w:r>
      <w:r w:rsidRPr="009623EC">
        <w:rPr>
          <w:sz w:val="20"/>
        </w:rPr>
        <w:t xml:space="preserve"> 6</w:t>
      </w:r>
      <w:r>
        <w:rPr>
          <w:sz w:val="20"/>
        </w:rPr>
        <w:t>.</w:t>
      </w:r>
    </w:p>
  </w:footnote>
  <w:footnote w:id="52">
    <w:p w:rsidR="00EF6B78" w:rsidRPr="009F38F9" w:rsidRDefault="00EF6B78">
      <w:pPr>
        <w:pStyle w:val="FootnoteText"/>
        <w:rPr>
          <w:sz w:val="20"/>
        </w:rPr>
      </w:pPr>
      <w:r w:rsidRPr="009F38F9">
        <w:rPr>
          <w:rStyle w:val="FootnoteReference"/>
          <w:sz w:val="20"/>
        </w:rPr>
        <w:footnoteRef/>
      </w:r>
      <w:r w:rsidRPr="009F38F9">
        <w:rPr>
          <w:sz w:val="20"/>
        </w:rPr>
        <w:t xml:space="preserve"> </w:t>
      </w:r>
      <w:r>
        <w:rPr>
          <w:sz w:val="20"/>
        </w:rPr>
        <w:t xml:space="preserve">Amy Whipple, “Revisiting the ‘Rivers of Blood’ Controversy: Letters to Enoch Powell,” </w:t>
      </w:r>
      <w:r>
        <w:rPr>
          <w:i/>
          <w:sz w:val="20"/>
        </w:rPr>
        <w:t>The Journal of British Studies</w:t>
      </w:r>
      <w:r>
        <w:rPr>
          <w:sz w:val="20"/>
        </w:rPr>
        <w:t xml:space="preserve"> 48 (2009):</w:t>
      </w:r>
      <w:r w:rsidRPr="009F38F9">
        <w:rPr>
          <w:sz w:val="20"/>
        </w:rPr>
        <w:t xml:space="preserve"> 721</w:t>
      </w:r>
      <w:r>
        <w:rPr>
          <w:sz w:val="20"/>
        </w:rPr>
        <w:t>.</w:t>
      </w:r>
    </w:p>
  </w:footnote>
  <w:footnote w:id="53">
    <w:p w:rsidR="00EF6B78" w:rsidRPr="009F38F9" w:rsidRDefault="00EF6B78">
      <w:pPr>
        <w:pStyle w:val="FootnoteText"/>
        <w:rPr>
          <w:sz w:val="20"/>
        </w:rPr>
      </w:pPr>
      <w:r w:rsidRPr="009F38F9">
        <w:rPr>
          <w:rStyle w:val="FootnoteReference"/>
          <w:sz w:val="20"/>
        </w:rPr>
        <w:footnoteRef/>
      </w:r>
      <w:r w:rsidRPr="009F38F9">
        <w:rPr>
          <w:sz w:val="20"/>
        </w:rPr>
        <w:t xml:space="preserve"> </w:t>
      </w:r>
      <w:r>
        <w:rPr>
          <w:sz w:val="20"/>
        </w:rPr>
        <w:t xml:space="preserve">Whipple, “Letters to Enoch Powell,” </w:t>
      </w:r>
      <w:r w:rsidRPr="009F38F9">
        <w:rPr>
          <w:sz w:val="20"/>
        </w:rPr>
        <w:t>721</w:t>
      </w:r>
      <w:r>
        <w:rPr>
          <w:sz w:val="20"/>
        </w:rPr>
        <w:t>.</w:t>
      </w:r>
    </w:p>
  </w:footnote>
  <w:footnote w:id="54">
    <w:p w:rsidR="00EF6B78" w:rsidRPr="009F38F9" w:rsidRDefault="00EF6B78">
      <w:pPr>
        <w:pStyle w:val="FootnoteText"/>
        <w:rPr>
          <w:sz w:val="20"/>
        </w:rPr>
      </w:pPr>
      <w:r w:rsidRPr="009F38F9">
        <w:rPr>
          <w:rStyle w:val="FootnoteReference"/>
          <w:sz w:val="20"/>
        </w:rPr>
        <w:footnoteRef/>
      </w:r>
      <w:r w:rsidRPr="009F38F9">
        <w:rPr>
          <w:sz w:val="20"/>
        </w:rPr>
        <w:t xml:space="preserve"> </w:t>
      </w:r>
      <w:r>
        <w:rPr>
          <w:sz w:val="20"/>
        </w:rPr>
        <w:t xml:space="preserve">Whipple, “Letters to Enoch Powell,” </w:t>
      </w:r>
      <w:r w:rsidRPr="009F38F9">
        <w:rPr>
          <w:sz w:val="20"/>
        </w:rPr>
        <w:t>721</w:t>
      </w:r>
      <w:r>
        <w:rPr>
          <w:sz w:val="20"/>
        </w:rPr>
        <w:t>.</w:t>
      </w:r>
    </w:p>
  </w:footnote>
  <w:footnote w:id="55">
    <w:p w:rsidR="00EF6B78" w:rsidRDefault="00EF6B78">
      <w:pPr>
        <w:pStyle w:val="FootnoteText"/>
      </w:pPr>
      <w:r w:rsidRPr="009F38F9">
        <w:rPr>
          <w:rStyle w:val="FootnoteReference"/>
          <w:sz w:val="20"/>
        </w:rPr>
        <w:footnoteRef/>
      </w:r>
      <w:r w:rsidRPr="009F38F9">
        <w:rPr>
          <w:sz w:val="20"/>
        </w:rPr>
        <w:t xml:space="preserve"> </w:t>
      </w:r>
      <w:r>
        <w:rPr>
          <w:sz w:val="20"/>
        </w:rPr>
        <w:t xml:space="preserve">Whipple, “Letters to Enoch Powell,” </w:t>
      </w:r>
      <w:r w:rsidRPr="009F38F9">
        <w:rPr>
          <w:sz w:val="20"/>
        </w:rPr>
        <w:t>721</w:t>
      </w:r>
      <w:r>
        <w:rPr>
          <w:sz w:val="20"/>
        </w:rPr>
        <w:t>.</w:t>
      </w:r>
    </w:p>
  </w:footnote>
  <w:footnote w:id="56">
    <w:p w:rsidR="00EF6B78" w:rsidRPr="000D55B7" w:rsidRDefault="00EF6B78">
      <w:pPr>
        <w:pStyle w:val="FootnoteText"/>
        <w:rPr>
          <w:sz w:val="20"/>
        </w:rPr>
      </w:pPr>
      <w:r w:rsidRPr="000D55B7">
        <w:rPr>
          <w:rStyle w:val="FootnoteReference"/>
          <w:sz w:val="20"/>
        </w:rPr>
        <w:footnoteRef/>
      </w:r>
      <w:r w:rsidRPr="000D55B7">
        <w:rPr>
          <w:sz w:val="20"/>
        </w:rPr>
        <w:t xml:space="preserve"> </w:t>
      </w:r>
      <w:r>
        <w:rPr>
          <w:sz w:val="20"/>
        </w:rPr>
        <w:t xml:space="preserve">Gilroy, </w:t>
      </w:r>
      <w:r>
        <w:rPr>
          <w:i/>
          <w:sz w:val="20"/>
        </w:rPr>
        <w:t>ain’t no black in the union jack,</w:t>
      </w:r>
      <w:r w:rsidRPr="000D55B7">
        <w:rPr>
          <w:sz w:val="20"/>
        </w:rPr>
        <w:t xml:space="preserve"> 46</w:t>
      </w:r>
      <w:r>
        <w:rPr>
          <w:sz w:val="20"/>
        </w:rPr>
        <w:t>.</w:t>
      </w:r>
    </w:p>
  </w:footnote>
  <w:footnote w:id="57">
    <w:p w:rsidR="00EF6B78" w:rsidRPr="000D55B7" w:rsidRDefault="00EF6B78">
      <w:pPr>
        <w:pStyle w:val="FootnoteText"/>
        <w:rPr>
          <w:sz w:val="20"/>
        </w:rPr>
      </w:pPr>
      <w:r w:rsidRPr="000D55B7">
        <w:rPr>
          <w:rStyle w:val="FootnoteReference"/>
          <w:sz w:val="20"/>
        </w:rPr>
        <w:footnoteRef/>
      </w:r>
      <w:r w:rsidRPr="000D55B7">
        <w:rPr>
          <w:sz w:val="20"/>
        </w:rPr>
        <w:t xml:space="preserve"> </w:t>
      </w:r>
      <w:r>
        <w:rPr>
          <w:sz w:val="20"/>
        </w:rPr>
        <w:t xml:space="preserve">Whipple, “Letters to Enoch Powell,” </w:t>
      </w:r>
      <w:r w:rsidRPr="000D55B7">
        <w:rPr>
          <w:sz w:val="20"/>
        </w:rPr>
        <w:t xml:space="preserve"> 731</w:t>
      </w:r>
      <w:r>
        <w:rPr>
          <w:sz w:val="20"/>
        </w:rPr>
        <w:t>.</w:t>
      </w:r>
    </w:p>
  </w:footnote>
  <w:footnote w:id="58">
    <w:p w:rsidR="00EF6B78" w:rsidRDefault="00EF6B78">
      <w:pPr>
        <w:pStyle w:val="FootnoteText"/>
      </w:pPr>
      <w:r w:rsidRPr="000D55B7">
        <w:rPr>
          <w:rStyle w:val="FootnoteReference"/>
          <w:sz w:val="20"/>
        </w:rPr>
        <w:footnoteRef/>
      </w:r>
      <w:r w:rsidRPr="000D55B7">
        <w:rPr>
          <w:sz w:val="20"/>
        </w:rPr>
        <w:t xml:space="preserve"> </w:t>
      </w:r>
      <w:r>
        <w:rPr>
          <w:sz w:val="20"/>
        </w:rPr>
        <w:t xml:space="preserve">Donley T. Studlar, “British Public Opinion, Colour Issues, and Enoch Powell: A Longitudinal Analysis,” </w:t>
      </w:r>
      <w:r>
        <w:rPr>
          <w:i/>
          <w:sz w:val="20"/>
        </w:rPr>
        <w:t xml:space="preserve">British Journal of Political Science </w:t>
      </w:r>
      <w:r>
        <w:rPr>
          <w:sz w:val="20"/>
        </w:rPr>
        <w:t>4 (1974):</w:t>
      </w:r>
      <w:r w:rsidRPr="000D55B7">
        <w:rPr>
          <w:sz w:val="20"/>
        </w:rPr>
        <w:t xml:space="preserve"> 373</w:t>
      </w:r>
      <w:r>
        <w:rPr>
          <w:sz w:val="20"/>
        </w:rPr>
        <w:t>.</w:t>
      </w:r>
    </w:p>
  </w:footnote>
  <w:footnote w:id="59">
    <w:p w:rsidR="00EF6B78" w:rsidRPr="00A4135F" w:rsidRDefault="00EF6B78">
      <w:pPr>
        <w:pStyle w:val="FootnoteText"/>
        <w:rPr>
          <w:sz w:val="20"/>
        </w:rPr>
      </w:pPr>
      <w:r w:rsidRPr="00A4135F">
        <w:rPr>
          <w:rStyle w:val="FootnoteReference"/>
          <w:sz w:val="20"/>
        </w:rPr>
        <w:footnoteRef/>
      </w:r>
      <w:r w:rsidRPr="00A4135F">
        <w:rPr>
          <w:sz w:val="20"/>
        </w:rPr>
        <w:t xml:space="preserve"> </w:t>
      </w:r>
      <w:r>
        <w:rPr>
          <w:sz w:val="20"/>
        </w:rPr>
        <w:t>Studlar, “British Public O</w:t>
      </w:r>
      <w:r w:rsidRPr="00A4135F">
        <w:rPr>
          <w:sz w:val="20"/>
        </w:rPr>
        <w:t>pinion</w:t>
      </w:r>
      <w:r>
        <w:rPr>
          <w:sz w:val="20"/>
        </w:rPr>
        <w:t>,”</w:t>
      </w:r>
      <w:r w:rsidRPr="00A4135F">
        <w:rPr>
          <w:sz w:val="20"/>
        </w:rPr>
        <w:t xml:space="preserve"> 374</w:t>
      </w:r>
      <w:r>
        <w:rPr>
          <w:sz w:val="20"/>
        </w:rPr>
        <w:t>.</w:t>
      </w:r>
    </w:p>
  </w:footnote>
  <w:footnote w:id="60">
    <w:p w:rsidR="00EF6B78" w:rsidRDefault="00EF6B78">
      <w:pPr>
        <w:pStyle w:val="FootnoteText"/>
      </w:pPr>
      <w:r w:rsidRPr="00A4135F">
        <w:rPr>
          <w:rStyle w:val="FootnoteReference"/>
          <w:sz w:val="20"/>
        </w:rPr>
        <w:footnoteRef/>
      </w:r>
      <w:r w:rsidRPr="00A4135F">
        <w:rPr>
          <w:sz w:val="20"/>
        </w:rPr>
        <w:t xml:space="preserve"> </w:t>
      </w:r>
      <w:r>
        <w:rPr>
          <w:sz w:val="20"/>
        </w:rPr>
        <w:t>Studlar, “British Public O</w:t>
      </w:r>
      <w:r w:rsidRPr="00A4135F">
        <w:rPr>
          <w:sz w:val="20"/>
        </w:rPr>
        <w:t>pinion</w:t>
      </w:r>
      <w:r>
        <w:rPr>
          <w:sz w:val="20"/>
        </w:rPr>
        <w:t>,”</w:t>
      </w:r>
      <w:r w:rsidRPr="00A4135F">
        <w:rPr>
          <w:sz w:val="20"/>
        </w:rPr>
        <w:t xml:space="preserve"> 374</w:t>
      </w:r>
      <w:r>
        <w:rPr>
          <w:sz w:val="20"/>
        </w:rPr>
        <w:t>.</w:t>
      </w:r>
    </w:p>
  </w:footnote>
  <w:footnote w:id="61">
    <w:p w:rsidR="00EF6B78" w:rsidRPr="00C40969" w:rsidRDefault="00EF6B78">
      <w:pPr>
        <w:pStyle w:val="FootnoteText"/>
        <w:rPr>
          <w:sz w:val="20"/>
        </w:rPr>
      </w:pPr>
      <w:r w:rsidRPr="00C40969">
        <w:rPr>
          <w:rStyle w:val="FootnoteReference"/>
          <w:sz w:val="20"/>
        </w:rPr>
        <w:footnoteRef/>
      </w:r>
      <w:r w:rsidRPr="00C40969">
        <w:rPr>
          <w:sz w:val="20"/>
        </w:rPr>
        <w:t xml:space="preserve"> </w:t>
      </w:r>
      <w:r>
        <w:rPr>
          <w:sz w:val="20"/>
        </w:rPr>
        <w:t>Studlar, “British Public O</w:t>
      </w:r>
      <w:r w:rsidRPr="00A4135F">
        <w:rPr>
          <w:sz w:val="20"/>
        </w:rPr>
        <w:t>pinion</w:t>
      </w:r>
      <w:r>
        <w:rPr>
          <w:sz w:val="20"/>
        </w:rPr>
        <w:t>,”</w:t>
      </w:r>
      <w:r w:rsidRPr="00A4135F">
        <w:rPr>
          <w:sz w:val="20"/>
        </w:rPr>
        <w:t xml:space="preserve"> </w:t>
      </w:r>
      <w:r w:rsidRPr="00C40969">
        <w:rPr>
          <w:sz w:val="20"/>
        </w:rPr>
        <w:t>375</w:t>
      </w:r>
      <w:r>
        <w:rPr>
          <w:sz w:val="20"/>
        </w:rPr>
        <w:t>.</w:t>
      </w:r>
    </w:p>
  </w:footnote>
  <w:footnote w:id="62">
    <w:p w:rsidR="00EF6B78" w:rsidRPr="004D75F0" w:rsidRDefault="00EF6B78">
      <w:pPr>
        <w:pStyle w:val="FootnoteText"/>
        <w:rPr>
          <w:sz w:val="20"/>
        </w:rPr>
      </w:pPr>
      <w:r w:rsidRPr="004D75F0">
        <w:rPr>
          <w:rStyle w:val="FootnoteReference"/>
          <w:sz w:val="20"/>
        </w:rPr>
        <w:footnoteRef/>
      </w:r>
      <w:r w:rsidRPr="004D75F0">
        <w:rPr>
          <w:sz w:val="20"/>
        </w:rPr>
        <w:t xml:space="preserve"> Christopher Caldwell</w:t>
      </w:r>
      <w:r>
        <w:rPr>
          <w:sz w:val="20"/>
        </w:rPr>
        <w:t xml:space="preserve">, </w:t>
      </w:r>
      <w:r>
        <w:rPr>
          <w:i/>
          <w:sz w:val="20"/>
        </w:rPr>
        <w:t>Reflections on the Revolution,</w:t>
      </w:r>
      <w:r w:rsidRPr="004D75F0">
        <w:rPr>
          <w:sz w:val="20"/>
        </w:rPr>
        <w:t xml:space="preserve"> 62</w:t>
      </w:r>
      <w:r>
        <w:rPr>
          <w:sz w:val="20"/>
        </w:rPr>
        <w:t>.</w:t>
      </w:r>
    </w:p>
  </w:footnote>
  <w:footnote w:id="63">
    <w:p w:rsidR="00EF6B78" w:rsidRPr="00C47D42" w:rsidRDefault="00EF6B78">
      <w:pPr>
        <w:pStyle w:val="FootnoteText"/>
        <w:rPr>
          <w:sz w:val="20"/>
        </w:rPr>
      </w:pPr>
      <w:r w:rsidRPr="00C47D42">
        <w:rPr>
          <w:rStyle w:val="FootnoteReference"/>
          <w:sz w:val="20"/>
        </w:rPr>
        <w:footnoteRef/>
      </w:r>
      <w:r w:rsidRPr="00C47D42">
        <w:rPr>
          <w:sz w:val="20"/>
        </w:rPr>
        <w:t xml:space="preserve"> </w:t>
      </w:r>
      <w:r>
        <w:rPr>
          <w:sz w:val="20"/>
        </w:rPr>
        <w:t>Studlar, “British Public O</w:t>
      </w:r>
      <w:r w:rsidRPr="00A4135F">
        <w:rPr>
          <w:sz w:val="20"/>
        </w:rPr>
        <w:t>pinion</w:t>
      </w:r>
      <w:r>
        <w:rPr>
          <w:sz w:val="20"/>
        </w:rPr>
        <w:t>,”</w:t>
      </w:r>
      <w:r w:rsidRPr="00A4135F">
        <w:rPr>
          <w:sz w:val="20"/>
        </w:rPr>
        <w:t xml:space="preserve"> </w:t>
      </w:r>
      <w:r w:rsidRPr="00C47D42">
        <w:rPr>
          <w:sz w:val="20"/>
        </w:rPr>
        <w:t>377</w:t>
      </w:r>
      <w:r>
        <w:rPr>
          <w:sz w:val="20"/>
        </w:rPr>
        <w:t>.</w:t>
      </w:r>
    </w:p>
  </w:footnote>
  <w:footnote w:id="64">
    <w:p w:rsidR="00EF6B78" w:rsidRPr="00D872B3" w:rsidRDefault="00EF6B78">
      <w:pPr>
        <w:pStyle w:val="FootnoteText"/>
        <w:rPr>
          <w:sz w:val="20"/>
        </w:rPr>
      </w:pPr>
      <w:r w:rsidRPr="00D872B3">
        <w:rPr>
          <w:rStyle w:val="FootnoteReference"/>
          <w:sz w:val="20"/>
        </w:rPr>
        <w:footnoteRef/>
      </w:r>
      <w:r w:rsidRPr="00D872B3">
        <w:rPr>
          <w:sz w:val="20"/>
        </w:rPr>
        <w:t xml:space="preserve"> </w:t>
      </w:r>
      <w:r>
        <w:rPr>
          <w:sz w:val="20"/>
        </w:rPr>
        <w:t>Studlar, “British Public O</w:t>
      </w:r>
      <w:r w:rsidRPr="00A4135F">
        <w:rPr>
          <w:sz w:val="20"/>
        </w:rPr>
        <w:t>pinion</w:t>
      </w:r>
      <w:r>
        <w:rPr>
          <w:sz w:val="20"/>
        </w:rPr>
        <w:t>,”</w:t>
      </w:r>
      <w:r w:rsidRPr="00A4135F">
        <w:rPr>
          <w:sz w:val="20"/>
        </w:rPr>
        <w:t xml:space="preserve"> </w:t>
      </w:r>
      <w:r w:rsidRPr="00D872B3">
        <w:rPr>
          <w:sz w:val="20"/>
        </w:rPr>
        <w:t>379</w:t>
      </w:r>
      <w:r>
        <w:rPr>
          <w:sz w:val="20"/>
        </w:rPr>
        <w:t>.</w:t>
      </w:r>
    </w:p>
  </w:footnote>
  <w:footnote w:id="65">
    <w:p w:rsidR="00EF6B78" w:rsidRPr="00CA7E52" w:rsidRDefault="00EF6B78">
      <w:pPr>
        <w:pStyle w:val="FootnoteText"/>
        <w:rPr>
          <w:sz w:val="20"/>
        </w:rPr>
      </w:pPr>
      <w:r w:rsidRPr="00CA7E52">
        <w:rPr>
          <w:rStyle w:val="FootnoteReference"/>
          <w:sz w:val="20"/>
        </w:rPr>
        <w:footnoteRef/>
      </w:r>
      <w:r>
        <w:rPr>
          <w:sz w:val="20"/>
        </w:rPr>
        <w:t xml:space="preserve"> </w:t>
      </w:r>
      <w:r w:rsidRPr="00CA7E52">
        <w:rPr>
          <w:sz w:val="20"/>
        </w:rPr>
        <w:t>Caldwell</w:t>
      </w:r>
      <w:r>
        <w:rPr>
          <w:sz w:val="20"/>
        </w:rPr>
        <w:t xml:space="preserve">, </w:t>
      </w:r>
      <w:r>
        <w:rPr>
          <w:i/>
          <w:sz w:val="20"/>
        </w:rPr>
        <w:t>Reflections on the Revolution,</w:t>
      </w:r>
      <w:r w:rsidRPr="00CA7E52">
        <w:rPr>
          <w:sz w:val="20"/>
        </w:rPr>
        <w:t xml:space="preserve"> 5</w:t>
      </w:r>
      <w:r>
        <w:rPr>
          <w:sz w:val="20"/>
        </w:rPr>
        <w:t>.</w:t>
      </w:r>
    </w:p>
  </w:footnote>
  <w:footnote w:id="66">
    <w:p w:rsidR="00EF6B78" w:rsidRDefault="00EF6B78">
      <w:pPr>
        <w:pStyle w:val="FootnoteText"/>
      </w:pPr>
      <w:r w:rsidRPr="00CA7E52">
        <w:rPr>
          <w:rStyle w:val="FootnoteReference"/>
          <w:sz w:val="20"/>
        </w:rPr>
        <w:footnoteRef/>
      </w:r>
      <w:r w:rsidRPr="00CA7E52">
        <w:rPr>
          <w:sz w:val="20"/>
        </w:rPr>
        <w:t xml:space="preserve"> Caldwell</w:t>
      </w:r>
      <w:r>
        <w:rPr>
          <w:sz w:val="20"/>
        </w:rPr>
        <w:t xml:space="preserve">, </w:t>
      </w:r>
      <w:r>
        <w:rPr>
          <w:i/>
          <w:sz w:val="20"/>
        </w:rPr>
        <w:t>Reflections on the Revolution,</w:t>
      </w:r>
      <w:r w:rsidRPr="00CA7E52">
        <w:rPr>
          <w:sz w:val="20"/>
        </w:rPr>
        <w:t xml:space="preserve"> 6</w:t>
      </w:r>
    </w:p>
  </w:footnote>
  <w:footnote w:id="67">
    <w:p w:rsidR="00EF6B78" w:rsidRPr="00D47C63" w:rsidRDefault="00EF6B78">
      <w:pPr>
        <w:pStyle w:val="FootnoteText"/>
        <w:rPr>
          <w:sz w:val="20"/>
        </w:rPr>
      </w:pPr>
      <w:r w:rsidRPr="00D47C63">
        <w:rPr>
          <w:rStyle w:val="FootnoteReference"/>
          <w:sz w:val="20"/>
        </w:rPr>
        <w:footnoteRef/>
      </w:r>
      <w:r w:rsidRPr="00D47C63">
        <w:rPr>
          <w:sz w:val="20"/>
        </w:rPr>
        <w:t xml:space="preserve"> </w:t>
      </w:r>
      <w:r>
        <w:rPr>
          <w:sz w:val="20"/>
        </w:rPr>
        <w:t>Lewis, “</w:t>
      </w:r>
      <w:r w:rsidRPr="00D641AB">
        <w:rPr>
          <w:sz w:val="20"/>
        </w:rPr>
        <w:t>Roots of Muslim Rage</w:t>
      </w:r>
      <w:r>
        <w:rPr>
          <w:sz w:val="20"/>
        </w:rPr>
        <w:t>,”</w:t>
      </w:r>
      <w:r w:rsidRPr="00D47C63">
        <w:rPr>
          <w:i/>
          <w:sz w:val="20"/>
        </w:rPr>
        <w:t xml:space="preserve"> </w:t>
      </w:r>
      <w:r w:rsidRPr="00D47C63">
        <w:rPr>
          <w:sz w:val="20"/>
        </w:rPr>
        <w:t>102</w:t>
      </w:r>
      <w:r>
        <w:rPr>
          <w:sz w:val="20"/>
        </w:rPr>
        <w:t>.</w:t>
      </w:r>
    </w:p>
  </w:footnote>
  <w:footnote w:id="68">
    <w:p w:rsidR="00EF6B78" w:rsidRPr="000E7005" w:rsidRDefault="00EF6B78">
      <w:pPr>
        <w:pStyle w:val="FootnoteText"/>
        <w:rPr>
          <w:sz w:val="20"/>
        </w:rPr>
      </w:pPr>
      <w:r w:rsidRPr="000E7005">
        <w:rPr>
          <w:rStyle w:val="FootnoteReference"/>
          <w:sz w:val="20"/>
        </w:rPr>
        <w:footnoteRef/>
      </w:r>
      <w:r w:rsidRPr="000E7005">
        <w:rPr>
          <w:sz w:val="20"/>
        </w:rPr>
        <w:t xml:space="preserve"> </w:t>
      </w:r>
      <w:r>
        <w:rPr>
          <w:sz w:val="20"/>
        </w:rPr>
        <w:t xml:space="preserve">Lars Pedersen, </w:t>
      </w:r>
      <w:r w:rsidRPr="000E7005">
        <w:rPr>
          <w:i/>
          <w:sz w:val="20"/>
        </w:rPr>
        <w:t>Newer Islamic Organizations in Western Europe</w:t>
      </w:r>
      <w:r>
        <w:rPr>
          <w:i/>
          <w:sz w:val="20"/>
        </w:rPr>
        <w:t xml:space="preserve">, </w:t>
      </w:r>
      <w:r>
        <w:rPr>
          <w:sz w:val="20"/>
        </w:rPr>
        <w:t>(Aldershot: Ashgate, 1999),</w:t>
      </w:r>
      <w:r w:rsidRPr="000E7005">
        <w:rPr>
          <w:sz w:val="20"/>
        </w:rPr>
        <w:t xml:space="preserve"> 53</w:t>
      </w:r>
      <w:r>
        <w:rPr>
          <w:sz w:val="20"/>
        </w:rPr>
        <w:t>.</w:t>
      </w:r>
    </w:p>
  </w:footnote>
  <w:footnote w:id="69">
    <w:p w:rsidR="00EF6B78" w:rsidRDefault="00EF6B78">
      <w:pPr>
        <w:pStyle w:val="FootnoteText"/>
      </w:pPr>
      <w:r>
        <w:rPr>
          <w:rStyle w:val="FootnoteReference"/>
        </w:rPr>
        <w:footnoteRef/>
      </w:r>
      <w:r>
        <w:t xml:space="preserve"> </w:t>
      </w:r>
      <w:r w:rsidRPr="00C41719">
        <w:rPr>
          <w:sz w:val="20"/>
        </w:rPr>
        <w:t xml:space="preserve">Tariq Modood, Anna Triandafyllidou, and Ricard Zapata-Barrero, </w:t>
      </w:r>
      <w:r w:rsidRPr="00C41719">
        <w:rPr>
          <w:i/>
          <w:sz w:val="20"/>
        </w:rPr>
        <w:t>Multiculturalism, Muslims and Citizenship: A European Approach</w:t>
      </w:r>
      <w:r w:rsidRPr="00C41719">
        <w:rPr>
          <w:sz w:val="20"/>
        </w:rPr>
        <w:t xml:space="preserve">. New York: Routledge, 2006, </w:t>
      </w:r>
      <w:r w:rsidRPr="00CF55FD">
        <w:rPr>
          <w:sz w:val="20"/>
        </w:rPr>
        <w:t>38</w:t>
      </w:r>
      <w:r>
        <w:rPr>
          <w:sz w:val="20"/>
        </w:rPr>
        <w:t>.</w:t>
      </w:r>
    </w:p>
  </w:footnote>
  <w:footnote w:id="70">
    <w:p w:rsidR="00EF6B78" w:rsidRPr="00CF55FD" w:rsidRDefault="00EF6B78">
      <w:pPr>
        <w:pStyle w:val="FootnoteText"/>
        <w:rPr>
          <w:sz w:val="20"/>
        </w:rPr>
      </w:pPr>
      <w:r w:rsidRPr="00CF55FD">
        <w:rPr>
          <w:rStyle w:val="FootnoteReference"/>
          <w:sz w:val="20"/>
        </w:rPr>
        <w:footnoteRef/>
      </w:r>
      <w:r w:rsidRPr="00CF55FD">
        <w:rPr>
          <w:sz w:val="20"/>
        </w:rPr>
        <w:t xml:space="preserve"> </w:t>
      </w:r>
      <w:r>
        <w:rPr>
          <w:sz w:val="20"/>
        </w:rPr>
        <w:t xml:space="preserve">Modood, Sharon Beishon, and Satnam Virdee, </w:t>
      </w:r>
      <w:r>
        <w:rPr>
          <w:i/>
          <w:sz w:val="20"/>
        </w:rPr>
        <w:t>Changing Ethnic Identities</w:t>
      </w:r>
      <w:r>
        <w:rPr>
          <w:sz w:val="20"/>
        </w:rPr>
        <w:t xml:space="preserve">. (London: Policy Studies Institute, 1994), </w:t>
      </w:r>
      <w:r w:rsidRPr="00CF55FD">
        <w:rPr>
          <w:sz w:val="20"/>
        </w:rPr>
        <w:t>81</w:t>
      </w:r>
      <w:r>
        <w:rPr>
          <w:sz w:val="20"/>
        </w:rPr>
        <w:t>.</w:t>
      </w:r>
    </w:p>
  </w:footnote>
  <w:footnote w:id="71">
    <w:p w:rsidR="00EF6B78" w:rsidRPr="005B6339" w:rsidRDefault="00EF6B78">
      <w:pPr>
        <w:pStyle w:val="FootnoteText"/>
      </w:pPr>
      <w:r w:rsidRPr="00CF55FD">
        <w:rPr>
          <w:rStyle w:val="FootnoteReference"/>
          <w:sz w:val="20"/>
        </w:rPr>
        <w:footnoteRef/>
      </w:r>
      <w:r w:rsidRPr="00CF55FD">
        <w:rPr>
          <w:sz w:val="20"/>
        </w:rPr>
        <w:t xml:space="preserve"> </w:t>
      </w:r>
      <w:r>
        <w:rPr>
          <w:sz w:val="20"/>
        </w:rPr>
        <w:t xml:space="preserve">Modood, Beishon, and Virdee, </w:t>
      </w:r>
      <w:r>
        <w:rPr>
          <w:i/>
          <w:sz w:val="20"/>
        </w:rPr>
        <w:t>Changing</w:t>
      </w:r>
      <w:r w:rsidRPr="00CF55FD">
        <w:rPr>
          <w:i/>
          <w:sz w:val="20"/>
        </w:rPr>
        <w:t xml:space="preserve"> Ethnic Identities</w:t>
      </w:r>
      <w:r>
        <w:rPr>
          <w:i/>
          <w:sz w:val="20"/>
        </w:rPr>
        <w:t>,</w:t>
      </w:r>
      <w:r w:rsidRPr="00CF55FD">
        <w:rPr>
          <w:i/>
          <w:sz w:val="20"/>
        </w:rPr>
        <w:t xml:space="preserve"> </w:t>
      </w:r>
      <w:r w:rsidRPr="00CF55FD">
        <w:rPr>
          <w:sz w:val="20"/>
        </w:rPr>
        <w:t>95</w:t>
      </w:r>
      <w:r>
        <w:rPr>
          <w:sz w:val="20"/>
        </w:rPr>
        <w:t>.</w:t>
      </w:r>
    </w:p>
  </w:footnote>
  <w:footnote w:id="72">
    <w:p w:rsidR="00EF6B78" w:rsidRPr="00674CB4" w:rsidRDefault="00EF6B78">
      <w:pPr>
        <w:pStyle w:val="FootnoteText"/>
        <w:rPr>
          <w:sz w:val="20"/>
        </w:rPr>
      </w:pPr>
      <w:r w:rsidRPr="00674CB4">
        <w:rPr>
          <w:rStyle w:val="FootnoteReference"/>
          <w:sz w:val="20"/>
        </w:rPr>
        <w:footnoteRef/>
      </w:r>
      <w:r w:rsidRPr="00674CB4">
        <w:rPr>
          <w:sz w:val="20"/>
        </w:rPr>
        <w:t xml:space="preserve"> </w:t>
      </w:r>
      <w:r>
        <w:rPr>
          <w:sz w:val="20"/>
        </w:rPr>
        <w:t xml:space="preserve">Omar Khan, “Perpetrators of Racist Violence and Harassment,” </w:t>
      </w:r>
      <w:r>
        <w:rPr>
          <w:i/>
          <w:sz w:val="20"/>
        </w:rPr>
        <w:t>The Runnymede Trust</w:t>
      </w:r>
      <w:r>
        <w:rPr>
          <w:sz w:val="20"/>
        </w:rPr>
        <w:t xml:space="preserve"> (2002), </w:t>
      </w:r>
      <w:r w:rsidRPr="00674CB4">
        <w:rPr>
          <w:sz w:val="20"/>
        </w:rPr>
        <w:t>32</w:t>
      </w:r>
    </w:p>
  </w:footnote>
  <w:footnote w:id="73">
    <w:p w:rsidR="00EF6B78" w:rsidRPr="00B63EEC" w:rsidRDefault="00EF6B78">
      <w:pPr>
        <w:pStyle w:val="FootnoteText"/>
        <w:rPr>
          <w:sz w:val="20"/>
        </w:rPr>
      </w:pPr>
      <w:r w:rsidRPr="00B63EEC">
        <w:rPr>
          <w:rStyle w:val="FootnoteReference"/>
          <w:sz w:val="20"/>
        </w:rPr>
        <w:footnoteRef/>
      </w:r>
      <w:r w:rsidRPr="00B63EEC">
        <w:rPr>
          <w:sz w:val="20"/>
        </w:rPr>
        <w:t xml:space="preserve"> Ted Cantle</w:t>
      </w:r>
      <w:r>
        <w:rPr>
          <w:sz w:val="20"/>
        </w:rPr>
        <w:t>,</w:t>
      </w:r>
      <w:r w:rsidRPr="00B63EEC">
        <w:rPr>
          <w:sz w:val="20"/>
        </w:rPr>
        <w:t xml:space="preserve"> </w:t>
      </w:r>
      <w:r w:rsidRPr="00B63EEC">
        <w:rPr>
          <w:i/>
          <w:sz w:val="20"/>
        </w:rPr>
        <w:t>Community Cohesion</w:t>
      </w:r>
      <w:r>
        <w:rPr>
          <w:i/>
          <w:sz w:val="20"/>
        </w:rPr>
        <w:t xml:space="preserve">: A new framework for race and diversity, </w:t>
      </w:r>
      <w:r>
        <w:rPr>
          <w:sz w:val="20"/>
        </w:rPr>
        <w:t>(New York: Palgrave Macmillian, 2005),</w:t>
      </w:r>
      <w:r>
        <w:rPr>
          <w:i/>
          <w:sz w:val="20"/>
        </w:rPr>
        <w:t xml:space="preserve"> </w:t>
      </w:r>
      <w:r w:rsidRPr="00B63EEC">
        <w:rPr>
          <w:sz w:val="20"/>
        </w:rPr>
        <w:t>7</w:t>
      </w:r>
      <w:r>
        <w:rPr>
          <w:sz w:val="20"/>
        </w:rPr>
        <w:t>.</w:t>
      </w:r>
    </w:p>
  </w:footnote>
  <w:footnote w:id="74">
    <w:p w:rsidR="00EF6B78" w:rsidRPr="00D35132" w:rsidRDefault="00EF6B78">
      <w:pPr>
        <w:pStyle w:val="FootnoteText"/>
        <w:rPr>
          <w:sz w:val="20"/>
        </w:rPr>
      </w:pPr>
      <w:r w:rsidRPr="00D35132">
        <w:rPr>
          <w:rStyle w:val="FootnoteReference"/>
          <w:sz w:val="20"/>
        </w:rPr>
        <w:footnoteRef/>
      </w:r>
      <w:r w:rsidRPr="00D35132">
        <w:rPr>
          <w:sz w:val="20"/>
        </w:rPr>
        <w:t xml:space="preserve"> </w:t>
      </w:r>
      <w:r>
        <w:rPr>
          <w:sz w:val="20"/>
        </w:rPr>
        <w:t xml:space="preserve">Gilroy, </w:t>
      </w:r>
      <w:r w:rsidRPr="00D35132">
        <w:rPr>
          <w:i/>
          <w:sz w:val="20"/>
        </w:rPr>
        <w:t>There aint no black in the union jack</w:t>
      </w:r>
      <w:r>
        <w:rPr>
          <w:i/>
          <w:sz w:val="20"/>
        </w:rPr>
        <w:t>,</w:t>
      </w:r>
      <w:r w:rsidRPr="00D35132">
        <w:rPr>
          <w:sz w:val="20"/>
        </w:rPr>
        <w:t xml:space="preserve"> 88</w:t>
      </w:r>
      <w:r>
        <w:rPr>
          <w:sz w:val="20"/>
        </w:rPr>
        <w:t>.</w:t>
      </w:r>
    </w:p>
  </w:footnote>
  <w:footnote w:id="75">
    <w:p w:rsidR="00EF6B78" w:rsidRPr="004654E6" w:rsidRDefault="00EF6B78">
      <w:pPr>
        <w:pStyle w:val="FootnoteText"/>
        <w:rPr>
          <w:sz w:val="20"/>
        </w:rPr>
      </w:pPr>
      <w:r w:rsidRPr="004654E6">
        <w:rPr>
          <w:rStyle w:val="FootnoteReference"/>
          <w:sz w:val="20"/>
        </w:rPr>
        <w:footnoteRef/>
      </w:r>
      <w:r w:rsidRPr="004654E6">
        <w:rPr>
          <w:sz w:val="20"/>
        </w:rPr>
        <w:t xml:space="preserve"> </w:t>
      </w:r>
      <w:r>
        <w:rPr>
          <w:sz w:val="20"/>
        </w:rPr>
        <w:t xml:space="preserve">Gilroy, </w:t>
      </w:r>
      <w:r w:rsidRPr="004654E6">
        <w:rPr>
          <w:i/>
          <w:sz w:val="20"/>
        </w:rPr>
        <w:t>There aint no black in the union jack</w:t>
      </w:r>
      <w:r>
        <w:rPr>
          <w:i/>
          <w:sz w:val="20"/>
        </w:rPr>
        <w:t>,</w:t>
      </w:r>
      <w:r w:rsidRPr="004654E6">
        <w:rPr>
          <w:i/>
          <w:sz w:val="20"/>
        </w:rPr>
        <w:t xml:space="preserve"> </w:t>
      </w:r>
      <w:r w:rsidRPr="004654E6">
        <w:rPr>
          <w:sz w:val="20"/>
        </w:rPr>
        <w:t>92</w:t>
      </w:r>
      <w:r>
        <w:rPr>
          <w:sz w:val="20"/>
        </w:rPr>
        <w:t>.</w:t>
      </w:r>
    </w:p>
  </w:footnote>
  <w:footnote w:id="76">
    <w:p w:rsidR="00EF6B78" w:rsidRPr="004654E6" w:rsidRDefault="00EF6B78">
      <w:pPr>
        <w:pStyle w:val="FootnoteText"/>
        <w:rPr>
          <w:sz w:val="20"/>
        </w:rPr>
      </w:pPr>
      <w:r w:rsidRPr="004654E6">
        <w:rPr>
          <w:rStyle w:val="FootnoteReference"/>
          <w:sz w:val="20"/>
        </w:rPr>
        <w:footnoteRef/>
      </w:r>
      <w:r w:rsidRPr="004654E6">
        <w:rPr>
          <w:sz w:val="20"/>
        </w:rPr>
        <w:t xml:space="preserve"> </w:t>
      </w:r>
      <w:r>
        <w:rPr>
          <w:sz w:val="20"/>
        </w:rPr>
        <w:t xml:space="preserve">Gilroy, </w:t>
      </w:r>
      <w:r>
        <w:rPr>
          <w:i/>
          <w:sz w:val="20"/>
        </w:rPr>
        <w:t xml:space="preserve">There aint no black in the union jack, </w:t>
      </w:r>
      <w:r w:rsidRPr="004654E6">
        <w:rPr>
          <w:sz w:val="20"/>
        </w:rPr>
        <w:t>94</w:t>
      </w:r>
      <w:r>
        <w:rPr>
          <w:sz w:val="20"/>
        </w:rPr>
        <w:t>.</w:t>
      </w:r>
    </w:p>
  </w:footnote>
  <w:footnote w:id="77">
    <w:p w:rsidR="00EF6B78" w:rsidRPr="00F11A7D" w:rsidRDefault="00EF6B78">
      <w:pPr>
        <w:pStyle w:val="FootnoteText"/>
        <w:rPr>
          <w:sz w:val="20"/>
        </w:rPr>
      </w:pPr>
      <w:r w:rsidRPr="00F11A7D">
        <w:rPr>
          <w:rStyle w:val="FootnoteReference"/>
          <w:sz w:val="20"/>
        </w:rPr>
        <w:footnoteRef/>
      </w:r>
      <w:r w:rsidRPr="00F11A7D">
        <w:rPr>
          <w:sz w:val="20"/>
        </w:rPr>
        <w:t xml:space="preserve"> </w:t>
      </w:r>
      <w:r>
        <w:rPr>
          <w:i/>
          <w:sz w:val="20"/>
        </w:rPr>
        <w:t xml:space="preserve">The </w:t>
      </w:r>
      <w:r w:rsidRPr="00F11A7D">
        <w:rPr>
          <w:i/>
          <w:sz w:val="20"/>
        </w:rPr>
        <w:t>Scarman Report</w:t>
      </w:r>
      <w:r>
        <w:rPr>
          <w:sz w:val="20"/>
        </w:rPr>
        <w:t xml:space="preserve"> (London: HMSO, 1981), 204-206.</w:t>
      </w:r>
    </w:p>
  </w:footnote>
  <w:footnote w:id="78">
    <w:p w:rsidR="00EF6B78" w:rsidRDefault="00EF6B78">
      <w:pPr>
        <w:pStyle w:val="FootnoteText"/>
      </w:pPr>
      <w:r w:rsidRPr="004654E6">
        <w:rPr>
          <w:rStyle w:val="FootnoteReference"/>
          <w:sz w:val="20"/>
        </w:rPr>
        <w:footnoteRef/>
      </w:r>
      <w:r w:rsidRPr="004654E6">
        <w:rPr>
          <w:sz w:val="20"/>
        </w:rPr>
        <w:t xml:space="preserve"> </w:t>
      </w:r>
      <w:r>
        <w:rPr>
          <w:sz w:val="20"/>
        </w:rPr>
        <w:t xml:space="preserve">Gilroy, </w:t>
      </w:r>
      <w:r>
        <w:rPr>
          <w:i/>
          <w:sz w:val="20"/>
        </w:rPr>
        <w:t xml:space="preserve">There aint no black in the Union Jack, </w:t>
      </w:r>
      <w:r w:rsidRPr="004654E6">
        <w:rPr>
          <w:sz w:val="20"/>
        </w:rPr>
        <w:t>95</w:t>
      </w:r>
      <w:r>
        <w:rPr>
          <w:sz w:val="20"/>
        </w:rPr>
        <w:t>.</w:t>
      </w:r>
    </w:p>
  </w:footnote>
  <w:footnote w:id="79">
    <w:p w:rsidR="00EF6B78" w:rsidRPr="00DF041D" w:rsidRDefault="00EF6B78">
      <w:pPr>
        <w:pStyle w:val="FootnoteText"/>
        <w:rPr>
          <w:sz w:val="20"/>
        </w:rPr>
      </w:pPr>
      <w:r w:rsidRPr="00DF041D">
        <w:rPr>
          <w:rStyle w:val="FootnoteReference"/>
          <w:sz w:val="20"/>
        </w:rPr>
        <w:footnoteRef/>
      </w:r>
      <w:r w:rsidRPr="00DF041D">
        <w:rPr>
          <w:sz w:val="20"/>
        </w:rPr>
        <w:t xml:space="preserve"> </w:t>
      </w:r>
      <w:r>
        <w:rPr>
          <w:sz w:val="20"/>
        </w:rPr>
        <w:t>Khan, “</w:t>
      </w:r>
      <w:r w:rsidRPr="00DF041D">
        <w:rPr>
          <w:sz w:val="20"/>
        </w:rPr>
        <w:t>Perpatrators of racist violence</w:t>
      </w:r>
      <w:r>
        <w:rPr>
          <w:sz w:val="20"/>
        </w:rPr>
        <w:t>,”</w:t>
      </w:r>
      <w:r w:rsidRPr="00DF041D">
        <w:rPr>
          <w:sz w:val="20"/>
        </w:rPr>
        <w:t xml:space="preserve"> 34</w:t>
      </w:r>
      <w:r>
        <w:rPr>
          <w:sz w:val="20"/>
        </w:rPr>
        <w:t>.</w:t>
      </w:r>
    </w:p>
  </w:footnote>
  <w:footnote w:id="80">
    <w:p w:rsidR="00EF6B78" w:rsidRDefault="00EF6B78">
      <w:pPr>
        <w:pStyle w:val="FootnoteText"/>
      </w:pPr>
      <w:r w:rsidRPr="00DF041D">
        <w:rPr>
          <w:rStyle w:val="FootnoteReference"/>
          <w:sz w:val="20"/>
        </w:rPr>
        <w:footnoteRef/>
      </w:r>
      <w:r w:rsidRPr="00DF041D">
        <w:rPr>
          <w:sz w:val="20"/>
        </w:rPr>
        <w:t xml:space="preserve"> </w:t>
      </w:r>
      <w:r>
        <w:rPr>
          <w:sz w:val="20"/>
        </w:rPr>
        <w:t xml:space="preserve">Gilroy, </w:t>
      </w:r>
      <w:r>
        <w:rPr>
          <w:i/>
          <w:sz w:val="20"/>
        </w:rPr>
        <w:t xml:space="preserve">There aint no black in the Union Jack, </w:t>
      </w:r>
      <w:r w:rsidRPr="00DF041D">
        <w:rPr>
          <w:sz w:val="20"/>
        </w:rPr>
        <w:t>34</w:t>
      </w:r>
      <w:r>
        <w:rPr>
          <w:sz w:val="20"/>
        </w:rPr>
        <w:t>.</w:t>
      </w:r>
    </w:p>
  </w:footnote>
  <w:footnote w:id="81">
    <w:p w:rsidR="00EF6B78" w:rsidRDefault="00EF6B78">
      <w:pPr>
        <w:pStyle w:val="FootnoteText"/>
      </w:pPr>
      <w:r>
        <w:rPr>
          <w:rStyle w:val="FootnoteReference"/>
        </w:rPr>
        <w:footnoteRef/>
      </w:r>
      <w:r>
        <w:t xml:space="preserve"> </w:t>
      </w:r>
      <w:r w:rsidRPr="00C41719">
        <w:rPr>
          <w:sz w:val="20"/>
        </w:rPr>
        <w:t xml:space="preserve">Tariq Modood, Anna Triandafyllidou, and Ricard Zapata-Barrero, </w:t>
      </w:r>
      <w:r w:rsidRPr="00C41719">
        <w:rPr>
          <w:i/>
          <w:sz w:val="20"/>
        </w:rPr>
        <w:t>Multiculturalism, Muslims and Citizenship: A European Approach</w:t>
      </w:r>
      <w:r w:rsidRPr="00C41719">
        <w:rPr>
          <w:sz w:val="20"/>
        </w:rPr>
        <w:t>. New York: Routledge, 2006, 42.</w:t>
      </w:r>
    </w:p>
  </w:footnote>
  <w:footnote w:id="82">
    <w:p w:rsidR="00EF6B78" w:rsidRPr="00767E8A" w:rsidRDefault="00EF6B78">
      <w:pPr>
        <w:pStyle w:val="FootnoteText"/>
        <w:rPr>
          <w:sz w:val="20"/>
        </w:rPr>
      </w:pPr>
      <w:r w:rsidRPr="00767E8A">
        <w:rPr>
          <w:rStyle w:val="FootnoteReference"/>
          <w:sz w:val="20"/>
        </w:rPr>
        <w:footnoteRef/>
      </w:r>
      <w:r w:rsidRPr="00767E8A">
        <w:rPr>
          <w:sz w:val="20"/>
        </w:rPr>
        <w:t xml:space="preserve"> </w:t>
      </w:r>
      <w:r w:rsidRPr="00767E8A">
        <w:rPr>
          <w:i/>
          <w:sz w:val="20"/>
        </w:rPr>
        <w:t>Scarman Report</w:t>
      </w:r>
      <w:r w:rsidRPr="00767E8A">
        <w:rPr>
          <w:sz w:val="20"/>
        </w:rPr>
        <w:t>, 206.</w:t>
      </w:r>
    </w:p>
  </w:footnote>
  <w:footnote w:id="83">
    <w:p w:rsidR="00EF6B78" w:rsidRDefault="00EF6B78">
      <w:pPr>
        <w:pStyle w:val="FootnoteText"/>
      </w:pPr>
      <w:r>
        <w:rPr>
          <w:rStyle w:val="FootnoteReference"/>
        </w:rPr>
        <w:footnoteRef/>
      </w:r>
      <w:r>
        <w:t xml:space="preserve"> </w:t>
      </w:r>
      <w:r w:rsidRPr="00C41719">
        <w:rPr>
          <w:sz w:val="20"/>
        </w:rPr>
        <w:t xml:space="preserve">Tariq Modood, Anna Triandafyllidou, and Ricard Zapata-Barrero, </w:t>
      </w:r>
      <w:r w:rsidRPr="00C41719">
        <w:rPr>
          <w:i/>
          <w:sz w:val="20"/>
        </w:rPr>
        <w:t>Multiculturalism, Muslims and Citizenship: A European Approach</w:t>
      </w:r>
      <w:r w:rsidRPr="00C41719">
        <w:rPr>
          <w:sz w:val="20"/>
        </w:rPr>
        <w:t>. New York: Routledge, 2006, 42.</w:t>
      </w:r>
    </w:p>
  </w:footnote>
  <w:footnote w:id="84">
    <w:p w:rsidR="00EF6B78" w:rsidRPr="0046312C" w:rsidRDefault="00EF6B78">
      <w:pPr>
        <w:pStyle w:val="FootnoteText"/>
        <w:rPr>
          <w:sz w:val="20"/>
        </w:rPr>
      </w:pPr>
      <w:r w:rsidRPr="0046312C">
        <w:rPr>
          <w:rStyle w:val="FootnoteReference"/>
          <w:sz w:val="20"/>
        </w:rPr>
        <w:footnoteRef/>
      </w:r>
      <w:r w:rsidRPr="0046312C">
        <w:rPr>
          <w:sz w:val="20"/>
        </w:rPr>
        <w:t xml:space="preserve"> </w:t>
      </w:r>
      <w:r>
        <w:rPr>
          <w:sz w:val="20"/>
        </w:rPr>
        <w:t xml:space="preserve">Jan Rath, et al., </w:t>
      </w:r>
      <w:r w:rsidRPr="0046312C">
        <w:rPr>
          <w:i/>
          <w:sz w:val="20"/>
        </w:rPr>
        <w:t>Western Europe and its Islam</w:t>
      </w:r>
      <w:r>
        <w:rPr>
          <w:i/>
          <w:sz w:val="20"/>
        </w:rPr>
        <w:t>,</w:t>
      </w:r>
      <w:r>
        <w:rPr>
          <w:sz w:val="20"/>
        </w:rPr>
        <w:t xml:space="preserve"> (Boston: Brill, 2001),</w:t>
      </w:r>
      <w:r w:rsidRPr="0046312C">
        <w:rPr>
          <w:i/>
          <w:sz w:val="20"/>
        </w:rPr>
        <w:t xml:space="preserve"> </w:t>
      </w:r>
      <w:r w:rsidRPr="0046312C">
        <w:rPr>
          <w:sz w:val="20"/>
        </w:rPr>
        <w:t>228</w:t>
      </w:r>
      <w:r>
        <w:rPr>
          <w:sz w:val="20"/>
        </w:rPr>
        <w:t>.</w:t>
      </w:r>
    </w:p>
  </w:footnote>
  <w:footnote w:id="85">
    <w:p w:rsidR="00EF6B78" w:rsidRPr="008167B9" w:rsidRDefault="00EF6B78">
      <w:pPr>
        <w:pStyle w:val="FootnoteText"/>
        <w:rPr>
          <w:sz w:val="20"/>
        </w:rPr>
      </w:pPr>
      <w:r w:rsidRPr="008167B9">
        <w:rPr>
          <w:rStyle w:val="FootnoteReference"/>
          <w:sz w:val="20"/>
        </w:rPr>
        <w:footnoteRef/>
      </w:r>
      <w:r w:rsidRPr="008167B9">
        <w:rPr>
          <w:sz w:val="20"/>
        </w:rPr>
        <w:t xml:space="preserve"> Rath, </w:t>
      </w:r>
      <w:r w:rsidRPr="008167B9">
        <w:rPr>
          <w:i/>
          <w:sz w:val="20"/>
        </w:rPr>
        <w:t xml:space="preserve">Western Europe and its Islam, </w:t>
      </w:r>
      <w:r w:rsidRPr="008167B9">
        <w:rPr>
          <w:sz w:val="20"/>
        </w:rPr>
        <w:t>42.</w:t>
      </w:r>
    </w:p>
  </w:footnote>
  <w:footnote w:id="86">
    <w:p w:rsidR="00EF6B78" w:rsidRPr="000D5ECB" w:rsidRDefault="00EF6B78">
      <w:pPr>
        <w:pStyle w:val="FootnoteText"/>
        <w:rPr>
          <w:sz w:val="20"/>
        </w:rPr>
      </w:pPr>
      <w:r w:rsidRPr="000D5ECB">
        <w:rPr>
          <w:rStyle w:val="FootnoteReference"/>
          <w:sz w:val="20"/>
        </w:rPr>
        <w:footnoteRef/>
      </w:r>
      <w:r w:rsidRPr="000D5ECB">
        <w:rPr>
          <w:sz w:val="20"/>
        </w:rPr>
        <w:t xml:space="preserve"> </w:t>
      </w:r>
      <w:r>
        <w:rPr>
          <w:sz w:val="20"/>
        </w:rPr>
        <w:t xml:space="preserve">W.A.R. Shadid and P.S. Van Koningsveld, eds., </w:t>
      </w:r>
      <w:r>
        <w:rPr>
          <w:i/>
          <w:sz w:val="20"/>
        </w:rPr>
        <w:t>Muslims in the Margin: Political responses to the presence of Islam in Western Europe</w:t>
      </w:r>
      <w:r>
        <w:rPr>
          <w:sz w:val="20"/>
        </w:rPr>
        <w:t>, (Netherlands: Kok Pharos, 1996),</w:t>
      </w:r>
      <w:r w:rsidRPr="000D5ECB">
        <w:rPr>
          <w:i/>
          <w:sz w:val="20"/>
        </w:rPr>
        <w:t xml:space="preserve"> </w:t>
      </w:r>
      <w:r w:rsidRPr="000D5ECB">
        <w:rPr>
          <w:sz w:val="20"/>
        </w:rPr>
        <w:t>72</w:t>
      </w:r>
      <w:r>
        <w:rPr>
          <w:sz w:val="20"/>
        </w:rPr>
        <w:t>.</w:t>
      </w:r>
    </w:p>
  </w:footnote>
  <w:footnote w:id="87">
    <w:p w:rsidR="00EF6B78" w:rsidRPr="00DB35FB" w:rsidRDefault="00EF6B78">
      <w:pPr>
        <w:pStyle w:val="FootnoteText"/>
        <w:rPr>
          <w:sz w:val="20"/>
        </w:rPr>
      </w:pPr>
      <w:r w:rsidRPr="00DB35FB">
        <w:rPr>
          <w:rStyle w:val="FootnoteReference"/>
          <w:sz w:val="20"/>
        </w:rPr>
        <w:footnoteRef/>
      </w:r>
      <w:r w:rsidRPr="00DB35FB">
        <w:rPr>
          <w:sz w:val="20"/>
        </w:rPr>
        <w:t xml:space="preserve"> </w:t>
      </w:r>
      <w:r>
        <w:rPr>
          <w:sz w:val="20"/>
        </w:rPr>
        <w:t xml:space="preserve">Meer and Modood, </w:t>
      </w:r>
      <w:r w:rsidRPr="00DB35FB">
        <w:rPr>
          <w:i/>
          <w:sz w:val="20"/>
        </w:rPr>
        <w:t xml:space="preserve">The Multicultural State </w:t>
      </w:r>
      <w:r>
        <w:rPr>
          <w:i/>
          <w:sz w:val="20"/>
        </w:rPr>
        <w:t xml:space="preserve">we’re </w:t>
      </w:r>
      <w:r w:rsidRPr="00DB35FB">
        <w:rPr>
          <w:i/>
          <w:sz w:val="20"/>
        </w:rPr>
        <w:t>in</w:t>
      </w:r>
      <w:r>
        <w:rPr>
          <w:i/>
          <w:sz w:val="20"/>
        </w:rPr>
        <w:t>,</w:t>
      </w:r>
      <w:r w:rsidRPr="00DB35FB">
        <w:rPr>
          <w:i/>
          <w:sz w:val="20"/>
        </w:rPr>
        <w:t xml:space="preserve"> </w:t>
      </w:r>
      <w:r w:rsidRPr="00DB35FB">
        <w:rPr>
          <w:sz w:val="20"/>
        </w:rPr>
        <w:t>16 – 17.</w:t>
      </w:r>
    </w:p>
  </w:footnote>
  <w:footnote w:id="88">
    <w:p w:rsidR="00EF6B78" w:rsidRDefault="00EF6B78">
      <w:pPr>
        <w:pStyle w:val="FootnoteText"/>
      </w:pPr>
      <w:r>
        <w:rPr>
          <w:rStyle w:val="FootnoteReference"/>
        </w:rPr>
        <w:footnoteRef/>
      </w:r>
      <w:r>
        <w:t xml:space="preserve"> </w:t>
      </w:r>
      <w:r>
        <w:rPr>
          <w:sz w:val="20"/>
        </w:rPr>
        <w:t xml:space="preserve">Meer and Modood, </w:t>
      </w:r>
      <w:r w:rsidRPr="00DB35FB">
        <w:rPr>
          <w:i/>
          <w:sz w:val="20"/>
        </w:rPr>
        <w:t xml:space="preserve">The Multicultural State </w:t>
      </w:r>
      <w:r>
        <w:rPr>
          <w:i/>
          <w:sz w:val="20"/>
        </w:rPr>
        <w:t xml:space="preserve">we’re </w:t>
      </w:r>
      <w:r w:rsidRPr="00DB35FB">
        <w:rPr>
          <w:i/>
          <w:sz w:val="20"/>
        </w:rPr>
        <w:t>in</w:t>
      </w:r>
      <w:r>
        <w:rPr>
          <w:i/>
          <w:sz w:val="20"/>
        </w:rPr>
        <w:t>,</w:t>
      </w:r>
      <w:r w:rsidRPr="00DB35FB">
        <w:rPr>
          <w:i/>
          <w:sz w:val="20"/>
        </w:rPr>
        <w:t xml:space="preserve"> </w:t>
      </w:r>
      <w:r w:rsidRPr="00DB35FB">
        <w:rPr>
          <w:sz w:val="20"/>
        </w:rPr>
        <w:t>16</w:t>
      </w:r>
      <w:r>
        <w:rPr>
          <w:sz w:val="20"/>
        </w:rPr>
        <w:t>.</w:t>
      </w:r>
    </w:p>
  </w:footnote>
  <w:footnote w:id="89">
    <w:p w:rsidR="00EF6B78" w:rsidRDefault="00EF6B78">
      <w:pPr>
        <w:pStyle w:val="FootnoteText"/>
      </w:pPr>
      <w:r>
        <w:rPr>
          <w:rStyle w:val="FootnoteReference"/>
        </w:rPr>
        <w:footnoteRef/>
      </w:r>
      <w:r>
        <w:t xml:space="preserve"> </w:t>
      </w:r>
      <w:r w:rsidRPr="00C41719">
        <w:rPr>
          <w:sz w:val="20"/>
        </w:rPr>
        <w:t xml:space="preserve">Tariq Modood, Anna Triandafyllidou, and Ricard Zapata-Barrero, </w:t>
      </w:r>
      <w:r w:rsidRPr="00C41719">
        <w:rPr>
          <w:i/>
          <w:sz w:val="20"/>
        </w:rPr>
        <w:t>Multiculturalism, Muslims and Citizenship: A European Approach</w:t>
      </w:r>
      <w:r w:rsidRPr="00C41719">
        <w:rPr>
          <w:sz w:val="20"/>
        </w:rPr>
        <w:t>. N</w:t>
      </w:r>
      <w:r>
        <w:rPr>
          <w:sz w:val="20"/>
        </w:rPr>
        <w:t>ew York: Routledge, 2006, 43.</w:t>
      </w:r>
    </w:p>
  </w:footnote>
  <w:footnote w:id="90">
    <w:p w:rsidR="00EF6B78" w:rsidRPr="00255AF7" w:rsidRDefault="00EF6B78">
      <w:pPr>
        <w:pStyle w:val="FootnoteText"/>
        <w:rPr>
          <w:sz w:val="20"/>
        </w:rPr>
      </w:pPr>
      <w:r w:rsidRPr="00255AF7">
        <w:rPr>
          <w:rStyle w:val="FootnoteReference"/>
          <w:sz w:val="20"/>
        </w:rPr>
        <w:footnoteRef/>
      </w:r>
      <w:r w:rsidRPr="00255AF7">
        <w:rPr>
          <w:sz w:val="20"/>
        </w:rPr>
        <w:t xml:space="preserve"> </w:t>
      </w:r>
      <w:r>
        <w:rPr>
          <w:sz w:val="20"/>
        </w:rPr>
        <w:t xml:space="preserve">Barbara Franz, “Europe’s Muslim Youth: An inquiry into the Politics of discrimination, Relative Deprivation, and Identity Formation,” </w:t>
      </w:r>
      <w:r>
        <w:rPr>
          <w:i/>
          <w:sz w:val="20"/>
        </w:rPr>
        <w:t>Mediterranean Quarterly</w:t>
      </w:r>
      <w:r>
        <w:rPr>
          <w:sz w:val="20"/>
        </w:rPr>
        <w:t xml:space="preserve"> 18 (2007), </w:t>
      </w:r>
      <w:r w:rsidRPr="00255AF7">
        <w:rPr>
          <w:sz w:val="20"/>
        </w:rPr>
        <w:t>97</w:t>
      </w:r>
      <w:r>
        <w:rPr>
          <w:sz w:val="20"/>
        </w:rPr>
        <w:t>.</w:t>
      </w:r>
    </w:p>
  </w:footnote>
  <w:footnote w:id="91">
    <w:p w:rsidR="00EF6B78" w:rsidRPr="00681314" w:rsidRDefault="00EF6B78">
      <w:pPr>
        <w:pStyle w:val="FootnoteText"/>
        <w:rPr>
          <w:sz w:val="20"/>
        </w:rPr>
      </w:pPr>
      <w:r w:rsidRPr="00681314">
        <w:rPr>
          <w:rStyle w:val="FootnoteReference"/>
          <w:sz w:val="20"/>
        </w:rPr>
        <w:footnoteRef/>
      </w:r>
      <w:r w:rsidRPr="00681314">
        <w:rPr>
          <w:sz w:val="20"/>
        </w:rPr>
        <w:t xml:space="preserve"> Franz</w:t>
      </w:r>
      <w:r>
        <w:rPr>
          <w:sz w:val="20"/>
        </w:rPr>
        <w:t>, “Europe’s Muslim Youth,”</w:t>
      </w:r>
      <w:r w:rsidRPr="00681314">
        <w:rPr>
          <w:sz w:val="20"/>
        </w:rPr>
        <w:t xml:space="preserve"> 97</w:t>
      </w:r>
      <w:r>
        <w:rPr>
          <w:sz w:val="20"/>
        </w:rPr>
        <w:t>.</w:t>
      </w:r>
    </w:p>
  </w:footnote>
  <w:footnote w:id="92">
    <w:p w:rsidR="00EF6B78" w:rsidRPr="00D6772D" w:rsidRDefault="00EF6B78">
      <w:pPr>
        <w:pStyle w:val="FootnoteText"/>
        <w:rPr>
          <w:sz w:val="20"/>
        </w:rPr>
      </w:pPr>
      <w:r w:rsidRPr="00D641AB">
        <w:rPr>
          <w:rStyle w:val="FootnoteReference"/>
          <w:sz w:val="20"/>
        </w:rPr>
        <w:footnoteRef/>
      </w:r>
      <w:r w:rsidRPr="00D641AB">
        <w:rPr>
          <w:sz w:val="20"/>
        </w:rPr>
        <w:t xml:space="preserve"> Sylvia Walby, Jo Armstrong, Les Humphreys,</w:t>
      </w:r>
      <w:r>
        <w:t xml:space="preserve"> </w:t>
      </w:r>
      <w:r>
        <w:rPr>
          <w:sz w:val="20"/>
        </w:rPr>
        <w:t xml:space="preserve">“Review of Equality Statistics,” </w:t>
      </w:r>
      <w:r w:rsidRPr="00D641AB">
        <w:rPr>
          <w:i/>
          <w:sz w:val="20"/>
        </w:rPr>
        <w:t xml:space="preserve">Equality and Human Rights Commission, </w:t>
      </w:r>
      <w:r>
        <w:rPr>
          <w:sz w:val="20"/>
        </w:rPr>
        <w:t>(2008) 73.</w:t>
      </w:r>
    </w:p>
  </w:footnote>
  <w:footnote w:id="93">
    <w:p w:rsidR="00EF6B78" w:rsidRDefault="00EF6B78">
      <w:pPr>
        <w:pStyle w:val="FootnoteText"/>
      </w:pPr>
      <w:r>
        <w:rPr>
          <w:rStyle w:val="FootnoteReference"/>
        </w:rPr>
        <w:footnoteRef/>
      </w:r>
      <w:r>
        <w:t xml:space="preserve"> </w:t>
      </w:r>
      <w:r w:rsidRPr="00D641AB">
        <w:rPr>
          <w:sz w:val="20"/>
        </w:rPr>
        <w:t>Walby, Armstrong, and Humphreys,</w:t>
      </w:r>
      <w:r>
        <w:t xml:space="preserve"> </w:t>
      </w:r>
      <w:r w:rsidRPr="00EE659C">
        <w:rPr>
          <w:sz w:val="20"/>
        </w:rPr>
        <w:t>“Review Equality Statistics”</w:t>
      </w:r>
      <w:r>
        <w:rPr>
          <w:sz w:val="20"/>
        </w:rPr>
        <w:t xml:space="preserve"> 75</w:t>
      </w:r>
    </w:p>
  </w:footnote>
  <w:footnote w:id="94">
    <w:p w:rsidR="00EF6B78" w:rsidRPr="002F79FF" w:rsidRDefault="00EF6B78" w:rsidP="005D0272">
      <w:pPr>
        <w:pStyle w:val="FootnoteText"/>
        <w:rPr>
          <w:sz w:val="20"/>
        </w:rPr>
      </w:pPr>
      <w:r w:rsidRPr="002F79FF">
        <w:rPr>
          <w:rStyle w:val="FootnoteReference"/>
          <w:sz w:val="20"/>
        </w:rPr>
        <w:footnoteRef/>
      </w:r>
      <w:r w:rsidRPr="002F79FF">
        <w:rPr>
          <w:sz w:val="20"/>
        </w:rPr>
        <w:t xml:space="preserve"> </w:t>
      </w:r>
      <w:r>
        <w:rPr>
          <w:sz w:val="20"/>
        </w:rPr>
        <w:t xml:space="preserve">Jacelyn Cesari, </w:t>
      </w:r>
      <w:r w:rsidRPr="002F79FF">
        <w:rPr>
          <w:i/>
          <w:sz w:val="20"/>
        </w:rPr>
        <w:t>When Islam and Democracy Meet</w:t>
      </w:r>
      <w:r>
        <w:rPr>
          <w:sz w:val="20"/>
        </w:rPr>
        <w:t xml:space="preserve">: </w:t>
      </w:r>
      <w:r>
        <w:rPr>
          <w:i/>
          <w:sz w:val="20"/>
        </w:rPr>
        <w:t>Muslims in Europe and the United States</w:t>
      </w:r>
      <w:r>
        <w:rPr>
          <w:sz w:val="20"/>
        </w:rPr>
        <w:t xml:space="preserve">, (New York: Palgrave Macmillian), </w:t>
      </w:r>
      <w:r w:rsidRPr="002F79FF">
        <w:rPr>
          <w:sz w:val="20"/>
        </w:rPr>
        <w:t>23</w:t>
      </w:r>
      <w:r>
        <w:rPr>
          <w:sz w:val="20"/>
        </w:rPr>
        <w:t>.</w:t>
      </w:r>
    </w:p>
  </w:footnote>
  <w:footnote w:id="95">
    <w:p w:rsidR="00EF6B78" w:rsidRPr="001754FD" w:rsidRDefault="00EF6B78">
      <w:pPr>
        <w:pStyle w:val="FootnoteText"/>
        <w:rPr>
          <w:sz w:val="20"/>
        </w:rPr>
      </w:pPr>
      <w:r w:rsidRPr="001754FD">
        <w:rPr>
          <w:rStyle w:val="FootnoteReference"/>
          <w:sz w:val="20"/>
        </w:rPr>
        <w:footnoteRef/>
      </w:r>
      <w:r w:rsidRPr="001754FD">
        <w:rPr>
          <w:sz w:val="20"/>
        </w:rPr>
        <w:t xml:space="preserve"> Franz, “Europe’s Muslim Youth,” 98.</w:t>
      </w:r>
    </w:p>
  </w:footnote>
  <w:footnote w:id="96">
    <w:p w:rsidR="00EF6B78" w:rsidRPr="00266F8D" w:rsidRDefault="00EF6B78">
      <w:pPr>
        <w:pStyle w:val="FootnoteText"/>
        <w:rPr>
          <w:i/>
          <w:sz w:val="20"/>
        </w:rPr>
      </w:pPr>
      <w:r w:rsidRPr="00266F8D">
        <w:rPr>
          <w:rStyle w:val="FootnoteReference"/>
          <w:sz w:val="20"/>
        </w:rPr>
        <w:footnoteRef/>
      </w:r>
      <w:r w:rsidRPr="00266F8D">
        <w:rPr>
          <w:sz w:val="20"/>
        </w:rPr>
        <w:t xml:space="preserve"> Jorgen S. Nielsen, </w:t>
      </w:r>
      <w:r w:rsidRPr="00266F8D">
        <w:rPr>
          <w:i/>
          <w:sz w:val="20"/>
        </w:rPr>
        <w:t xml:space="preserve">Muslims in Western Europe, </w:t>
      </w:r>
      <w:r w:rsidRPr="00266F8D">
        <w:rPr>
          <w:sz w:val="20"/>
        </w:rPr>
        <w:t>(Edinburgh: Edinburgh University Press, 2004), 50.</w:t>
      </w:r>
    </w:p>
  </w:footnote>
  <w:footnote w:id="97">
    <w:p w:rsidR="00EF6B78" w:rsidRPr="007402EC" w:rsidRDefault="00EF6B78">
      <w:pPr>
        <w:pStyle w:val="FootnoteText"/>
        <w:rPr>
          <w:sz w:val="20"/>
        </w:rPr>
      </w:pPr>
      <w:r w:rsidRPr="007402EC">
        <w:rPr>
          <w:rStyle w:val="FootnoteReference"/>
          <w:sz w:val="20"/>
        </w:rPr>
        <w:footnoteRef/>
      </w:r>
      <w:r w:rsidRPr="007402EC">
        <w:rPr>
          <w:sz w:val="20"/>
        </w:rPr>
        <w:t xml:space="preserve"> Franz</w:t>
      </w:r>
      <w:r>
        <w:rPr>
          <w:sz w:val="20"/>
        </w:rPr>
        <w:t>, “Europe Muslim Youth,”</w:t>
      </w:r>
      <w:r w:rsidRPr="007402EC">
        <w:rPr>
          <w:sz w:val="20"/>
        </w:rPr>
        <w:t xml:space="preserve"> 97</w:t>
      </w:r>
      <w:r>
        <w:rPr>
          <w:sz w:val="20"/>
        </w:rPr>
        <w:t>.</w:t>
      </w:r>
    </w:p>
  </w:footnote>
  <w:footnote w:id="98">
    <w:p w:rsidR="00EF6B78" w:rsidRPr="00DD1F8A" w:rsidRDefault="00EF6B78">
      <w:pPr>
        <w:pStyle w:val="FootnoteText"/>
        <w:rPr>
          <w:sz w:val="20"/>
        </w:rPr>
      </w:pPr>
      <w:r w:rsidRPr="00DD1F8A">
        <w:rPr>
          <w:rStyle w:val="FootnoteReference"/>
          <w:sz w:val="20"/>
        </w:rPr>
        <w:footnoteRef/>
      </w:r>
      <w:r w:rsidRPr="00DD1F8A">
        <w:rPr>
          <w:sz w:val="20"/>
        </w:rPr>
        <w:t xml:space="preserve"> </w:t>
      </w:r>
      <w:r>
        <w:rPr>
          <w:sz w:val="20"/>
        </w:rPr>
        <w:t xml:space="preserve">Modood, Beishon, and Virdee, </w:t>
      </w:r>
      <w:r w:rsidRPr="00DD1F8A">
        <w:rPr>
          <w:i/>
          <w:sz w:val="20"/>
        </w:rPr>
        <w:t>Shifting Ethnic Identities</w:t>
      </w:r>
      <w:r>
        <w:rPr>
          <w:i/>
          <w:sz w:val="20"/>
        </w:rPr>
        <w:t>,</w:t>
      </w:r>
      <w:r w:rsidRPr="00DD1F8A">
        <w:rPr>
          <w:i/>
          <w:sz w:val="20"/>
        </w:rPr>
        <w:t xml:space="preserve"> </w:t>
      </w:r>
      <w:r w:rsidRPr="00DD1F8A">
        <w:rPr>
          <w:sz w:val="20"/>
        </w:rPr>
        <w:t>112</w:t>
      </w:r>
      <w:r>
        <w:rPr>
          <w:sz w:val="20"/>
        </w:rPr>
        <w:t>.</w:t>
      </w:r>
    </w:p>
  </w:footnote>
  <w:footnote w:id="99">
    <w:p w:rsidR="00EF6B78" w:rsidRDefault="00EF6B78">
      <w:pPr>
        <w:pStyle w:val="FootnoteText"/>
      </w:pPr>
      <w:r>
        <w:rPr>
          <w:rStyle w:val="FootnoteReference"/>
        </w:rPr>
        <w:footnoteRef/>
      </w:r>
      <w:r>
        <w:t xml:space="preserve"> </w:t>
      </w:r>
      <w:r>
        <w:rPr>
          <w:sz w:val="20"/>
        </w:rPr>
        <w:t>Modood, Beishon, Virdee</w:t>
      </w:r>
      <w:r w:rsidRPr="007D3954">
        <w:rPr>
          <w:sz w:val="20"/>
        </w:rPr>
        <w:t xml:space="preserve">, </w:t>
      </w:r>
      <w:r w:rsidRPr="007D3954">
        <w:rPr>
          <w:i/>
          <w:sz w:val="20"/>
        </w:rPr>
        <w:t>Changing Ethnic Identities,</w:t>
      </w:r>
      <w:r>
        <w:rPr>
          <w:i/>
        </w:rPr>
        <w:t xml:space="preserve"> </w:t>
      </w:r>
      <w:r w:rsidRPr="00DD1F8A">
        <w:rPr>
          <w:sz w:val="20"/>
        </w:rPr>
        <w:t>97</w:t>
      </w:r>
      <w:r>
        <w:rPr>
          <w:sz w:val="20"/>
        </w:rPr>
        <w:t>.</w:t>
      </w:r>
    </w:p>
  </w:footnote>
  <w:footnote w:id="100">
    <w:p w:rsidR="00EF6B78" w:rsidRPr="003F5A9D" w:rsidRDefault="00EF6B78">
      <w:pPr>
        <w:pStyle w:val="FootnoteText"/>
        <w:rPr>
          <w:sz w:val="20"/>
        </w:rPr>
      </w:pPr>
      <w:r w:rsidRPr="003F5A9D">
        <w:rPr>
          <w:rStyle w:val="FootnoteReference"/>
          <w:sz w:val="20"/>
        </w:rPr>
        <w:footnoteRef/>
      </w:r>
      <w:r w:rsidRPr="003F5A9D">
        <w:rPr>
          <w:sz w:val="20"/>
        </w:rPr>
        <w:t xml:space="preserve"> </w:t>
      </w:r>
      <w:r>
        <w:rPr>
          <w:sz w:val="20"/>
        </w:rPr>
        <w:t>Modood, Beishon, Virdee</w:t>
      </w:r>
      <w:r w:rsidRPr="007D3954">
        <w:rPr>
          <w:sz w:val="20"/>
        </w:rPr>
        <w:t xml:space="preserve">, </w:t>
      </w:r>
      <w:r w:rsidRPr="007D3954">
        <w:rPr>
          <w:i/>
          <w:sz w:val="20"/>
        </w:rPr>
        <w:t>Changing Ethnic Identities,</w:t>
      </w:r>
      <w:r>
        <w:rPr>
          <w:i/>
          <w:sz w:val="20"/>
        </w:rPr>
        <w:t xml:space="preserve"> </w:t>
      </w:r>
      <w:r w:rsidRPr="003F5A9D">
        <w:rPr>
          <w:sz w:val="20"/>
        </w:rPr>
        <w:t>112</w:t>
      </w:r>
    </w:p>
  </w:footnote>
  <w:footnote w:id="101">
    <w:p w:rsidR="00EF6B78" w:rsidRDefault="00EF6B78">
      <w:pPr>
        <w:pStyle w:val="FootnoteText"/>
      </w:pPr>
      <w:r w:rsidRPr="003F5A9D">
        <w:rPr>
          <w:rStyle w:val="FootnoteReference"/>
          <w:sz w:val="20"/>
        </w:rPr>
        <w:footnoteRef/>
      </w:r>
      <w:r w:rsidRPr="003F5A9D">
        <w:rPr>
          <w:sz w:val="20"/>
        </w:rPr>
        <w:t xml:space="preserve"> </w:t>
      </w:r>
      <w:r>
        <w:rPr>
          <w:sz w:val="20"/>
        </w:rPr>
        <w:t>Modood, Beishon, Virdee</w:t>
      </w:r>
      <w:r w:rsidRPr="007D3954">
        <w:rPr>
          <w:sz w:val="20"/>
        </w:rPr>
        <w:t xml:space="preserve">, </w:t>
      </w:r>
      <w:r w:rsidRPr="007D3954">
        <w:rPr>
          <w:i/>
          <w:sz w:val="20"/>
        </w:rPr>
        <w:t>Changing Ethnic Identities,</w:t>
      </w:r>
      <w:r>
        <w:rPr>
          <w:i/>
          <w:sz w:val="20"/>
        </w:rPr>
        <w:t xml:space="preserve"> </w:t>
      </w:r>
      <w:r w:rsidRPr="003F5A9D">
        <w:rPr>
          <w:sz w:val="20"/>
        </w:rPr>
        <w:t>112</w:t>
      </w:r>
    </w:p>
  </w:footnote>
  <w:footnote w:id="102">
    <w:p w:rsidR="00EF6B78" w:rsidRPr="00942903" w:rsidRDefault="00EF6B78">
      <w:pPr>
        <w:pStyle w:val="FootnoteText"/>
        <w:rPr>
          <w:sz w:val="20"/>
        </w:rPr>
      </w:pPr>
      <w:r w:rsidRPr="00942903">
        <w:rPr>
          <w:rStyle w:val="FootnoteReference"/>
          <w:sz w:val="20"/>
        </w:rPr>
        <w:footnoteRef/>
      </w:r>
      <w:r w:rsidRPr="00942903">
        <w:rPr>
          <w:sz w:val="20"/>
        </w:rPr>
        <w:t xml:space="preserve"> </w:t>
      </w:r>
      <w:r>
        <w:rPr>
          <w:sz w:val="20"/>
        </w:rPr>
        <w:t xml:space="preserve">Modood, Beishon, Virdee, </w:t>
      </w:r>
      <w:r>
        <w:rPr>
          <w:i/>
          <w:sz w:val="20"/>
        </w:rPr>
        <w:t>Changing</w:t>
      </w:r>
      <w:r w:rsidRPr="00942903">
        <w:rPr>
          <w:i/>
          <w:sz w:val="20"/>
        </w:rPr>
        <w:t xml:space="preserve"> identities</w:t>
      </w:r>
      <w:r>
        <w:rPr>
          <w:i/>
          <w:sz w:val="20"/>
        </w:rPr>
        <w:t>,</w:t>
      </w:r>
      <w:r w:rsidRPr="00942903">
        <w:rPr>
          <w:i/>
          <w:sz w:val="20"/>
        </w:rPr>
        <w:t xml:space="preserve"> </w:t>
      </w:r>
      <w:r w:rsidRPr="00942903">
        <w:rPr>
          <w:sz w:val="20"/>
        </w:rPr>
        <w:t>99</w:t>
      </w:r>
    </w:p>
  </w:footnote>
  <w:footnote w:id="103">
    <w:p w:rsidR="00EF6B78" w:rsidRDefault="00EF6B78">
      <w:pPr>
        <w:pStyle w:val="FootnoteText"/>
      </w:pPr>
      <w:r w:rsidRPr="00942903">
        <w:rPr>
          <w:rStyle w:val="FootnoteReference"/>
          <w:sz w:val="20"/>
        </w:rPr>
        <w:footnoteRef/>
      </w:r>
      <w:r w:rsidRPr="00942903">
        <w:rPr>
          <w:sz w:val="20"/>
        </w:rPr>
        <w:t xml:space="preserve"> </w:t>
      </w:r>
      <w:r>
        <w:rPr>
          <w:sz w:val="20"/>
        </w:rPr>
        <w:t xml:space="preserve">Modood, Beishon, Virdee </w:t>
      </w:r>
      <w:r>
        <w:rPr>
          <w:i/>
          <w:sz w:val="20"/>
        </w:rPr>
        <w:t>Changing identities,</w:t>
      </w:r>
      <w:r w:rsidRPr="00942903">
        <w:rPr>
          <w:sz w:val="20"/>
        </w:rPr>
        <w:t xml:space="preserve"> 99</w:t>
      </w:r>
    </w:p>
  </w:footnote>
  <w:footnote w:id="104">
    <w:p w:rsidR="00EF6B78" w:rsidRPr="00CB6BDC" w:rsidRDefault="00EF6B78">
      <w:pPr>
        <w:pStyle w:val="FootnoteText"/>
        <w:rPr>
          <w:sz w:val="20"/>
        </w:rPr>
      </w:pPr>
      <w:r w:rsidRPr="00CB6BDC">
        <w:rPr>
          <w:rStyle w:val="FootnoteReference"/>
          <w:sz w:val="20"/>
        </w:rPr>
        <w:footnoteRef/>
      </w:r>
      <w:r w:rsidRPr="00CB6BDC">
        <w:rPr>
          <w:sz w:val="20"/>
        </w:rPr>
        <w:t xml:space="preserve"> </w:t>
      </w:r>
      <w:r>
        <w:rPr>
          <w:sz w:val="20"/>
        </w:rPr>
        <w:t xml:space="preserve">Yunas Samad and Katsuri Sen, </w:t>
      </w:r>
      <w:r w:rsidRPr="00CB6BDC">
        <w:rPr>
          <w:i/>
          <w:sz w:val="20"/>
        </w:rPr>
        <w:t>Islam in the European Union</w:t>
      </w:r>
      <w:r>
        <w:rPr>
          <w:i/>
          <w:sz w:val="20"/>
        </w:rPr>
        <w:t>: Transnationalism, Youth and the War on Terror</w:t>
      </w:r>
      <w:r>
        <w:rPr>
          <w:sz w:val="20"/>
        </w:rPr>
        <w:t>, (Oxford: Oxford University Press, 2007),</w:t>
      </w:r>
      <w:r w:rsidRPr="00CB6BDC">
        <w:rPr>
          <w:sz w:val="20"/>
        </w:rPr>
        <w:t xml:space="preserve"> 153</w:t>
      </w:r>
      <w:r>
        <w:rPr>
          <w:sz w:val="20"/>
        </w:rPr>
        <w:t>.</w:t>
      </w:r>
    </w:p>
  </w:footnote>
  <w:footnote w:id="105">
    <w:p w:rsidR="00EF6B78" w:rsidRPr="00DB6465" w:rsidRDefault="00EF6B78">
      <w:pPr>
        <w:pStyle w:val="FootnoteText"/>
        <w:rPr>
          <w:sz w:val="20"/>
        </w:rPr>
      </w:pPr>
      <w:r w:rsidRPr="00DB6465">
        <w:rPr>
          <w:rStyle w:val="FootnoteReference"/>
          <w:sz w:val="20"/>
        </w:rPr>
        <w:footnoteRef/>
      </w:r>
      <w:r w:rsidRPr="00DB6465">
        <w:rPr>
          <w:sz w:val="20"/>
        </w:rPr>
        <w:t xml:space="preserve"> </w:t>
      </w:r>
      <w:r>
        <w:rPr>
          <w:sz w:val="20"/>
        </w:rPr>
        <w:t>Modood, Beishon, Virdee</w:t>
      </w:r>
      <w:r w:rsidRPr="00DB6465">
        <w:rPr>
          <w:i/>
          <w:sz w:val="20"/>
        </w:rPr>
        <w:t xml:space="preserve"> </w:t>
      </w:r>
      <w:r>
        <w:rPr>
          <w:i/>
          <w:sz w:val="20"/>
        </w:rPr>
        <w:t>Changing</w:t>
      </w:r>
      <w:r w:rsidRPr="00DB6465">
        <w:rPr>
          <w:i/>
          <w:sz w:val="20"/>
        </w:rPr>
        <w:t xml:space="preserve"> identities</w:t>
      </w:r>
      <w:r>
        <w:rPr>
          <w:i/>
          <w:sz w:val="20"/>
        </w:rPr>
        <w:t>,</w:t>
      </w:r>
      <w:r w:rsidRPr="00DB6465">
        <w:rPr>
          <w:i/>
          <w:sz w:val="20"/>
        </w:rPr>
        <w:t xml:space="preserve"> </w:t>
      </w:r>
      <w:r w:rsidRPr="00DB6465">
        <w:rPr>
          <w:sz w:val="20"/>
        </w:rPr>
        <w:t>5</w:t>
      </w:r>
    </w:p>
  </w:footnote>
  <w:footnote w:id="106">
    <w:p w:rsidR="00EF6B78" w:rsidRPr="00FC2963" w:rsidRDefault="00EF6B78">
      <w:pPr>
        <w:pStyle w:val="FootnoteText"/>
        <w:rPr>
          <w:sz w:val="20"/>
        </w:rPr>
      </w:pPr>
      <w:r w:rsidRPr="00FC2963">
        <w:rPr>
          <w:rStyle w:val="FootnoteReference"/>
          <w:sz w:val="20"/>
        </w:rPr>
        <w:footnoteRef/>
      </w:r>
      <w:r w:rsidRPr="00FC2963">
        <w:rPr>
          <w:sz w:val="20"/>
        </w:rPr>
        <w:t xml:space="preserve"> </w:t>
      </w:r>
      <w:r>
        <w:rPr>
          <w:sz w:val="20"/>
        </w:rPr>
        <w:t xml:space="preserve">Yunas Samad and Katsuri Sen, </w:t>
      </w:r>
      <w:r w:rsidRPr="005D2681">
        <w:rPr>
          <w:i/>
          <w:sz w:val="20"/>
        </w:rPr>
        <w:t>Islam in the European Union</w:t>
      </w:r>
      <w:r>
        <w:rPr>
          <w:i/>
          <w:sz w:val="20"/>
        </w:rPr>
        <w:t>,</w:t>
      </w:r>
      <w:r w:rsidRPr="00FC2963">
        <w:rPr>
          <w:sz w:val="20"/>
        </w:rPr>
        <w:t xml:space="preserve"> 164</w:t>
      </w:r>
      <w:r>
        <w:rPr>
          <w:sz w:val="20"/>
        </w:rPr>
        <w:t>.</w:t>
      </w:r>
    </w:p>
  </w:footnote>
  <w:footnote w:id="107">
    <w:p w:rsidR="00EF6B78" w:rsidRPr="003D4459" w:rsidRDefault="00EF6B78">
      <w:pPr>
        <w:pStyle w:val="FootnoteText"/>
        <w:rPr>
          <w:sz w:val="20"/>
        </w:rPr>
      </w:pPr>
      <w:r w:rsidRPr="003D4459">
        <w:rPr>
          <w:rStyle w:val="FootnoteReference"/>
          <w:sz w:val="20"/>
        </w:rPr>
        <w:footnoteRef/>
      </w:r>
      <w:r w:rsidRPr="003D4459">
        <w:rPr>
          <w:sz w:val="20"/>
        </w:rPr>
        <w:t xml:space="preserve"> </w:t>
      </w:r>
      <w:r>
        <w:rPr>
          <w:sz w:val="20"/>
        </w:rPr>
        <w:t xml:space="preserve">Yunas Samad and Katsuri Sen, </w:t>
      </w:r>
      <w:r w:rsidRPr="005D2681">
        <w:rPr>
          <w:i/>
          <w:sz w:val="20"/>
        </w:rPr>
        <w:t>Islam in the European Union</w:t>
      </w:r>
      <w:r>
        <w:rPr>
          <w:i/>
          <w:sz w:val="20"/>
        </w:rPr>
        <w:t>,</w:t>
      </w:r>
      <w:r w:rsidRPr="003D4459">
        <w:rPr>
          <w:sz w:val="20"/>
        </w:rPr>
        <w:t xml:space="preserve"> 167</w:t>
      </w:r>
      <w:r>
        <w:rPr>
          <w:sz w:val="20"/>
        </w:rPr>
        <w:t>.</w:t>
      </w:r>
    </w:p>
  </w:footnote>
  <w:footnote w:id="108">
    <w:p w:rsidR="00EF6B78" w:rsidRPr="00572BBF" w:rsidRDefault="00EF6B78">
      <w:pPr>
        <w:pStyle w:val="FootnoteText"/>
        <w:rPr>
          <w:sz w:val="20"/>
        </w:rPr>
      </w:pPr>
      <w:r w:rsidRPr="00572BBF">
        <w:rPr>
          <w:rStyle w:val="FootnoteReference"/>
          <w:sz w:val="20"/>
        </w:rPr>
        <w:footnoteRef/>
      </w:r>
      <w:r w:rsidRPr="00572BBF">
        <w:rPr>
          <w:sz w:val="20"/>
        </w:rPr>
        <w:t xml:space="preserve"> </w:t>
      </w:r>
      <w:r>
        <w:rPr>
          <w:sz w:val="20"/>
        </w:rPr>
        <w:t xml:space="preserve">Yunas Samad and Katsuri Ken, </w:t>
      </w:r>
      <w:r w:rsidRPr="00572BBF">
        <w:rPr>
          <w:i/>
          <w:sz w:val="20"/>
        </w:rPr>
        <w:t>Islam in the European Union</w:t>
      </w:r>
      <w:r>
        <w:rPr>
          <w:i/>
          <w:sz w:val="20"/>
        </w:rPr>
        <w:t>,</w:t>
      </w:r>
      <w:r w:rsidRPr="00572BBF">
        <w:rPr>
          <w:i/>
          <w:sz w:val="20"/>
        </w:rPr>
        <w:t xml:space="preserve"> </w:t>
      </w:r>
      <w:r w:rsidRPr="00572BBF">
        <w:rPr>
          <w:sz w:val="20"/>
        </w:rPr>
        <w:t>146</w:t>
      </w:r>
      <w:r>
        <w:rPr>
          <w:sz w:val="20"/>
        </w:rPr>
        <w:t>.</w:t>
      </w:r>
    </w:p>
  </w:footnote>
  <w:footnote w:id="109">
    <w:p w:rsidR="00EF6B78" w:rsidRPr="00405EC1" w:rsidRDefault="00EF6B78">
      <w:pPr>
        <w:pStyle w:val="FootnoteText"/>
      </w:pPr>
      <w:r>
        <w:rPr>
          <w:rStyle w:val="FootnoteReference"/>
        </w:rPr>
        <w:footnoteRef/>
      </w:r>
      <w:r>
        <w:t xml:space="preserve"> </w:t>
      </w:r>
      <w:r w:rsidRPr="00405EC1">
        <w:rPr>
          <w:i/>
          <w:sz w:val="20"/>
        </w:rPr>
        <w:t>The Guardian</w:t>
      </w:r>
      <w:r w:rsidRPr="00405EC1">
        <w:rPr>
          <w:sz w:val="20"/>
        </w:rPr>
        <w:t xml:space="preserve"> 1/30/2003 pg. 9</w:t>
      </w:r>
    </w:p>
  </w:footnote>
  <w:footnote w:id="110">
    <w:p w:rsidR="00EF6B78" w:rsidRPr="00A342E2" w:rsidRDefault="00EF6B78">
      <w:pPr>
        <w:pStyle w:val="FootnoteText"/>
        <w:rPr>
          <w:sz w:val="20"/>
        </w:rPr>
      </w:pPr>
      <w:r w:rsidRPr="00A342E2">
        <w:rPr>
          <w:rStyle w:val="FootnoteReference"/>
          <w:sz w:val="20"/>
        </w:rPr>
        <w:footnoteRef/>
      </w:r>
      <w:r w:rsidRPr="00A342E2">
        <w:rPr>
          <w:sz w:val="20"/>
        </w:rPr>
        <w:t xml:space="preserve"> </w:t>
      </w:r>
      <w:r>
        <w:rPr>
          <w:sz w:val="20"/>
        </w:rPr>
        <w:t xml:space="preserve">Yunas Samad and Katsuri Ken, </w:t>
      </w:r>
      <w:r w:rsidRPr="00A342E2">
        <w:rPr>
          <w:i/>
          <w:sz w:val="20"/>
        </w:rPr>
        <w:t>Islam in the European Union</w:t>
      </w:r>
      <w:r>
        <w:rPr>
          <w:i/>
          <w:sz w:val="20"/>
        </w:rPr>
        <w:t>,</w:t>
      </w:r>
      <w:r w:rsidRPr="00A342E2">
        <w:rPr>
          <w:sz w:val="20"/>
        </w:rPr>
        <w:t xml:space="preserve"> 146</w:t>
      </w:r>
      <w:r>
        <w:rPr>
          <w:sz w:val="20"/>
        </w:rPr>
        <w:t>.</w:t>
      </w:r>
    </w:p>
  </w:footnote>
  <w:footnote w:id="111">
    <w:p w:rsidR="00EF6B78" w:rsidRPr="00B91928" w:rsidRDefault="00EF6B78">
      <w:pPr>
        <w:pStyle w:val="FootnoteText"/>
        <w:rPr>
          <w:sz w:val="20"/>
        </w:rPr>
      </w:pPr>
      <w:r w:rsidRPr="00B91928">
        <w:rPr>
          <w:rStyle w:val="FootnoteReference"/>
          <w:sz w:val="20"/>
        </w:rPr>
        <w:footnoteRef/>
      </w:r>
      <w:r w:rsidRPr="00B91928">
        <w:rPr>
          <w:sz w:val="20"/>
        </w:rPr>
        <w:t xml:space="preserve"> </w:t>
      </w:r>
      <w:r>
        <w:rPr>
          <w:sz w:val="20"/>
        </w:rPr>
        <w:t>Meer and Modood, “</w:t>
      </w:r>
      <w:r w:rsidRPr="00B91928">
        <w:rPr>
          <w:sz w:val="20"/>
        </w:rPr>
        <w:t>The multicultural state we’re in</w:t>
      </w:r>
      <w:r>
        <w:rPr>
          <w:sz w:val="20"/>
        </w:rPr>
        <w:t>,”</w:t>
      </w:r>
      <w:r w:rsidRPr="00B91928">
        <w:rPr>
          <w:sz w:val="20"/>
        </w:rPr>
        <w:t xml:space="preserve"> 3</w:t>
      </w:r>
      <w:r>
        <w:rPr>
          <w:sz w:val="20"/>
        </w:rPr>
        <w:t>.</w:t>
      </w:r>
    </w:p>
  </w:footnote>
  <w:footnote w:id="112">
    <w:p w:rsidR="00EF6B78" w:rsidRDefault="00EF6B78">
      <w:pPr>
        <w:pStyle w:val="FootnoteText"/>
      </w:pPr>
      <w:r w:rsidRPr="00B91928">
        <w:rPr>
          <w:rStyle w:val="FootnoteReference"/>
          <w:sz w:val="20"/>
        </w:rPr>
        <w:footnoteRef/>
      </w:r>
      <w:r w:rsidRPr="00B91928">
        <w:rPr>
          <w:sz w:val="20"/>
        </w:rPr>
        <w:t xml:space="preserve"> </w:t>
      </w:r>
      <w:r>
        <w:rPr>
          <w:sz w:val="20"/>
        </w:rPr>
        <w:t>Meer and Modood, “</w:t>
      </w:r>
      <w:r w:rsidRPr="00B91928">
        <w:rPr>
          <w:sz w:val="20"/>
        </w:rPr>
        <w:t>The multicultural state we’re in</w:t>
      </w:r>
      <w:r>
        <w:rPr>
          <w:sz w:val="20"/>
        </w:rPr>
        <w:t>,”</w:t>
      </w:r>
      <w:r w:rsidRPr="00B91928">
        <w:rPr>
          <w:sz w:val="20"/>
        </w:rPr>
        <w:t xml:space="preserve"> 3</w:t>
      </w:r>
      <w:r>
        <w:rPr>
          <w:sz w:val="20"/>
        </w:rPr>
        <w:t>.</w:t>
      </w:r>
    </w:p>
  </w:footnote>
  <w:footnote w:id="113">
    <w:p w:rsidR="00EF6B78" w:rsidRPr="00F06CE7" w:rsidRDefault="00EF6B78">
      <w:pPr>
        <w:pStyle w:val="FootnoteText"/>
        <w:rPr>
          <w:sz w:val="20"/>
        </w:rPr>
      </w:pPr>
      <w:r w:rsidRPr="00F06CE7">
        <w:rPr>
          <w:rStyle w:val="FootnoteReference"/>
          <w:sz w:val="20"/>
        </w:rPr>
        <w:footnoteRef/>
      </w:r>
      <w:r w:rsidRPr="00F06CE7">
        <w:rPr>
          <w:sz w:val="20"/>
        </w:rPr>
        <w:t xml:space="preserve"> </w:t>
      </w:r>
      <w:r>
        <w:rPr>
          <w:sz w:val="20"/>
        </w:rPr>
        <w:t>Meer and Modood, “</w:t>
      </w:r>
      <w:r w:rsidRPr="00F06CE7">
        <w:rPr>
          <w:sz w:val="20"/>
        </w:rPr>
        <w:t>The multicultural state we’re in</w:t>
      </w:r>
      <w:r>
        <w:rPr>
          <w:sz w:val="20"/>
        </w:rPr>
        <w:t>,”</w:t>
      </w:r>
      <w:r w:rsidRPr="00F06CE7">
        <w:rPr>
          <w:sz w:val="20"/>
        </w:rPr>
        <w:t xml:space="preserve"> 8</w:t>
      </w:r>
      <w:r>
        <w:rPr>
          <w:sz w:val="20"/>
        </w:rPr>
        <w:t>.</w:t>
      </w:r>
    </w:p>
  </w:footnote>
  <w:footnote w:id="114">
    <w:p w:rsidR="00EF6B78" w:rsidRPr="00B667A5" w:rsidRDefault="00EF6B78">
      <w:pPr>
        <w:pStyle w:val="FootnoteText"/>
        <w:rPr>
          <w:sz w:val="20"/>
        </w:rPr>
      </w:pPr>
      <w:r w:rsidRPr="00B667A5">
        <w:rPr>
          <w:rStyle w:val="FootnoteReference"/>
          <w:sz w:val="20"/>
        </w:rPr>
        <w:footnoteRef/>
      </w:r>
      <w:r w:rsidRPr="00B667A5">
        <w:rPr>
          <w:sz w:val="20"/>
        </w:rPr>
        <w:t xml:space="preserve"> </w:t>
      </w:r>
      <w:r>
        <w:rPr>
          <w:sz w:val="20"/>
        </w:rPr>
        <w:t>Meer and Modood, “</w:t>
      </w:r>
      <w:r w:rsidRPr="00F06CE7">
        <w:rPr>
          <w:sz w:val="20"/>
        </w:rPr>
        <w:t>The multicultural state we’re in</w:t>
      </w:r>
      <w:r>
        <w:rPr>
          <w:sz w:val="20"/>
        </w:rPr>
        <w:t>,”</w:t>
      </w:r>
      <w:r w:rsidRPr="00F06CE7">
        <w:rPr>
          <w:sz w:val="20"/>
        </w:rPr>
        <w:t xml:space="preserve"> 8</w:t>
      </w:r>
      <w:r>
        <w:rPr>
          <w:sz w:val="20"/>
        </w:rPr>
        <w:t>.</w:t>
      </w:r>
    </w:p>
  </w:footnote>
  <w:footnote w:id="115">
    <w:p w:rsidR="00EF6B78" w:rsidRPr="0075753A" w:rsidRDefault="00EF6B78">
      <w:pPr>
        <w:pStyle w:val="FootnoteText"/>
        <w:rPr>
          <w:sz w:val="20"/>
        </w:rPr>
      </w:pPr>
      <w:r w:rsidRPr="0075753A">
        <w:rPr>
          <w:rStyle w:val="FootnoteReference"/>
          <w:sz w:val="20"/>
        </w:rPr>
        <w:footnoteRef/>
      </w:r>
      <w:r>
        <w:rPr>
          <w:sz w:val="20"/>
        </w:rPr>
        <w:t xml:space="preserve"> Jason Benetto, “Police and Racism: What has been achieved ten years after the Stephen Lawrence Inquiry report,” </w:t>
      </w:r>
      <w:r>
        <w:rPr>
          <w:i/>
          <w:sz w:val="20"/>
        </w:rPr>
        <w:t>Equality and Human Rights Commission</w:t>
      </w:r>
      <w:r>
        <w:rPr>
          <w:sz w:val="20"/>
        </w:rPr>
        <w:t xml:space="preserve"> (2009), 21.</w:t>
      </w:r>
    </w:p>
  </w:footnote>
  <w:footnote w:id="116">
    <w:p w:rsidR="00EF6B78" w:rsidRPr="00F6435C" w:rsidRDefault="00EF6B78">
      <w:pPr>
        <w:pStyle w:val="FootnoteText"/>
        <w:rPr>
          <w:sz w:val="20"/>
        </w:rPr>
      </w:pPr>
      <w:r w:rsidRPr="00F6435C">
        <w:rPr>
          <w:rStyle w:val="FootnoteReference"/>
          <w:sz w:val="20"/>
        </w:rPr>
        <w:footnoteRef/>
      </w:r>
      <w:r w:rsidRPr="00F6435C">
        <w:rPr>
          <w:sz w:val="20"/>
        </w:rPr>
        <w:t xml:space="preserve"> Jason Benetto, “Police and Racism,” 21.</w:t>
      </w:r>
    </w:p>
  </w:footnote>
  <w:footnote w:id="117">
    <w:p w:rsidR="00EF6B78" w:rsidRPr="00485DC5" w:rsidRDefault="00EF6B78">
      <w:pPr>
        <w:pStyle w:val="FootnoteText"/>
        <w:rPr>
          <w:sz w:val="20"/>
        </w:rPr>
      </w:pPr>
      <w:r w:rsidRPr="00485DC5">
        <w:rPr>
          <w:rStyle w:val="FootnoteReference"/>
          <w:sz w:val="20"/>
        </w:rPr>
        <w:footnoteRef/>
      </w:r>
      <w:r w:rsidRPr="00485DC5">
        <w:rPr>
          <w:sz w:val="20"/>
        </w:rPr>
        <w:t xml:space="preserve"> </w:t>
      </w:r>
      <w:r>
        <w:rPr>
          <w:sz w:val="20"/>
        </w:rPr>
        <w:t>Walby, Armstrong, and Humphreys, “</w:t>
      </w:r>
      <w:r w:rsidRPr="00485DC5">
        <w:rPr>
          <w:sz w:val="20"/>
        </w:rPr>
        <w:t>Review of equality statistics</w:t>
      </w:r>
      <w:r>
        <w:rPr>
          <w:sz w:val="20"/>
        </w:rPr>
        <w:t>,”</w:t>
      </w:r>
      <w:r w:rsidRPr="00485DC5">
        <w:rPr>
          <w:sz w:val="20"/>
        </w:rPr>
        <w:t xml:space="preserve"> 84 </w:t>
      </w:r>
      <w:r>
        <w:rPr>
          <w:sz w:val="20"/>
        </w:rPr>
        <w:t>–</w:t>
      </w:r>
      <w:r w:rsidRPr="00485DC5">
        <w:rPr>
          <w:sz w:val="20"/>
        </w:rPr>
        <w:t xml:space="preserve"> 88</w:t>
      </w:r>
      <w:r>
        <w:rPr>
          <w:sz w:val="20"/>
        </w:rPr>
        <w:t>.</w:t>
      </w:r>
    </w:p>
  </w:footnote>
  <w:footnote w:id="118">
    <w:p w:rsidR="00EF6B78" w:rsidRPr="00C86D82" w:rsidRDefault="00EF6B78">
      <w:pPr>
        <w:pStyle w:val="FootnoteText"/>
        <w:rPr>
          <w:sz w:val="20"/>
        </w:rPr>
      </w:pPr>
      <w:r w:rsidRPr="00C86D82">
        <w:rPr>
          <w:rStyle w:val="FootnoteReference"/>
          <w:sz w:val="20"/>
        </w:rPr>
        <w:footnoteRef/>
      </w:r>
      <w:r w:rsidRPr="00C86D82">
        <w:rPr>
          <w:sz w:val="20"/>
        </w:rPr>
        <w:t xml:space="preserve"> </w:t>
      </w:r>
      <w:r>
        <w:rPr>
          <w:sz w:val="20"/>
        </w:rPr>
        <w:t>Meer and Modood, “</w:t>
      </w:r>
      <w:r w:rsidRPr="00DC7562">
        <w:rPr>
          <w:sz w:val="20"/>
        </w:rPr>
        <w:t>Multicultural state that we’re in</w:t>
      </w:r>
      <w:r>
        <w:rPr>
          <w:sz w:val="20"/>
        </w:rPr>
        <w:t>,”</w:t>
      </w:r>
      <w:r w:rsidRPr="00C86D82">
        <w:rPr>
          <w:sz w:val="20"/>
        </w:rPr>
        <w:t xml:space="preserve"> 5</w:t>
      </w:r>
      <w:r>
        <w:rPr>
          <w:sz w:val="20"/>
        </w:rPr>
        <w:t>.</w:t>
      </w:r>
    </w:p>
  </w:footnote>
  <w:footnote w:id="119">
    <w:p w:rsidR="00EF6B78" w:rsidRPr="00F36362" w:rsidRDefault="00EF6B78">
      <w:pPr>
        <w:pStyle w:val="FootnoteText"/>
        <w:rPr>
          <w:sz w:val="20"/>
        </w:rPr>
      </w:pPr>
      <w:r w:rsidRPr="00F36362">
        <w:rPr>
          <w:rStyle w:val="FootnoteReference"/>
          <w:sz w:val="20"/>
        </w:rPr>
        <w:footnoteRef/>
      </w:r>
      <w:r w:rsidRPr="00F36362">
        <w:rPr>
          <w:sz w:val="20"/>
        </w:rPr>
        <w:t xml:space="preserve"> </w:t>
      </w:r>
      <w:r>
        <w:rPr>
          <w:sz w:val="20"/>
        </w:rPr>
        <w:t>“</w:t>
      </w:r>
      <w:r w:rsidRPr="00F36362">
        <w:rPr>
          <w:sz w:val="20"/>
        </w:rPr>
        <w:t xml:space="preserve">The End of Parallel Lives? The Report </w:t>
      </w:r>
      <w:r>
        <w:rPr>
          <w:sz w:val="20"/>
        </w:rPr>
        <w:t>of the Community Cohesion Panel,</w:t>
      </w:r>
      <w:r w:rsidRPr="00F36362">
        <w:rPr>
          <w:sz w:val="20"/>
        </w:rPr>
        <w:t xml:space="preserve">” </w:t>
      </w:r>
      <w:r w:rsidRPr="00F36362">
        <w:rPr>
          <w:i/>
          <w:sz w:val="20"/>
        </w:rPr>
        <w:t xml:space="preserve">Community Cohesion Panel </w:t>
      </w:r>
      <w:r>
        <w:rPr>
          <w:sz w:val="20"/>
        </w:rPr>
        <w:t xml:space="preserve">(2004), </w:t>
      </w:r>
      <w:r w:rsidRPr="00F36362">
        <w:rPr>
          <w:sz w:val="20"/>
        </w:rPr>
        <w:t>7</w:t>
      </w:r>
      <w:r>
        <w:rPr>
          <w:sz w:val="20"/>
        </w:rPr>
        <w:t>.</w:t>
      </w:r>
    </w:p>
  </w:footnote>
  <w:footnote w:id="120">
    <w:p w:rsidR="00EF6B78" w:rsidRPr="00666517" w:rsidRDefault="00EF6B78">
      <w:pPr>
        <w:pStyle w:val="FootnoteText"/>
        <w:rPr>
          <w:sz w:val="20"/>
        </w:rPr>
      </w:pPr>
      <w:r w:rsidRPr="00666517">
        <w:rPr>
          <w:rStyle w:val="FootnoteReference"/>
          <w:sz w:val="20"/>
        </w:rPr>
        <w:footnoteRef/>
      </w:r>
      <w:r w:rsidRPr="00666517">
        <w:rPr>
          <w:sz w:val="20"/>
        </w:rPr>
        <w:t xml:space="preserve"> </w:t>
      </w:r>
      <w:r>
        <w:rPr>
          <w:sz w:val="20"/>
        </w:rPr>
        <w:t xml:space="preserve">Ted </w:t>
      </w:r>
      <w:r w:rsidRPr="00666517">
        <w:rPr>
          <w:sz w:val="20"/>
        </w:rPr>
        <w:t>Cantle</w:t>
      </w:r>
      <w:r>
        <w:rPr>
          <w:sz w:val="20"/>
        </w:rPr>
        <w:t>,</w:t>
      </w:r>
      <w:r w:rsidRPr="00666517">
        <w:rPr>
          <w:sz w:val="20"/>
        </w:rPr>
        <w:t xml:space="preserve"> </w:t>
      </w:r>
      <w:r>
        <w:rPr>
          <w:sz w:val="20"/>
        </w:rPr>
        <w:t>“</w:t>
      </w:r>
      <w:r w:rsidRPr="00666517">
        <w:rPr>
          <w:sz w:val="20"/>
        </w:rPr>
        <w:t>Review</w:t>
      </w:r>
      <w:r>
        <w:rPr>
          <w:sz w:val="20"/>
        </w:rPr>
        <w:t xml:space="preserve"> of community cohesion in Oldham final report,” </w:t>
      </w:r>
      <w:r>
        <w:rPr>
          <w:i/>
          <w:sz w:val="20"/>
        </w:rPr>
        <w:t>Institute of Community Cohesion</w:t>
      </w:r>
      <w:r>
        <w:rPr>
          <w:sz w:val="20"/>
        </w:rPr>
        <w:t xml:space="preserve"> (2006),</w:t>
      </w:r>
      <w:r w:rsidRPr="00666517">
        <w:rPr>
          <w:sz w:val="20"/>
        </w:rPr>
        <w:t xml:space="preserve"> 12</w:t>
      </w:r>
      <w:r>
        <w:rPr>
          <w:sz w:val="20"/>
        </w:rPr>
        <w:t>.</w:t>
      </w:r>
    </w:p>
  </w:footnote>
  <w:footnote w:id="121">
    <w:p w:rsidR="00EF6B78" w:rsidRPr="001C479E" w:rsidRDefault="00EF6B78">
      <w:pPr>
        <w:pStyle w:val="FootnoteText"/>
        <w:rPr>
          <w:sz w:val="20"/>
        </w:rPr>
      </w:pPr>
      <w:r w:rsidRPr="001C479E">
        <w:rPr>
          <w:rStyle w:val="FootnoteReference"/>
          <w:sz w:val="20"/>
        </w:rPr>
        <w:footnoteRef/>
      </w:r>
      <w:r w:rsidRPr="001C479E">
        <w:rPr>
          <w:sz w:val="20"/>
        </w:rPr>
        <w:t xml:space="preserve"> </w:t>
      </w:r>
      <w:r>
        <w:rPr>
          <w:sz w:val="20"/>
        </w:rPr>
        <w:t xml:space="preserve">Cantle, </w:t>
      </w:r>
      <w:r w:rsidRPr="00FD6028">
        <w:rPr>
          <w:i/>
          <w:sz w:val="20"/>
        </w:rPr>
        <w:t>Community Cohesion</w:t>
      </w:r>
      <w:r>
        <w:rPr>
          <w:i/>
          <w:sz w:val="20"/>
        </w:rPr>
        <w:t>,</w:t>
      </w:r>
      <w:r w:rsidRPr="001C479E">
        <w:rPr>
          <w:sz w:val="20"/>
        </w:rPr>
        <w:t xml:space="preserve"> 9</w:t>
      </w:r>
      <w:r>
        <w:rPr>
          <w:sz w:val="20"/>
        </w:rPr>
        <w:t>.</w:t>
      </w:r>
    </w:p>
  </w:footnote>
  <w:footnote w:id="122">
    <w:p w:rsidR="00EF6B78" w:rsidRPr="003E2861" w:rsidRDefault="00EF6B78">
      <w:pPr>
        <w:pStyle w:val="FootnoteText"/>
        <w:rPr>
          <w:sz w:val="20"/>
        </w:rPr>
      </w:pPr>
      <w:r w:rsidRPr="00804F48">
        <w:rPr>
          <w:rStyle w:val="FootnoteReference"/>
          <w:sz w:val="20"/>
        </w:rPr>
        <w:footnoteRef/>
      </w:r>
      <w:r w:rsidRPr="00804F48">
        <w:rPr>
          <w:sz w:val="20"/>
        </w:rPr>
        <w:t xml:space="preserve"> </w:t>
      </w:r>
      <w:r>
        <w:rPr>
          <w:sz w:val="20"/>
        </w:rPr>
        <w:t>“</w:t>
      </w:r>
      <w:r w:rsidRPr="003E2861">
        <w:rPr>
          <w:sz w:val="20"/>
        </w:rPr>
        <w:t>End Parallel Lives</w:t>
      </w:r>
      <w:r>
        <w:rPr>
          <w:sz w:val="20"/>
        </w:rPr>
        <w:t>?”</w:t>
      </w:r>
      <w:r w:rsidRPr="003E2861">
        <w:rPr>
          <w:sz w:val="20"/>
        </w:rPr>
        <w:t xml:space="preserve"> </w:t>
      </w:r>
    </w:p>
  </w:footnote>
  <w:footnote w:id="123">
    <w:p w:rsidR="00EF6B78" w:rsidRPr="00804F48" w:rsidRDefault="00EF6B78">
      <w:pPr>
        <w:pStyle w:val="FootnoteText"/>
        <w:rPr>
          <w:sz w:val="20"/>
        </w:rPr>
      </w:pPr>
      <w:r w:rsidRPr="00804F48">
        <w:rPr>
          <w:rStyle w:val="FootnoteReference"/>
          <w:sz w:val="20"/>
        </w:rPr>
        <w:footnoteRef/>
      </w:r>
      <w:r w:rsidRPr="00804F48">
        <w:rPr>
          <w:sz w:val="20"/>
        </w:rPr>
        <w:t xml:space="preserve"> </w:t>
      </w:r>
      <w:r>
        <w:rPr>
          <w:sz w:val="20"/>
        </w:rPr>
        <w:t>“</w:t>
      </w:r>
      <w:r w:rsidRPr="003E2861">
        <w:rPr>
          <w:sz w:val="20"/>
        </w:rPr>
        <w:t>End Parallel Lives</w:t>
      </w:r>
      <w:r>
        <w:rPr>
          <w:sz w:val="20"/>
        </w:rPr>
        <w:t>?”</w:t>
      </w:r>
    </w:p>
  </w:footnote>
  <w:footnote w:id="124">
    <w:p w:rsidR="00EF6B78" w:rsidRPr="00BB26E4" w:rsidRDefault="00EF6B78" w:rsidP="002B2FA2">
      <w:pPr>
        <w:pStyle w:val="FootnoteText"/>
        <w:rPr>
          <w:sz w:val="20"/>
        </w:rPr>
      </w:pPr>
      <w:r w:rsidRPr="00BB26E4">
        <w:rPr>
          <w:rStyle w:val="FootnoteReference"/>
          <w:sz w:val="20"/>
        </w:rPr>
        <w:footnoteRef/>
      </w:r>
      <w:r w:rsidRPr="00BB26E4">
        <w:rPr>
          <w:sz w:val="20"/>
        </w:rPr>
        <w:t xml:space="preserve"> “Britain</w:t>
      </w:r>
      <w:r>
        <w:rPr>
          <w:sz w:val="20"/>
        </w:rPr>
        <w:t xml:space="preserve"> Today</w:t>
      </w:r>
      <w:r w:rsidRPr="00BB26E4">
        <w:rPr>
          <w:sz w:val="20"/>
        </w:rPr>
        <w:t>: are we an intolerant nation?” MORI Poll</w:t>
      </w:r>
      <w:r>
        <w:rPr>
          <w:sz w:val="20"/>
        </w:rPr>
        <w:t xml:space="preserve"> (2000) </w:t>
      </w:r>
      <w:r w:rsidRPr="003E2861">
        <w:rPr>
          <w:sz w:val="20"/>
        </w:rPr>
        <w:t>http://www.ipsos-mori.com/researchpublications/researcharchive/1639/Britain-Today-Are-We-An-Intolerant-Nation.aspx</w:t>
      </w:r>
    </w:p>
  </w:footnote>
  <w:footnote w:id="125">
    <w:p w:rsidR="00EF6B78" w:rsidRPr="003E2861" w:rsidRDefault="00EF6B78" w:rsidP="003E2861">
      <w:pPr>
        <w:ind w:left="180" w:hanging="180"/>
        <w:rPr>
          <w:sz w:val="20"/>
        </w:rPr>
      </w:pPr>
      <w:r w:rsidRPr="005D01D9">
        <w:rPr>
          <w:rStyle w:val="FootnoteReference"/>
          <w:sz w:val="20"/>
        </w:rPr>
        <w:footnoteRef/>
      </w:r>
      <w:r>
        <w:rPr>
          <w:sz w:val="20"/>
        </w:rPr>
        <w:t>Asifa Hussain,</w:t>
      </w:r>
      <w:r w:rsidRPr="003E2861">
        <w:rPr>
          <w:sz w:val="20"/>
        </w:rPr>
        <w:t xml:space="preserve"> </w:t>
      </w:r>
      <w:r w:rsidRPr="003E2861">
        <w:rPr>
          <w:i/>
          <w:sz w:val="20"/>
        </w:rPr>
        <w:t>Multicultural Nationalism: Islamaphobia, Anglophobia, and Devolution</w:t>
      </w:r>
      <w:r>
        <w:rPr>
          <w:sz w:val="20"/>
        </w:rPr>
        <w:t>, (Oxford: Oxford University Press, 2006), 56</w:t>
      </w:r>
    </w:p>
    <w:p w:rsidR="00EF6B78" w:rsidRPr="005D01D9" w:rsidRDefault="00EF6B78" w:rsidP="002B2FA2">
      <w:pPr>
        <w:pStyle w:val="FootnoteText"/>
        <w:rPr>
          <w:sz w:val="20"/>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B78" w:rsidRDefault="00EF6B78" w:rsidP="00467BBA">
    <w:pPr>
      <w:pStyle w:val="Header"/>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073C7A"/>
    <w:multiLevelType w:val="hybridMultilevel"/>
    <w:tmpl w:val="514EA0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BBB3EFC"/>
    <w:multiLevelType w:val="hybridMultilevel"/>
    <w:tmpl w:val="4E64BA04"/>
    <w:lvl w:ilvl="0" w:tplc="B2726474">
      <w:start w:val="3"/>
      <w:numFmt w:val="bullet"/>
      <w:lvlText w:val="-"/>
      <w:lvlJc w:val="left"/>
      <w:pPr>
        <w:ind w:left="720" w:hanging="360"/>
      </w:pPr>
      <w:rPr>
        <w:rFonts w:ascii="Cambria" w:eastAsiaTheme="minorHAnsi" w:hAnsi="Cambria" w:cstheme="minorBidi"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D83BB5"/>
    <w:rsid w:val="00000043"/>
    <w:rsid w:val="00001AEE"/>
    <w:rsid w:val="00014852"/>
    <w:rsid w:val="00015878"/>
    <w:rsid w:val="00031E6B"/>
    <w:rsid w:val="00032DE9"/>
    <w:rsid w:val="0003572D"/>
    <w:rsid w:val="000412FA"/>
    <w:rsid w:val="00041B44"/>
    <w:rsid w:val="00042DE6"/>
    <w:rsid w:val="00044B43"/>
    <w:rsid w:val="0005514C"/>
    <w:rsid w:val="00057412"/>
    <w:rsid w:val="000633C7"/>
    <w:rsid w:val="00073BEB"/>
    <w:rsid w:val="00075576"/>
    <w:rsid w:val="00076E9C"/>
    <w:rsid w:val="00077F54"/>
    <w:rsid w:val="000809A2"/>
    <w:rsid w:val="00081EEC"/>
    <w:rsid w:val="00093E36"/>
    <w:rsid w:val="00094CA7"/>
    <w:rsid w:val="000A255D"/>
    <w:rsid w:val="000A74C7"/>
    <w:rsid w:val="000B7349"/>
    <w:rsid w:val="000C51D4"/>
    <w:rsid w:val="000C66D8"/>
    <w:rsid w:val="000C7F5A"/>
    <w:rsid w:val="000D55B7"/>
    <w:rsid w:val="000D5ECB"/>
    <w:rsid w:val="000D5FCA"/>
    <w:rsid w:val="000E128D"/>
    <w:rsid w:val="000E3FC5"/>
    <w:rsid w:val="000E7005"/>
    <w:rsid w:val="000E77F5"/>
    <w:rsid w:val="000F50FD"/>
    <w:rsid w:val="00106F15"/>
    <w:rsid w:val="00120B01"/>
    <w:rsid w:val="001218BE"/>
    <w:rsid w:val="001222BB"/>
    <w:rsid w:val="001246FC"/>
    <w:rsid w:val="00127ED7"/>
    <w:rsid w:val="00130F2F"/>
    <w:rsid w:val="00131CE4"/>
    <w:rsid w:val="0013752E"/>
    <w:rsid w:val="00141B7A"/>
    <w:rsid w:val="001602F7"/>
    <w:rsid w:val="00163E41"/>
    <w:rsid w:val="0017387D"/>
    <w:rsid w:val="001754FD"/>
    <w:rsid w:val="001772FD"/>
    <w:rsid w:val="0018021F"/>
    <w:rsid w:val="00182330"/>
    <w:rsid w:val="001841A8"/>
    <w:rsid w:val="00184D4D"/>
    <w:rsid w:val="00197EA7"/>
    <w:rsid w:val="001B24CC"/>
    <w:rsid w:val="001B2536"/>
    <w:rsid w:val="001B4F30"/>
    <w:rsid w:val="001C3C1B"/>
    <w:rsid w:val="001C479E"/>
    <w:rsid w:val="001C59D7"/>
    <w:rsid w:val="001C5F4E"/>
    <w:rsid w:val="001D720C"/>
    <w:rsid w:val="001F237D"/>
    <w:rsid w:val="001F34C9"/>
    <w:rsid w:val="001F3F4C"/>
    <w:rsid w:val="002015D9"/>
    <w:rsid w:val="00201748"/>
    <w:rsid w:val="00203830"/>
    <w:rsid w:val="00210D9A"/>
    <w:rsid w:val="002244CC"/>
    <w:rsid w:val="00225B92"/>
    <w:rsid w:val="00234B15"/>
    <w:rsid w:val="002414BF"/>
    <w:rsid w:val="002440DE"/>
    <w:rsid w:val="00244BC8"/>
    <w:rsid w:val="0024757B"/>
    <w:rsid w:val="002550AC"/>
    <w:rsid w:val="00255AF7"/>
    <w:rsid w:val="002563D7"/>
    <w:rsid w:val="00261EAC"/>
    <w:rsid w:val="00262022"/>
    <w:rsid w:val="00263602"/>
    <w:rsid w:val="00263A27"/>
    <w:rsid w:val="0026657D"/>
    <w:rsid w:val="00266621"/>
    <w:rsid w:val="00266666"/>
    <w:rsid w:val="00266F8D"/>
    <w:rsid w:val="002806CA"/>
    <w:rsid w:val="00282F6F"/>
    <w:rsid w:val="0028312F"/>
    <w:rsid w:val="0028322F"/>
    <w:rsid w:val="00290272"/>
    <w:rsid w:val="0029402A"/>
    <w:rsid w:val="00294F82"/>
    <w:rsid w:val="00297C30"/>
    <w:rsid w:val="002A2AE6"/>
    <w:rsid w:val="002A3448"/>
    <w:rsid w:val="002A3B17"/>
    <w:rsid w:val="002B13C0"/>
    <w:rsid w:val="002B2AA5"/>
    <w:rsid w:val="002B2FA2"/>
    <w:rsid w:val="002B4FED"/>
    <w:rsid w:val="002B538B"/>
    <w:rsid w:val="002C1FCF"/>
    <w:rsid w:val="002C6279"/>
    <w:rsid w:val="002C68EB"/>
    <w:rsid w:val="002C7056"/>
    <w:rsid w:val="002C7525"/>
    <w:rsid w:val="002E17F9"/>
    <w:rsid w:val="002E18F2"/>
    <w:rsid w:val="002E2886"/>
    <w:rsid w:val="002E2A27"/>
    <w:rsid w:val="002E4DE0"/>
    <w:rsid w:val="002E50E3"/>
    <w:rsid w:val="002F12BE"/>
    <w:rsid w:val="002F1EB7"/>
    <w:rsid w:val="002F79FF"/>
    <w:rsid w:val="00300C19"/>
    <w:rsid w:val="00301A24"/>
    <w:rsid w:val="00312971"/>
    <w:rsid w:val="00312E62"/>
    <w:rsid w:val="00316FC6"/>
    <w:rsid w:val="003213CA"/>
    <w:rsid w:val="00325035"/>
    <w:rsid w:val="00325C99"/>
    <w:rsid w:val="00330AA9"/>
    <w:rsid w:val="003322CB"/>
    <w:rsid w:val="00344900"/>
    <w:rsid w:val="00351F8E"/>
    <w:rsid w:val="00352223"/>
    <w:rsid w:val="0035699A"/>
    <w:rsid w:val="00360104"/>
    <w:rsid w:val="00360B60"/>
    <w:rsid w:val="00360F96"/>
    <w:rsid w:val="0036272A"/>
    <w:rsid w:val="0036698A"/>
    <w:rsid w:val="0037785D"/>
    <w:rsid w:val="00380286"/>
    <w:rsid w:val="0038033B"/>
    <w:rsid w:val="0038541D"/>
    <w:rsid w:val="00390004"/>
    <w:rsid w:val="00390BC2"/>
    <w:rsid w:val="00392AD6"/>
    <w:rsid w:val="00393D36"/>
    <w:rsid w:val="00393DF4"/>
    <w:rsid w:val="00395C0E"/>
    <w:rsid w:val="003A3A90"/>
    <w:rsid w:val="003B1F02"/>
    <w:rsid w:val="003B527F"/>
    <w:rsid w:val="003C0DC2"/>
    <w:rsid w:val="003C430B"/>
    <w:rsid w:val="003C4A1B"/>
    <w:rsid w:val="003C4F11"/>
    <w:rsid w:val="003C724B"/>
    <w:rsid w:val="003D19F5"/>
    <w:rsid w:val="003D2C88"/>
    <w:rsid w:val="003D3D3D"/>
    <w:rsid w:val="003D4459"/>
    <w:rsid w:val="003E2861"/>
    <w:rsid w:val="003E3B2E"/>
    <w:rsid w:val="003E4360"/>
    <w:rsid w:val="003E6335"/>
    <w:rsid w:val="003E69F5"/>
    <w:rsid w:val="003F0ABB"/>
    <w:rsid w:val="003F2576"/>
    <w:rsid w:val="003F5A9D"/>
    <w:rsid w:val="0040088D"/>
    <w:rsid w:val="004023D8"/>
    <w:rsid w:val="004039D4"/>
    <w:rsid w:val="00405339"/>
    <w:rsid w:val="00405A00"/>
    <w:rsid w:val="00405EC1"/>
    <w:rsid w:val="00415D46"/>
    <w:rsid w:val="00424056"/>
    <w:rsid w:val="00426FDA"/>
    <w:rsid w:val="00432DBC"/>
    <w:rsid w:val="004337D5"/>
    <w:rsid w:val="00440B08"/>
    <w:rsid w:val="00441E28"/>
    <w:rsid w:val="00452C96"/>
    <w:rsid w:val="00457D38"/>
    <w:rsid w:val="00457FC3"/>
    <w:rsid w:val="0046274A"/>
    <w:rsid w:val="0046312C"/>
    <w:rsid w:val="00463736"/>
    <w:rsid w:val="00464408"/>
    <w:rsid w:val="00464E67"/>
    <w:rsid w:val="004654E6"/>
    <w:rsid w:val="00467BBA"/>
    <w:rsid w:val="004708BD"/>
    <w:rsid w:val="00473B0E"/>
    <w:rsid w:val="00476060"/>
    <w:rsid w:val="00481243"/>
    <w:rsid w:val="00481BF3"/>
    <w:rsid w:val="004831F2"/>
    <w:rsid w:val="00485010"/>
    <w:rsid w:val="00485DC5"/>
    <w:rsid w:val="00486443"/>
    <w:rsid w:val="00486E2F"/>
    <w:rsid w:val="00496C7E"/>
    <w:rsid w:val="004975D3"/>
    <w:rsid w:val="004A3E5B"/>
    <w:rsid w:val="004A51F9"/>
    <w:rsid w:val="004A6514"/>
    <w:rsid w:val="004A6A45"/>
    <w:rsid w:val="004B49EE"/>
    <w:rsid w:val="004B5044"/>
    <w:rsid w:val="004B65B3"/>
    <w:rsid w:val="004D75F0"/>
    <w:rsid w:val="004E2F7C"/>
    <w:rsid w:val="004E3191"/>
    <w:rsid w:val="004E7557"/>
    <w:rsid w:val="004F00D2"/>
    <w:rsid w:val="004F2AB2"/>
    <w:rsid w:val="00511114"/>
    <w:rsid w:val="00511214"/>
    <w:rsid w:val="0051472D"/>
    <w:rsid w:val="00516361"/>
    <w:rsid w:val="00544384"/>
    <w:rsid w:val="005446B3"/>
    <w:rsid w:val="005471DA"/>
    <w:rsid w:val="00550F76"/>
    <w:rsid w:val="0055326D"/>
    <w:rsid w:val="00555EDF"/>
    <w:rsid w:val="00556434"/>
    <w:rsid w:val="00562A6A"/>
    <w:rsid w:val="00566E11"/>
    <w:rsid w:val="00570174"/>
    <w:rsid w:val="00571799"/>
    <w:rsid w:val="00571F50"/>
    <w:rsid w:val="00572BBF"/>
    <w:rsid w:val="00581A9D"/>
    <w:rsid w:val="005878A4"/>
    <w:rsid w:val="00595F56"/>
    <w:rsid w:val="005976F3"/>
    <w:rsid w:val="005A6FF9"/>
    <w:rsid w:val="005B0543"/>
    <w:rsid w:val="005B0754"/>
    <w:rsid w:val="005B6339"/>
    <w:rsid w:val="005B7808"/>
    <w:rsid w:val="005C2A43"/>
    <w:rsid w:val="005C760D"/>
    <w:rsid w:val="005D01D9"/>
    <w:rsid w:val="005D0272"/>
    <w:rsid w:val="005D1379"/>
    <w:rsid w:val="005D2681"/>
    <w:rsid w:val="005D4947"/>
    <w:rsid w:val="005D6FB2"/>
    <w:rsid w:val="005E06EF"/>
    <w:rsid w:val="005E3E38"/>
    <w:rsid w:val="005E42FC"/>
    <w:rsid w:val="005F236B"/>
    <w:rsid w:val="005F265D"/>
    <w:rsid w:val="005F482A"/>
    <w:rsid w:val="005F58A3"/>
    <w:rsid w:val="006110DD"/>
    <w:rsid w:val="006124F7"/>
    <w:rsid w:val="0061264E"/>
    <w:rsid w:val="006126FD"/>
    <w:rsid w:val="00616C11"/>
    <w:rsid w:val="00616E0D"/>
    <w:rsid w:val="00627A00"/>
    <w:rsid w:val="00627A5F"/>
    <w:rsid w:val="00630495"/>
    <w:rsid w:val="00630F34"/>
    <w:rsid w:val="00641251"/>
    <w:rsid w:val="006468F3"/>
    <w:rsid w:val="0064737C"/>
    <w:rsid w:val="006473C2"/>
    <w:rsid w:val="006513FD"/>
    <w:rsid w:val="00660173"/>
    <w:rsid w:val="00663636"/>
    <w:rsid w:val="00663DB4"/>
    <w:rsid w:val="00664D0D"/>
    <w:rsid w:val="00666517"/>
    <w:rsid w:val="00666EB6"/>
    <w:rsid w:val="00670FE2"/>
    <w:rsid w:val="006738B5"/>
    <w:rsid w:val="00673E01"/>
    <w:rsid w:val="00674CB4"/>
    <w:rsid w:val="00675164"/>
    <w:rsid w:val="00677CE4"/>
    <w:rsid w:val="00680588"/>
    <w:rsid w:val="00680CC2"/>
    <w:rsid w:val="00681314"/>
    <w:rsid w:val="006866E1"/>
    <w:rsid w:val="00696217"/>
    <w:rsid w:val="00696FB4"/>
    <w:rsid w:val="0069708B"/>
    <w:rsid w:val="006A5AA7"/>
    <w:rsid w:val="006A6BAF"/>
    <w:rsid w:val="006B62A1"/>
    <w:rsid w:val="006B6F51"/>
    <w:rsid w:val="006C7EC5"/>
    <w:rsid w:val="006D1C31"/>
    <w:rsid w:val="006D20A8"/>
    <w:rsid w:val="006D50F3"/>
    <w:rsid w:val="006E5BCB"/>
    <w:rsid w:val="006E5D9B"/>
    <w:rsid w:val="006E7164"/>
    <w:rsid w:val="006F17CF"/>
    <w:rsid w:val="006F41B5"/>
    <w:rsid w:val="006F75E7"/>
    <w:rsid w:val="006F7F5F"/>
    <w:rsid w:val="00700A7E"/>
    <w:rsid w:val="00710B40"/>
    <w:rsid w:val="0071175B"/>
    <w:rsid w:val="0071304B"/>
    <w:rsid w:val="00713F5B"/>
    <w:rsid w:val="00724DB0"/>
    <w:rsid w:val="007402EC"/>
    <w:rsid w:val="00742587"/>
    <w:rsid w:val="007469F1"/>
    <w:rsid w:val="007513FB"/>
    <w:rsid w:val="00751ACB"/>
    <w:rsid w:val="00754D3E"/>
    <w:rsid w:val="00756165"/>
    <w:rsid w:val="0075753A"/>
    <w:rsid w:val="007608BB"/>
    <w:rsid w:val="00760D67"/>
    <w:rsid w:val="00762D69"/>
    <w:rsid w:val="0076507E"/>
    <w:rsid w:val="00767014"/>
    <w:rsid w:val="00767203"/>
    <w:rsid w:val="00767E8A"/>
    <w:rsid w:val="00770240"/>
    <w:rsid w:val="00771C08"/>
    <w:rsid w:val="007771CE"/>
    <w:rsid w:val="00785BE2"/>
    <w:rsid w:val="00786272"/>
    <w:rsid w:val="0078651D"/>
    <w:rsid w:val="00794C7F"/>
    <w:rsid w:val="007A2780"/>
    <w:rsid w:val="007B09DA"/>
    <w:rsid w:val="007B2DC0"/>
    <w:rsid w:val="007B43B3"/>
    <w:rsid w:val="007B51CF"/>
    <w:rsid w:val="007C7325"/>
    <w:rsid w:val="007D027B"/>
    <w:rsid w:val="007D229E"/>
    <w:rsid w:val="007D2DE1"/>
    <w:rsid w:val="007D3954"/>
    <w:rsid w:val="007D4659"/>
    <w:rsid w:val="007D7D5E"/>
    <w:rsid w:val="007E1945"/>
    <w:rsid w:val="007E4D6F"/>
    <w:rsid w:val="007E6BCA"/>
    <w:rsid w:val="007F57F4"/>
    <w:rsid w:val="007F5A2D"/>
    <w:rsid w:val="00800EB3"/>
    <w:rsid w:val="00800FAE"/>
    <w:rsid w:val="008022B7"/>
    <w:rsid w:val="008035D0"/>
    <w:rsid w:val="00804451"/>
    <w:rsid w:val="00804F48"/>
    <w:rsid w:val="00804FF3"/>
    <w:rsid w:val="0080571C"/>
    <w:rsid w:val="008135AD"/>
    <w:rsid w:val="008167B9"/>
    <w:rsid w:val="00823AFB"/>
    <w:rsid w:val="00824490"/>
    <w:rsid w:val="008334B4"/>
    <w:rsid w:val="008377D0"/>
    <w:rsid w:val="00840195"/>
    <w:rsid w:val="0085100D"/>
    <w:rsid w:val="0085100F"/>
    <w:rsid w:val="00855068"/>
    <w:rsid w:val="0085621A"/>
    <w:rsid w:val="0086263C"/>
    <w:rsid w:val="00864193"/>
    <w:rsid w:val="00865266"/>
    <w:rsid w:val="00877628"/>
    <w:rsid w:val="00884048"/>
    <w:rsid w:val="00885E29"/>
    <w:rsid w:val="00897AEB"/>
    <w:rsid w:val="008A0AC7"/>
    <w:rsid w:val="008A28BF"/>
    <w:rsid w:val="008A4B1C"/>
    <w:rsid w:val="008A4E52"/>
    <w:rsid w:val="008B07F8"/>
    <w:rsid w:val="008B0BA7"/>
    <w:rsid w:val="008C3817"/>
    <w:rsid w:val="008C5641"/>
    <w:rsid w:val="008D2216"/>
    <w:rsid w:val="008D4084"/>
    <w:rsid w:val="008D52C4"/>
    <w:rsid w:val="008E1CAF"/>
    <w:rsid w:val="008E2786"/>
    <w:rsid w:val="008E5E56"/>
    <w:rsid w:val="008F0FE3"/>
    <w:rsid w:val="008F5FEF"/>
    <w:rsid w:val="008F752F"/>
    <w:rsid w:val="00902A72"/>
    <w:rsid w:val="0090731C"/>
    <w:rsid w:val="00911965"/>
    <w:rsid w:val="00922908"/>
    <w:rsid w:val="00942903"/>
    <w:rsid w:val="00944E3D"/>
    <w:rsid w:val="00951A98"/>
    <w:rsid w:val="009609C7"/>
    <w:rsid w:val="009609E9"/>
    <w:rsid w:val="009623EC"/>
    <w:rsid w:val="00963DB2"/>
    <w:rsid w:val="009867AA"/>
    <w:rsid w:val="009A1CD7"/>
    <w:rsid w:val="009A2EB7"/>
    <w:rsid w:val="009A470A"/>
    <w:rsid w:val="009B00F7"/>
    <w:rsid w:val="009B54BB"/>
    <w:rsid w:val="009B5782"/>
    <w:rsid w:val="009B6B70"/>
    <w:rsid w:val="009C3CFE"/>
    <w:rsid w:val="009C6749"/>
    <w:rsid w:val="009C7FE3"/>
    <w:rsid w:val="009D258A"/>
    <w:rsid w:val="009D65DC"/>
    <w:rsid w:val="009D7F92"/>
    <w:rsid w:val="009E2D26"/>
    <w:rsid w:val="009F03F5"/>
    <w:rsid w:val="009F38F9"/>
    <w:rsid w:val="009F706B"/>
    <w:rsid w:val="00A05C87"/>
    <w:rsid w:val="00A1282B"/>
    <w:rsid w:val="00A12CF6"/>
    <w:rsid w:val="00A139E4"/>
    <w:rsid w:val="00A21C91"/>
    <w:rsid w:val="00A221A0"/>
    <w:rsid w:val="00A22938"/>
    <w:rsid w:val="00A277DF"/>
    <w:rsid w:val="00A30B82"/>
    <w:rsid w:val="00A342E2"/>
    <w:rsid w:val="00A40037"/>
    <w:rsid w:val="00A4135F"/>
    <w:rsid w:val="00A43ADF"/>
    <w:rsid w:val="00A53B76"/>
    <w:rsid w:val="00A55D2B"/>
    <w:rsid w:val="00A739E6"/>
    <w:rsid w:val="00A756A8"/>
    <w:rsid w:val="00A82525"/>
    <w:rsid w:val="00A94B42"/>
    <w:rsid w:val="00A9637F"/>
    <w:rsid w:val="00AA4EAA"/>
    <w:rsid w:val="00AA7BF3"/>
    <w:rsid w:val="00AB08D0"/>
    <w:rsid w:val="00AB0962"/>
    <w:rsid w:val="00AB49EF"/>
    <w:rsid w:val="00AB6461"/>
    <w:rsid w:val="00AC0332"/>
    <w:rsid w:val="00AC05AA"/>
    <w:rsid w:val="00AC1AA8"/>
    <w:rsid w:val="00AC273B"/>
    <w:rsid w:val="00AC3D8C"/>
    <w:rsid w:val="00AC477C"/>
    <w:rsid w:val="00AD07A4"/>
    <w:rsid w:val="00AD0E2D"/>
    <w:rsid w:val="00AE5B66"/>
    <w:rsid w:val="00AE644E"/>
    <w:rsid w:val="00AF4771"/>
    <w:rsid w:val="00B04000"/>
    <w:rsid w:val="00B06ECA"/>
    <w:rsid w:val="00B07BB5"/>
    <w:rsid w:val="00B11D01"/>
    <w:rsid w:val="00B145E4"/>
    <w:rsid w:val="00B16771"/>
    <w:rsid w:val="00B1684B"/>
    <w:rsid w:val="00B3209F"/>
    <w:rsid w:val="00B32B56"/>
    <w:rsid w:val="00B32BD1"/>
    <w:rsid w:val="00B3430F"/>
    <w:rsid w:val="00B374F0"/>
    <w:rsid w:val="00B41478"/>
    <w:rsid w:val="00B4300B"/>
    <w:rsid w:val="00B43739"/>
    <w:rsid w:val="00B438CE"/>
    <w:rsid w:val="00B44EDC"/>
    <w:rsid w:val="00B61C37"/>
    <w:rsid w:val="00B63EEC"/>
    <w:rsid w:val="00B667A5"/>
    <w:rsid w:val="00B670EC"/>
    <w:rsid w:val="00B7714A"/>
    <w:rsid w:val="00B77745"/>
    <w:rsid w:val="00B90675"/>
    <w:rsid w:val="00B91928"/>
    <w:rsid w:val="00BB18CC"/>
    <w:rsid w:val="00BB26E4"/>
    <w:rsid w:val="00BB5AB2"/>
    <w:rsid w:val="00BB7F3C"/>
    <w:rsid w:val="00BC0812"/>
    <w:rsid w:val="00BC2E37"/>
    <w:rsid w:val="00BC6873"/>
    <w:rsid w:val="00BC6F0F"/>
    <w:rsid w:val="00BD4948"/>
    <w:rsid w:val="00BE0572"/>
    <w:rsid w:val="00BE1D83"/>
    <w:rsid w:val="00BE779C"/>
    <w:rsid w:val="00BF2F98"/>
    <w:rsid w:val="00BF52C0"/>
    <w:rsid w:val="00C0111B"/>
    <w:rsid w:val="00C042A7"/>
    <w:rsid w:val="00C11A63"/>
    <w:rsid w:val="00C1521F"/>
    <w:rsid w:val="00C15334"/>
    <w:rsid w:val="00C15863"/>
    <w:rsid w:val="00C15EEC"/>
    <w:rsid w:val="00C25768"/>
    <w:rsid w:val="00C30CC8"/>
    <w:rsid w:val="00C37EDC"/>
    <w:rsid w:val="00C40969"/>
    <w:rsid w:val="00C41719"/>
    <w:rsid w:val="00C41BA5"/>
    <w:rsid w:val="00C45A17"/>
    <w:rsid w:val="00C47D42"/>
    <w:rsid w:val="00C57AD7"/>
    <w:rsid w:val="00C62AF9"/>
    <w:rsid w:val="00C666BE"/>
    <w:rsid w:val="00C72D60"/>
    <w:rsid w:val="00C73893"/>
    <w:rsid w:val="00C73A11"/>
    <w:rsid w:val="00C75D58"/>
    <w:rsid w:val="00C75FD1"/>
    <w:rsid w:val="00C81D08"/>
    <w:rsid w:val="00C8375D"/>
    <w:rsid w:val="00C86D82"/>
    <w:rsid w:val="00C95DC0"/>
    <w:rsid w:val="00C961F2"/>
    <w:rsid w:val="00C9741F"/>
    <w:rsid w:val="00CA08F5"/>
    <w:rsid w:val="00CA0FD5"/>
    <w:rsid w:val="00CA28B6"/>
    <w:rsid w:val="00CA7854"/>
    <w:rsid w:val="00CA7E36"/>
    <w:rsid w:val="00CA7E52"/>
    <w:rsid w:val="00CB499E"/>
    <w:rsid w:val="00CB6BDC"/>
    <w:rsid w:val="00CB7115"/>
    <w:rsid w:val="00CC0293"/>
    <w:rsid w:val="00CC326E"/>
    <w:rsid w:val="00CD011A"/>
    <w:rsid w:val="00CD149B"/>
    <w:rsid w:val="00CD3797"/>
    <w:rsid w:val="00CD546F"/>
    <w:rsid w:val="00CD7FCB"/>
    <w:rsid w:val="00CE4846"/>
    <w:rsid w:val="00CE4B65"/>
    <w:rsid w:val="00CE6892"/>
    <w:rsid w:val="00CF55FD"/>
    <w:rsid w:val="00D113C6"/>
    <w:rsid w:val="00D1276D"/>
    <w:rsid w:val="00D131DF"/>
    <w:rsid w:val="00D14097"/>
    <w:rsid w:val="00D21DB6"/>
    <w:rsid w:val="00D25C86"/>
    <w:rsid w:val="00D339F4"/>
    <w:rsid w:val="00D35132"/>
    <w:rsid w:val="00D35605"/>
    <w:rsid w:val="00D37C7C"/>
    <w:rsid w:val="00D37DAA"/>
    <w:rsid w:val="00D40397"/>
    <w:rsid w:val="00D43EFA"/>
    <w:rsid w:val="00D45EF4"/>
    <w:rsid w:val="00D47C63"/>
    <w:rsid w:val="00D605A3"/>
    <w:rsid w:val="00D617DF"/>
    <w:rsid w:val="00D641AB"/>
    <w:rsid w:val="00D65758"/>
    <w:rsid w:val="00D6772D"/>
    <w:rsid w:val="00D67F74"/>
    <w:rsid w:val="00D70B25"/>
    <w:rsid w:val="00D72875"/>
    <w:rsid w:val="00D7356E"/>
    <w:rsid w:val="00D73F20"/>
    <w:rsid w:val="00D77AB5"/>
    <w:rsid w:val="00D77C9D"/>
    <w:rsid w:val="00D825E6"/>
    <w:rsid w:val="00D83BB5"/>
    <w:rsid w:val="00D85A42"/>
    <w:rsid w:val="00D872B3"/>
    <w:rsid w:val="00D923CB"/>
    <w:rsid w:val="00D9523F"/>
    <w:rsid w:val="00D96AB3"/>
    <w:rsid w:val="00DA0077"/>
    <w:rsid w:val="00DA340F"/>
    <w:rsid w:val="00DA3A15"/>
    <w:rsid w:val="00DA4714"/>
    <w:rsid w:val="00DB0EF2"/>
    <w:rsid w:val="00DB2CFE"/>
    <w:rsid w:val="00DB35FB"/>
    <w:rsid w:val="00DB5F22"/>
    <w:rsid w:val="00DB6465"/>
    <w:rsid w:val="00DB7669"/>
    <w:rsid w:val="00DB78C7"/>
    <w:rsid w:val="00DC3988"/>
    <w:rsid w:val="00DC3DAD"/>
    <w:rsid w:val="00DC5C69"/>
    <w:rsid w:val="00DC7562"/>
    <w:rsid w:val="00DD126F"/>
    <w:rsid w:val="00DD1F8A"/>
    <w:rsid w:val="00DD4255"/>
    <w:rsid w:val="00DD4C2D"/>
    <w:rsid w:val="00DD588F"/>
    <w:rsid w:val="00DD77ED"/>
    <w:rsid w:val="00DE24B8"/>
    <w:rsid w:val="00DE50E5"/>
    <w:rsid w:val="00DE78E3"/>
    <w:rsid w:val="00DF041D"/>
    <w:rsid w:val="00DF092D"/>
    <w:rsid w:val="00DF3A4F"/>
    <w:rsid w:val="00DF3B89"/>
    <w:rsid w:val="00E03669"/>
    <w:rsid w:val="00E1699F"/>
    <w:rsid w:val="00E24C6A"/>
    <w:rsid w:val="00E263F4"/>
    <w:rsid w:val="00E26519"/>
    <w:rsid w:val="00E3034C"/>
    <w:rsid w:val="00E31D44"/>
    <w:rsid w:val="00E432BE"/>
    <w:rsid w:val="00E4618D"/>
    <w:rsid w:val="00E47761"/>
    <w:rsid w:val="00E5259E"/>
    <w:rsid w:val="00E53459"/>
    <w:rsid w:val="00E53A76"/>
    <w:rsid w:val="00E54A22"/>
    <w:rsid w:val="00E56B4D"/>
    <w:rsid w:val="00E56E47"/>
    <w:rsid w:val="00E77115"/>
    <w:rsid w:val="00E773E3"/>
    <w:rsid w:val="00E80197"/>
    <w:rsid w:val="00E80FDA"/>
    <w:rsid w:val="00E840CD"/>
    <w:rsid w:val="00E8777E"/>
    <w:rsid w:val="00E91BB2"/>
    <w:rsid w:val="00E973B4"/>
    <w:rsid w:val="00EA7449"/>
    <w:rsid w:val="00EB0974"/>
    <w:rsid w:val="00EB4C99"/>
    <w:rsid w:val="00EB6A61"/>
    <w:rsid w:val="00EC113C"/>
    <w:rsid w:val="00EC1263"/>
    <w:rsid w:val="00EC7713"/>
    <w:rsid w:val="00ED166D"/>
    <w:rsid w:val="00ED4F63"/>
    <w:rsid w:val="00ED542A"/>
    <w:rsid w:val="00EE29D9"/>
    <w:rsid w:val="00EE4398"/>
    <w:rsid w:val="00EE6570"/>
    <w:rsid w:val="00EE659C"/>
    <w:rsid w:val="00EF0ACF"/>
    <w:rsid w:val="00EF4674"/>
    <w:rsid w:val="00EF6B78"/>
    <w:rsid w:val="00F01EDB"/>
    <w:rsid w:val="00F05DC8"/>
    <w:rsid w:val="00F06CE7"/>
    <w:rsid w:val="00F07341"/>
    <w:rsid w:val="00F07C5E"/>
    <w:rsid w:val="00F11376"/>
    <w:rsid w:val="00F11A7D"/>
    <w:rsid w:val="00F208DA"/>
    <w:rsid w:val="00F251AB"/>
    <w:rsid w:val="00F31ED7"/>
    <w:rsid w:val="00F323A6"/>
    <w:rsid w:val="00F33221"/>
    <w:rsid w:val="00F3570D"/>
    <w:rsid w:val="00F36362"/>
    <w:rsid w:val="00F37E85"/>
    <w:rsid w:val="00F42F79"/>
    <w:rsid w:val="00F44848"/>
    <w:rsid w:val="00F44A53"/>
    <w:rsid w:val="00F47DA7"/>
    <w:rsid w:val="00F535FA"/>
    <w:rsid w:val="00F6140C"/>
    <w:rsid w:val="00F6435C"/>
    <w:rsid w:val="00F73E6D"/>
    <w:rsid w:val="00F779E8"/>
    <w:rsid w:val="00F85C0B"/>
    <w:rsid w:val="00F91299"/>
    <w:rsid w:val="00F91E41"/>
    <w:rsid w:val="00F95F01"/>
    <w:rsid w:val="00F96A35"/>
    <w:rsid w:val="00F975F6"/>
    <w:rsid w:val="00F97B79"/>
    <w:rsid w:val="00FA03B2"/>
    <w:rsid w:val="00FA30DC"/>
    <w:rsid w:val="00FA6707"/>
    <w:rsid w:val="00FA6983"/>
    <w:rsid w:val="00FA6C27"/>
    <w:rsid w:val="00FB3B0D"/>
    <w:rsid w:val="00FC0982"/>
    <w:rsid w:val="00FC17B8"/>
    <w:rsid w:val="00FC2963"/>
    <w:rsid w:val="00FC37F3"/>
    <w:rsid w:val="00FC4547"/>
    <w:rsid w:val="00FC6250"/>
    <w:rsid w:val="00FD10F1"/>
    <w:rsid w:val="00FD4315"/>
    <w:rsid w:val="00FD6028"/>
    <w:rsid w:val="00FE621C"/>
    <w:rsid w:val="00FE681E"/>
    <w:rsid w:val="00FF00C9"/>
    <w:rsid w:val="00FF2C39"/>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3BB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A1762C"/>
    <w:rPr>
      <w:rFonts w:ascii="Lucida Grande" w:hAnsi="Lucida Grande"/>
      <w:sz w:val="18"/>
      <w:szCs w:val="18"/>
    </w:rPr>
  </w:style>
  <w:style w:type="character" w:customStyle="1" w:styleId="BalloonTextChar">
    <w:name w:val="Balloon Text Char"/>
    <w:basedOn w:val="DefaultParagraphFont"/>
    <w:link w:val="BalloonText"/>
    <w:uiPriority w:val="99"/>
    <w:semiHidden/>
    <w:rsid w:val="00021A17"/>
    <w:rPr>
      <w:rFonts w:ascii="Lucida Grande" w:hAnsi="Lucida Grande"/>
      <w:sz w:val="18"/>
      <w:szCs w:val="18"/>
    </w:rPr>
  </w:style>
  <w:style w:type="character" w:customStyle="1" w:styleId="BalloonTextChar1">
    <w:name w:val="Balloon Text Char1"/>
    <w:basedOn w:val="DefaultParagraphFont"/>
    <w:link w:val="BalloonText"/>
    <w:uiPriority w:val="99"/>
    <w:semiHidden/>
    <w:rsid w:val="00A1762C"/>
    <w:rPr>
      <w:rFonts w:ascii="Lucida Grande" w:hAnsi="Lucida Grande"/>
      <w:sz w:val="18"/>
      <w:szCs w:val="18"/>
    </w:rPr>
  </w:style>
  <w:style w:type="paragraph" w:styleId="FootnoteText">
    <w:name w:val="footnote text"/>
    <w:basedOn w:val="Normal"/>
    <w:link w:val="FootnoteTextChar"/>
    <w:uiPriority w:val="99"/>
    <w:unhideWhenUsed/>
    <w:rsid w:val="00D83BB5"/>
  </w:style>
  <w:style w:type="character" w:customStyle="1" w:styleId="FootnoteTextChar">
    <w:name w:val="Footnote Text Char"/>
    <w:basedOn w:val="DefaultParagraphFont"/>
    <w:link w:val="FootnoteText"/>
    <w:uiPriority w:val="99"/>
    <w:rsid w:val="00D83BB5"/>
  </w:style>
  <w:style w:type="character" w:styleId="FootnoteReference">
    <w:name w:val="footnote reference"/>
    <w:basedOn w:val="DefaultParagraphFont"/>
    <w:uiPriority w:val="99"/>
    <w:semiHidden/>
    <w:unhideWhenUsed/>
    <w:rsid w:val="00D83BB5"/>
    <w:rPr>
      <w:vertAlign w:val="superscript"/>
    </w:rPr>
  </w:style>
  <w:style w:type="paragraph" w:styleId="ListParagraph">
    <w:name w:val="List Paragraph"/>
    <w:basedOn w:val="Normal"/>
    <w:uiPriority w:val="34"/>
    <w:qFormat/>
    <w:rsid w:val="007E6BCA"/>
    <w:pPr>
      <w:ind w:left="720"/>
      <w:contextualSpacing/>
    </w:pPr>
  </w:style>
  <w:style w:type="character" w:styleId="CommentReference">
    <w:name w:val="annotation reference"/>
    <w:basedOn w:val="DefaultParagraphFont"/>
    <w:uiPriority w:val="99"/>
    <w:semiHidden/>
    <w:unhideWhenUsed/>
    <w:rsid w:val="00ED166D"/>
    <w:rPr>
      <w:sz w:val="18"/>
      <w:szCs w:val="18"/>
    </w:rPr>
  </w:style>
  <w:style w:type="paragraph" w:styleId="CommentText">
    <w:name w:val="annotation text"/>
    <w:basedOn w:val="Normal"/>
    <w:link w:val="CommentTextChar"/>
    <w:uiPriority w:val="99"/>
    <w:semiHidden/>
    <w:unhideWhenUsed/>
    <w:rsid w:val="00ED166D"/>
  </w:style>
  <w:style w:type="character" w:customStyle="1" w:styleId="CommentTextChar">
    <w:name w:val="Comment Text Char"/>
    <w:basedOn w:val="DefaultParagraphFont"/>
    <w:link w:val="CommentText"/>
    <w:uiPriority w:val="99"/>
    <w:semiHidden/>
    <w:rsid w:val="00ED166D"/>
  </w:style>
  <w:style w:type="paragraph" w:styleId="CommentSubject">
    <w:name w:val="annotation subject"/>
    <w:basedOn w:val="CommentText"/>
    <w:next w:val="CommentText"/>
    <w:link w:val="CommentSubjectChar"/>
    <w:uiPriority w:val="99"/>
    <w:semiHidden/>
    <w:unhideWhenUsed/>
    <w:rsid w:val="00ED166D"/>
    <w:rPr>
      <w:b/>
      <w:bCs/>
      <w:sz w:val="20"/>
      <w:szCs w:val="20"/>
    </w:rPr>
  </w:style>
  <w:style w:type="character" w:customStyle="1" w:styleId="CommentSubjectChar">
    <w:name w:val="Comment Subject Char"/>
    <w:basedOn w:val="CommentTextChar"/>
    <w:link w:val="CommentSubject"/>
    <w:uiPriority w:val="99"/>
    <w:semiHidden/>
    <w:rsid w:val="00ED166D"/>
    <w:rPr>
      <w:b/>
      <w:bCs/>
      <w:sz w:val="20"/>
      <w:szCs w:val="20"/>
    </w:rPr>
  </w:style>
  <w:style w:type="paragraph" w:styleId="Header">
    <w:name w:val="header"/>
    <w:basedOn w:val="Normal"/>
    <w:link w:val="HeaderChar"/>
    <w:uiPriority w:val="99"/>
    <w:unhideWhenUsed/>
    <w:rsid w:val="008D4084"/>
    <w:pPr>
      <w:tabs>
        <w:tab w:val="center" w:pos="4320"/>
        <w:tab w:val="right" w:pos="8640"/>
      </w:tabs>
    </w:pPr>
  </w:style>
  <w:style w:type="character" w:customStyle="1" w:styleId="HeaderChar">
    <w:name w:val="Header Char"/>
    <w:basedOn w:val="DefaultParagraphFont"/>
    <w:link w:val="Header"/>
    <w:uiPriority w:val="99"/>
    <w:rsid w:val="008D4084"/>
  </w:style>
  <w:style w:type="paragraph" w:styleId="Footer">
    <w:name w:val="footer"/>
    <w:basedOn w:val="Normal"/>
    <w:link w:val="FooterChar"/>
    <w:uiPriority w:val="99"/>
    <w:semiHidden/>
    <w:unhideWhenUsed/>
    <w:rsid w:val="008D4084"/>
    <w:pPr>
      <w:tabs>
        <w:tab w:val="center" w:pos="4320"/>
        <w:tab w:val="right" w:pos="8640"/>
      </w:tabs>
    </w:pPr>
  </w:style>
  <w:style w:type="character" w:customStyle="1" w:styleId="FooterChar">
    <w:name w:val="Footer Char"/>
    <w:basedOn w:val="DefaultParagraphFont"/>
    <w:link w:val="Footer"/>
    <w:uiPriority w:val="99"/>
    <w:semiHidden/>
    <w:rsid w:val="008D4084"/>
  </w:style>
  <w:style w:type="character" w:styleId="PageNumber">
    <w:name w:val="page number"/>
    <w:basedOn w:val="DefaultParagraphFont"/>
    <w:uiPriority w:val="99"/>
    <w:semiHidden/>
    <w:unhideWhenUsed/>
    <w:rsid w:val="00511214"/>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53</Pages>
  <Words>14216</Words>
  <Characters>81037</Characters>
  <Application>Microsoft Office Word</Application>
  <DocSecurity>4</DocSecurity>
  <Lines>675</Lines>
  <Paragraphs>190</Paragraphs>
  <ScaleCrop>false</ScaleCrop>
  <Company/>
  <LinksUpToDate>false</LinksUpToDate>
  <CharactersWithSpaces>95063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Jake Israel</dc:creator>
  <cp:lastModifiedBy>Amy Schultz</cp:lastModifiedBy>
  <cp:revision>2</cp:revision>
  <dcterms:created xsi:type="dcterms:W3CDTF">2011-05-23T13:50:00Z</dcterms:created>
  <dcterms:modified xsi:type="dcterms:W3CDTF">2011-05-23T13:50:00Z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&lt;data&gt;&lt;session id="8n1CO8IG"/&gt;&lt;style id="http://www.zotero.org/styles/chicago-fullnote-bibliography" hasBibliography="0"/&gt;&lt;prefs&gt;&lt;pref name="fieldType" value="Field"/&gt;&lt;pref name="noteType" value="1"/&gt;&lt;/prefs&gt;&lt;/data&gt;</vt:lpwstr>
  </property>
</Properties>
</file>