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D9E1E2" w14:textId="61125B4E" w:rsidR="002E76A6" w:rsidRPr="0080521D" w:rsidRDefault="00106689" w:rsidP="000701C0">
      <w:pPr>
        <w:autoSpaceDE w:val="0"/>
        <w:autoSpaceDN w:val="0"/>
        <w:adjustRightInd w:val="0"/>
        <w:spacing w:after="0" w:line="240" w:lineRule="auto"/>
        <w:jc w:val="center"/>
        <w:rPr>
          <w:rFonts w:ascii="Times New Roman" w:hAnsi="Times New Roman" w:cs="Times New Roman"/>
          <w:b/>
          <w:sz w:val="28"/>
          <w:szCs w:val="28"/>
        </w:rPr>
      </w:pPr>
      <w:r w:rsidRPr="0080521D">
        <w:rPr>
          <w:rFonts w:ascii="Times New Roman" w:hAnsi="Times New Roman" w:cs="Times New Roman"/>
          <w:b/>
          <w:sz w:val="28"/>
          <w:szCs w:val="28"/>
        </w:rPr>
        <w:t xml:space="preserve">Characteristic </w:t>
      </w:r>
      <w:r w:rsidR="00ED27ED" w:rsidRPr="0080521D">
        <w:rPr>
          <w:rFonts w:ascii="Times New Roman" w:hAnsi="Times New Roman" w:cs="Times New Roman"/>
          <w:b/>
          <w:sz w:val="28"/>
          <w:szCs w:val="28"/>
        </w:rPr>
        <w:t xml:space="preserve">and Defining </w:t>
      </w:r>
      <w:r w:rsidR="00500188" w:rsidRPr="0080521D">
        <w:rPr>
          <w:rFonts w:ascii="Times New Roman" w:hAnsi="Times New Roman" w:cs="Times New Roman"/>
          <w:b/>
          <w:sz w:val="28"/>
          <w:szCs w:val="28"/>
        </w:rPr>
        <w:t>Markers of PCOS</w:t>
      </w:r>
    </w:p>
    <w:p w14:paraId="6347FB7C" w14:textId="77777777" w:rsidR="008C559D" w:rsidRDefault="008C559D" w:rsidP="008C559D">
      <w:pPr>
        <w:spacing w:after="0" w:line="240" w:lineRule="auto"/>
        <w:jc w:val="center"/>
        <w:rPr>
          <w:rFonts w:ascii="Times New Roman" w:hAnsi="Times New Roman" w:cs="Times New Roman"/>
          <w:i/>
          <w:iCs/>
          <w:sz w:val="24"/>
          <w:szCs w:val="24"/>
        </w:rPr>
      </w:pPr>
    </w:p>
    <w:p w14:paraId="7A29AE58" w14:textId="66838515" w:rsidR="008C559D" w:rsidRPr="00764220" w:rsidRDefault="001D1B39" w:rsidP="00764220">
      <w:pPr>
        <w:spacing w:after="0" w:line="240" w:lineRule="auto"/>
        <w:jc w:val="center"/>
        <w:rPr>
          <w:rFonts w:ascii="Times New Roman" w:hAnsi="Times New Roman" w:cs="Times New Roman"/>
          <w:i/>
          <w:iCs/>
          <w:sz w:val="24"/>
          <w:szCs w:val="24"/>
        </w:rPr>
      </w:pPr>
      <w:r w:rsidRPr="0080521D">
        <w:rPr>
          <w:rFonts w:ascii="Times New Roman" w:hAnsi="Times New Roman" w:cs="Times New Roman"/>
          <w:i/>
          <w:iCs/>
          <w:sz w:val="24"/>
          <w:szCs w:val="24"/>
        </w:rPr>
        <w:t>Chawki A. Belhadi</w:t>
      </w:r>
    </w:p>
    <w:p w14:paraId="7E245341" w14:textId="4AE75777" w:rsidR="00CE58A2" w:rsidRDefault="00E07A14" w:rsidP="000701C0">
      <w:pPr>
        <w:spacing w:after="0" w:line="240" w:lineRule="auto"/>
        <w:jc w:val="center"/>
        <w:rPr>
          <w:rFonts w:ascii="Times New Roman" w:hAnsi="Times New Roman" w:cs="Times New Roman"/>
          <w:sz w:val="24"/>
          <w:szCs w:val="24"/>
        </w:rPr>
      </w:pPr>
      <w:r w:rsidRPr="0080521D">
        <w:rPr>
          <w:rFonts w:ascii="Times New Roman" w:hAnsi="Times New Roman" w:cs="Times New Roman"/>
          <w:sz w:val="24"/>
          <w:szCs w:val="24"/>
        </w:rPr>
        <w:t>University of Wisconsin-Milwaukee</w:t>
      </w:r>
    </w:p>
    <w:p w14:paraId="25982B17" w14:textId="77777777" w:rsidR="00764220" w:rsidRDefault="00764220" w:rsidP="000701C0">
      <w:pPr>
        <w:spacing w:after="0" w:line="240" w:lineRule="auto"/>
        <w:jc w:val="center"/>
        <w:rPr>
          <w:rFonts w:ascii="Times New Roman" w:hAnsi="Times New Roman" w:cs="Times New Roman"/>
          <w:sz w:val="24"/>
          <w:szCs w:val="24"/>
        </w:rPr>
      </w:pPr>
    </w:p>
    <w:p w14:paraId="3DF6D7CD" w14:textId="520CFD49" w:rsidR="00F74D4A" w:rsidRPr="00764220" w:rsidRDefault="00764220" w:rsidP="00764220">
      <w:pPr>
        <w:spacing w:line="240" w:lineRule="auto"/>
        <w:jc w:val="both"/>
        <w:rPr>
          <w:rFonts w:ascii="Times New Roman" w:hAnsi="Times New Roman" w:cs="Times New Roman"/>
          <w:i/>
          <w:iCs/>
          <w:sz w:val="18"/>
          <w:szCs w:val="18"/>
        </w:rPr>
      </w:pPr>
      <w:r w:rsidRPr="00764220">
        <w:rPr>
          <w:rFonts w:ascii="Times New Roman" w:hAnsi="Times New Roman" w:cs="Times New Roman"/>
          <w:i/>
          <w:iCs/>
          <w:sz w:val="20"/>
          <w:szCs w:val="20"/>
        </w:rPr>
        <w:t xml:space="preserve">Abstract: </w:t>
      </w:r>
      <w:r w:rsidRPr="00764220">
        <w:rPr>
          <w:rFonts w:ascii="Times New Roman" w:hAnsi="Times New Roman" w:cs="Times New Roman"/>
          <w:i/>
          <w:iCs/>
          <w:sz w:val="20"/>
          <w:szCs w:val="20"/>
        </w:rPr>
        <w:t xml:space="preserve">Polycystic Ovary Syndrome (PCOS) is one of the most frequently occurring endocrine disorders in women. The syndrome is diagnosed through a heterogeneous combination of androgen excess, anovulation, and ovarian dysfunction and is characterized by a host of resulting markers. This paper will paint the overall diagnostic picture of the condition and review a number of these markers to build an essential picture of PCOS. It will concentrate first on its principal metabolic markers then describe its physical, neurological and </w:t>
      </w:r>
      <w:proofErr w:type="spellStart"/>
      <w:r w:rsidRPr="00764220">
        <w:rPr>
          <w:rFonts w:ascii="Times New Roman" w:hAnsi="Times New Roman" w:cs="Times New Roman"/>
          <w:i/>
          <w:iCs/>
          <w:sz w:val="20"/>
          <w:szCs w:val="20"/>
        </w:rPr>
        <w:t>psychobehavioral</w:t>
      </w:r>
      <w:proofErr w:type="spellEnd"/>
      <w:r w:rsidRPr="00764220">
        <w:rPr>
          <w:rFonts w:ascii="Times New Roman" w:hAnsi="Times New Roman" w:cs="Times New Roman"/>
          <w:i/>
          <w:iCs/>
          <w:sz w:val="20"/>
          <w:szCs w:val="20"/>
        </w:rPr>
        <w:t xml:space="preserve"> markers. Each section will then abstract an essential picture from the data it presents. Finally, the review will conclude with a consolidation of the conclusions drawn in each section. The central theme that emerges is the inter-potentiated nature of PCOS markers.</w:t>
      </w:r>
    </w:p>
    <w:p w14:paraId="53A730C3" w14:textId="575DC557" w:rsidR="00764220" w:rsidRPr="00764220" w:rsidRDefault="00764220" w:rsidP="00764220">
      <w:pPr>
        <w:autoSpaceDE w:val="0"/>
        <w:autoSpaceDN w:val="0"/>
        <w:adjustRightInd w:val="0"/>
        <w:spacing w:line="240" w:lineRule="auto"/>
        <w:rPr>
          <w:rFonts w:ascii="Times New Roman" w:hAnsi="Times New Roman" w:cs="Times New Roman"/>
          <w:b/>
          <w:sz w:val="18"/>
          <w:szCs w:val="18"/>
        </w:rPr>
      </w:pPr>
      <w:r w:rsidRPr="00764220">
        <w:rPr>
          <w:rFonts w:ascii="Times New Roman" w:hAnsi="Times New Roman" w:cs="Times New Roman"/>
          <w:b/>
          <w:sz w:val="18"/>
          <w:szCs w:val="18"/>
        </w:rPr>
        <w:t xml:space="preserve">Keywords: </w:t>
      </w:r>
      <w:r w:rsidRPr="00764220">
        <w:rPr>
          <w:rFonts w:ascii="Times New Roman" w:hAnsi="Times New Roman" w:cs="Times New Roman"/>
          <w:b/>
          <w:sz w:val="18"/>
          <w:szCs w:val="18"/>
        </w:rPr>
        <w:t>Polycystic ovary syndrome (PCOS), hyperandrogenism, central obesity, neuroticism, autonomic dysfunction.</w:t>
      </w:r>
    </w:p>
    <w:p w14:paraId="4947D4CC" w14:textId="187ECDBB" w:rsidR="00462E71" w:rsidRPr="0080521D" w:rsidRDefault="009427F0" w:rsidP="00764220">
      <w:pPr>
        <w:autoSpaceDE w:val="0"/>
        <w:autoSpaceDN w:val="0"/>
        <w:adjustRightInd w:val="0"/>
        <w:spacing w:line="240" w:lineRule="auto"/>
        <w:rPr>
          <w:rFonts w:ascii="Times New Roman" w:hAnsi="Times New Roman" w:cs="Times New Roman"/>
          <w:b/>
          <w:sz w:val="20"/>
          <w:szCs w:val="20"/>
        </w:rPr>
      </w:pPr>
      <w:r w:rsidRPr="0080521D">
        <w:rPr>
          <w:rFonts w:ascii="Times New Roman" w:hAnsi="Times New Roman" w:cs="Times New Roman"/>
          <w:b/>
          <w:sz w:val="20"/>
          <w:szCs w:val="20"/>
        </w:rPr>
        <w:t>I</w:t>
      </w:r>
      <w:r w:rsidR="00153BBA" w:rsidRPr="0080521D">
        <w:rPr>
          <w:rFonts w:ascii="Times New Roman" w:hAnsi="Times New Roman" w:cs="Times New Roman"/>
          <w:b/>
          <w:sz w:val="20"/>
          <w:szCs w:val="20"/>
        </w:rPr>
        <w:t>ntroduction</w:t>
      </w:r>
    </w:p>
    <w:p w14:paraId="47452EB6" w14:textId="67239F48" w:rsidR="0040251B" w:rsidRPr="0080521D" w:rsidRDefault="00462E71" w:rsidP="00764220">
      <w:pPr>
        <w:spacing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Polycystic ovary syndrome (PCOS) is the most common endocrinopathy in women</w:t>
      </w:r>
      <w:r w:rsidR="00DB0E1E" w:rsidRPr="0080521D">
        <w:rPr>
          <w:rFonts w:ascii="Times New Roman" w:hAnsi="Times New Roman" w:cs="Times New Roman"/>
          <w:sz w:val="20"/>
          <w:szCs w:val="20"/>
          <w:vertAlign w:val="superscript"/>
        </w:rPr>
        <w:t>1</w:t>
      </w:r>
      <w:r w:rsidRPr="0080521D">
        <w:rPr>
          <w:rFonts w:ascii="Times New Roman" w:hAnsi="Times New Roman" w:cs="Times New Roman"/>
          <w:sz w:val="20"/>
          <w:szCs w:val="20"/>
        </w:rPr>
        <w:t xml:space="preserve">(Goodman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2015</w:t>
      </w:r>
      <w:r w:rsidR="00231AA2" w:rsidRPr="0080521D">
        <w:rPr>
          <w:rFonts w:ascii="Times New Roman" w:hAnsi="Times New Roman" w:cs="Times New Roman"/>
          <w:sz w:val="20"/>
          <w:szCs w:val="20"/>
        </w:rPr>
        <w:t xml:space="preserve">) </w:t>
      </w:r>
      <w:r w:rsidR="00231AA2">
        <w:rPr>
          <w:rFonts w:ascii="Times New Roman" w:hAnsi="Times New Roman" w:cs="Times New Roman"/>
          <w:sz w:val="20"/>
          <w:szCs w:val="20"/>
        </w:rPr>
        <w:t>and</w:t>
      </w:r>
      <w:r w:rsidR="00C22472">
        <w:rPr>
          <w:rFonts w:ascii="Times New Roman" w:hAnsi="Times New Roman" w:cs="Times New Roman"/>
          <w:sz w:val="20"/>
          <w:szCs w:val="20"/>
        </w:rPr>
        <w:t xml:space="preserve">, worldwide, affects </w:t>
      </w:r>
      <w:r w:rsidRPr="0080521D">
        <w:rPr>
          <w:rFonts w:ascii="Times New Roman" w:hAnsi="Times New Roman" w:cs="Times New Roman"/>
          <w:sz w:val="20"/>
          <w:szCs w:val="20"/>
        </w:rPr>
        <w:t>between 7% and 12% of women of reproductive age</w:t>
      </w:r>
      <w:r w:rsidR="007133D6" w:rsidRPr="0080521D">
        <w:rPr>
          <w:rFonts w:ascii="Times New Roman" w:hAnsi="Times New Roman" w:cs="Times New Roman"/>
          <w:sz w:val="20"/>
          <w:szCs w:val="20"/>
          <w:vertAlign w:val="superscript"/>
        </w:rPr>
        <w:t>2</w:t>
      </w:r>
      <w:r w:rsidRPr="0080521D">
        <w:rPr>
          <w:rFonts w:ascii="Times New Roman" w:hAnsi="Times New Roman" w:cs="Times New Roman"/>
          <w:sz w:val="20"/>
          <w:szCs w:val="20"/>
        </w:rPr>
        <w:t xml:space="preserve"> (Skiba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2018). Conditional subsets of the following are used to diagnose the disorder: hyperandrogenism, oligo-anovulation, and polycystic ovaries. Which are required and in what combination depends on the diagnostic standard used, the NIH 1990 (Zawadski &amp; Dunaif 1992), Rotterdam 2003 consensus (Fauser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2004), or AE &amp; PCOS guidelines (Azziz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w:t>
      </w:r>
      <w:r w:rsidR="00CD63CE" w:rsidRPr="0080521D">
        <w:rPr>
          <w:rFonts w:ascii="Times New Roman" w:hAnsi="Times New Roman" w:cs="Times New Roman"/>
          <w:sz w:val="20"/>
          <w:szCs w:val="20"/>
        </w:rPr>
        <w:t>2009) (</w:t>
      </w:r>
      <w:r w:rsidRPr="0080521D">
        <w:rPr>
          <w:rFonts w:ascii="Times New Roman" w:hAnsi="Times New Roman" w:cs="Times New Roman"/>
          <w:sz w:val="20"/>
          <w:szCs w:val="20"/>
        </w:rPr>
        <w:t xml:space="preserve">Table 1). Of the three, the Rotterdam consensus is the most accepted by the </w:t>
      </w:r>
      <w:r w:rsidR="00C22472">
        <w:rPr>
          <w:rFonts w:ascii="Times New Roman" w:hAnsi="Times New Roman" w:cs="Times New Roman"/>
          <w:sz w:val="20"/>
          <w:szCs w:val="20"/>
        </w:rPr>
        <w:t>National Institute of Health (</w:t>
      </w:r>
      <w:r w:rsidRPr="0080521D">
        <w:rPr>
          <w:rFonts w:ascii="Times New Roman" w:hAnsi="Times New Roman" w:cs="Times New Roman"/>
          <w:sz w:val="20"/>
          <w:szCs w:val="20"/>
        </w:rPr>
        <w:t>NIH</w:t>
      </w:r>
      <w:r w:rsidR="00C22472">
        <w:rPr>
          <w:rFonts w:ascii="Times New Roman" w:hAnsi="Times New Roman" w:cs="Times New Roman"/>
          <w:sz w:val="20"/>
          <w:szCs w:val="20"/>
        </w:rPr>
        <w:t>)</w:t>
      </w:r>
      <w:r w:rsidRPr="0080521D">
        <w:rPr>
          <w:rFonts w:ascii="Times New Roman" w:hAnsi="Times New Roman" w:cs="Times New Roman"/>
          <w:sz w:val="20"/>
          <w:szCs w:val="20"/>
        </w:rPr>
        <w:t xml:space="preserve"> and scientific community (Teede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2018)</w:t>
      </w:r>
      <w:r w:rsidR="00C22472">
        <w:rPr>
          <w:rFonts w:ascii="Times New Roman" w:hAnsi="Times New Roman" w:cs="Times New Roman"/>
          <w:sz w:val="20"/>
          <w:szCs w:val="20"/>
        </w:rPr>
        <w:t>,</w:t>
      </w:r>
      <w:r w:rsidRPr="0080521D">
        <w:rPr>
          <w:rFonts w:ascii="Times New Roman" w:hAnsi="Times New Roman" w:cs="Times New Roman"/>
          <w:sz w:val="20"/>
          <w:szCs w:val="20"/>
        </w:rPr>
        <w:t xml:space="preserve"> and the most widely used (Escobar-Morreale 2018).</w:t>
      </w:r>
    </w:p>
    <w:p w14:paraId="29832649" w14:textId="0E427A14" w:rsidR="00462E71" w:rsidRPr="0080521D" w:rsidRDefault="00462E71" w:rsidP="00F675DA">
      <w:pPr>
        <w:spacing w:before="300" w:line="240" w:lineRule="auto"/>
        <w:jc w:val="center"/>
        <w:rPr>
          <w:rFonts w:ascii="Times New Roman" w:hAnsi="Times New Roman" w:cs="Times New Roman"/>
          <w:sz w:val="16"/>
          <w:szCs w:val="16"/>
        </w:rPr>
      </w:pPr>
      <w:r w:rsidRPr="0080521D">
        <w:rPr>
          <w:rFonts w:ascii="Times New Roman" w:hAnsi="Times New Roman" w:cs="Times New Roman"/>
          <w:sz w:val="16"/>
          <w:szCs w:val="16"/>
        </w:rPr>
        <w:t>Table 1: PCOS Diagnostic Criteria</w:t>
      </w:r>
      <w:r w:rsidR="0069534E">
        <w:rPr>
          <w:rFonts w:ascii="Times New Roman" w:hAnsi="Times New Roman" w:cs="Times New Roman"/>
          <w:sz w:val="16"/>
          <w:szCs w:val="16"/>
        </w:rPr>
        <w:t>.</w:t>
      </w:r>
      <w:r w:rsidRPr="0080521D">
        <w:rPr>
          <w:rFonts w:ascii="Times New Roman" w:hAnsi="Times New Roman" w:cs="Times New Roman"/>
          <w:sz w:val="16"/>
          <w:szCs w:val="16"/>
        </w:rPr>
        <w:t xml:space="preserve"> </w:t>
      </w:r>
    </w:p>
    <w:tbl>
      <w:tblPr>
        <w:tblStyle w:val="TableGrid"/>
        <w:tblW w:w="0" w:type="auto"/>
        <w:tblBorders>
          <w:top w:val="none" w:sz="0" w:space="0" w:color="auto"/>
          <w:left w:val="none" w:sz="0" w:space="0" w:color="auto"/>
        </w:tblBorders>
        <w:tblLook w:val="04A0" w:firstRow="1" w:lastRow="0" w:firstColumn="1" w:lastColumn="0" w:noHBand="0" w:noVBand="1"/>
      </w:tblPr>
      <w:tblGrid>
        <w:gridCol w:w="2021"/>
        <w:gridCol w:w="2337"/>
        <w:gridCol w:w="2338"/>
        <w:gridCol w:w="2338"/>
      </w:tblGrid>
      <w:tr w:rsidR="0080521D" w:rsidRPr="0080521D" w14:paraId="725DD6CE" w14:textId="77777777" w:rsidTr="00062F22">
        <w:trPr>
          <w:trHeight w:val="576"/>
        </w:trPr>
        <w:tc>
          <w:tcPr>
            <w:tcW w:w="0" w:type="auto"/>
            <w:tcBorders>
              <w:bottom w:val="single" w:sz="4" w:space="0" w:color="auto"/>
            </w:tcBorders>
            <w:vAlign w:val="center"/>
          </w:tcPr>
          <w:p w14:paraId="27609058" w14:textId="77777777" w:rsidR="00462E71" w:rsidRPr="0080521D" w:rsidRDefault="00462E71" w:rsidP="0088397F">
            <w:pPr>
              <w:rPr>
                <w:rFonts w:ascii="Times New Roman" w:hAnsi="Times New Roman" w:cs="Times New Roman"/>
                <w:sz w:val="20"/>
                <w:szCs w:val="20"/>
              </w:rPr>
            </w:pPr>
            <w:bookmarkStart w:id="0" w:name="_Hlk93360048"/>
          </w:p>
        </w:tc>
        <w:tc>
          <w:tcPr>
            <w:tcW w:w="7013" w:type="dxa"/>
            <w:gridSpan w:val="3"/>
            <w:tcBorders>
              <w:top w:val="single" w:sz="4" w:space="0" w:color="auto"/>
            </w:tcBorders>
            <w:shd w:val="pct5" w:color="auto" w:fill="auto"/>
            <w:vAlign w:val="center"/>
          </w:tcPr>
          <w:p w14:paraId="3E8E40EF" w14:textId="6182CEFD"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Diagnostic Standard</w:t>
            </w:r>
            <w:r w:rsidR="009C55DD" w:rsidRPr="0080521D">
              <w:rPr>
                <w:rFonts w:ascii="Times New Roman" w:hAnsi="Times New Roman" w:cs="Times New Roman"/>
                <w:sz w:val="18"/>
                <w:szCs w:val="18"/>
              </w:rPr>
              <w:t>*</w:t>
            </w:r>
          </w:p>
        </w:tc>
      </w:tr>
      <w:tr w:rsidR="0080521D" w:rsidRPr="0080521D" w14:paraId="71A01A61" w14:textId="77777777" w:rsidTr="00062F22">
        <w:trPr>
          <w:trHeight w:val="576"/>
        </w:trPr>
        <w:tc>
          <w:tcPr>
            <w:tcW w:w="0" w:type="auto"/>
            <w:tcBorders>
              <w:top w:val="single" w:sz="4" w:space="0" w:color="auto"/>
              <w:left w:val="single" w:sz="4" w:space="0" w:color="auto"/>
            </w:tcBorders>
            <w:vAlign w:val="center"/>
          </w:tcPr>
          <w:p w14:paraId="15068FB4" w14:textId="77777777" w:rsidR="00462E71" w:rsidRPr="0080521D" w:rsidRDefault="00462E71" w:rsidP="0088397F">
            <w:pPr>
              <w:rPr>
                <w:rFonts w:ascii="Times New Roman" w:hAnsi="Times New Roman" w:cs="Times New Roman"/>
                <w:sz w:val="18"/>
                <w:szCs w:val="18"/>
              </w:rPr>
            </w:pPr>
            <w:r w:rsidRPr="0080521D">
              <w:rPr>
                <w:rFonts w:ascii="Times New Roman" w:hAnsi="Times New Roman" w:cs="Times New Roman"/>
                <w:sz w:val="18"/>
                <w:szCs w:val="18"/>
              </w:rPr>
              <w:t>Conditions</w:t>
            </w:r>
          </w:p>
        </w:tc>
        <w:tc>
          <w:tcPr>
            <w:tcW w:w="2337" w:type="dxa"/>
            <w:tcBorders>
              <w:top w:val="single" w:sz="4" w:space="0" w:color="auto"/>
            </w:tcBorders>
            <w:shd w:val="pct5" w:color="auto" w:fill="auto"/>
            <w:vAlign w:val="center"/>
          </w:tcPr>
          <w:p w14:paraId="37C3B167"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NIH (1990)</w:t>
            </w:r>
          </w:p>
        </w:tc>
        <w:tc>
          <w:tcPr>
            <w:tcW w:w="2338" w:type="dxa"/>
            <w:tcBorders>
              <w:top w:val="single" w:sz="4" w:space="0" w:color="auto"/>
            </w:tcBorders>
            <w:shd w:val="pct5" w:color="auto" w:fill="auto"/>
            <w:vAlign w:val="center"/>
          </w:tcPr>
          <w:p w14:paraId="69797B0E"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Rotterdam (2003) - if any 2 out of 3 criteria are met</w:t>
            </w:r>
          </w:p>
        </w:tc>
        <w:tc>
          <w:tcPr>
            <w:tcW w:w="2338" w:type="dxa"/>
            <w:tcBorders>
              <w:top w:val="single" w:sz="4" w:space="0" w:color="auto"/>
            </w:tcBorders>
            <w:shd w:val="pct5" w:color="auto" w:fill="auto"/>
            <w:vAlign w:val="center"/>
          </w:tcPr>
          <w:p w14:paraId="7472C297" w14:textId="1B372351"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 xml:space="preserve">AE &amp; PCOS – </w:t>
            </w:r>
            <w:r w:rsidR="000444AB" w:rsidRPr="000444AB">
              <w:rPr>
                <w:rFonts w:ascii="Times New Roman" w:hAnsi="Times New Roman" w:cs="Times New Roman"/>
                <w:sz w:val="18"/>
                <w:szCs w:val="18"/>
              </w:rPr>
              <w:t xml:space="preserve">HA </w:t>
            </w:r>
            <w:r w:rsidR="00D33BE1">
              <w:rPr>
                <w:rFonts w:ascii="Times New Roman" w:hAnsi="Times New Roman" w:cs="Times New Roman"/>
                <w:sz w:val="18"/>
                <w:szCs w:val="18"/>
              </w:rPr>
              <w:t xml:space="preserve">+ </w:t>
            </w:r>
            <w:r w:rsidRPr="0080521D">
              <w:rPr>
                <w:rFonts w:ascii="Times New Roman" w:hAnsi="Times New Roman" w:cs="Times New Roman"/>
                <w:sz w:val="18"/>
                <w:szCs w:val="18"/>
              </w:rPr>
              <w:t xml:space="preserve">1 of </w:t>
            </w:r>
            <w:r w:rsidR="00D33BE1">
              <w:rPr>
                <w:rFonts w:ascii="Times New Roman" w:hAnsi="Times New Roman" w:cs="Times New Roman"/>
                <w:sz w:val="18"/>
                <w:szCs w:val="18"/>
              </w:rPr>
              <w:t xml:space="preserve">the </w:t>
            </w:r>
            <w:r w:rsidRPr="0080521D">
              <w:rPr>
                <w:rFonts w:ascii="Times New Roman" w:hAnsi="Times New Roman" w:cs="Times New Roman"/>
                <w:sz w:val="18"/>
                <w:szCs w:val="18"/>
              </w:rPr>
              <w:t>2 remaining criteria</w:t>
            </w:r>
          </w:p>
        </w:tc>
      </w:tr>
      <w:tr w:rsidR="0080521D" w:rsidRPr="0080521D" w14:paraId="5A9BAAAC" w14:textId="77777777" w:rsidTr="00062F22">
        <w:trPr>
          <w:trHeight w:val="576"/>
        </w:trPr>
        <w:tc>
          <w:tcPr>
            <w:tcW w:w="0" w:type="auto"/>
            <w:tcBorders>
              <w:top w:val="single" w:sz="4" w:space="0" w:color="auto"/>
              <w:left w:val="single" w:sz="4" w:space="0" w:color="auto"/>
            </w:tcBorders>
            <w:vAlign w:val="center"/>
          </w:tcPr>
          <w:p w14:paraId="26210170" w14:textId="2D529146" w:rsidR="00462E71" w:rsidRPr="0080521D" w:rsidRDefault="00EC40DE" w:rsidP="0088397F">
            <w:pPr>
              <w:rPr>
                <w:rFonts w:ascii="Times New Roman" w:hAnsi="Times New Roman" w:cs="Times New Roman"/>
                <w:sz w:val="18"/>
                <w:szCs w:val="18"/>
              </w:rPr>
            </w:pPr>
            <w:r>
              <w:rPr>
                <w:rFonts w:ascii="Times New Roman" w:hAnsi="Times New Roman" w:cs="Times New Roman"/>
                <w:sz w:val="18"/>
                <w:szCs w:val="18"/>
              </w:rPr>
              <w:t>Hyper</w:t>
            </w:r>
            <w:r w:rsidR="004C29C2">
              <w:rPr>
                <w:rFonts w:ascii="Times New Roman" w:hAnsi="Times New Roman" w:cs="Times New Roman"/>
                <w:sz w:val="18"/>
                <w:szCs w:val="18"/>
              </w:rPr>
              <w:t>a</w:t>
            </w:r>
            <w:r w:rsidR="00462E71" w:rsidRPr="0080521D">
              <w:rPr>
                <w:rFonts w:ascii="Times New Roman" w:hAnsi="Times New Roman" w:cs="Times New Roman"/>
                <w:sz w:val="18"/>
                <w:szCs w:val="18"/>
              </w:rPr>
              <w:t>ndrogenism</w:t>
            </w:r>
            <w:r w:rsidR="002A525D">
              <w:rPr>
                <w:rFonts w:ascii="Times New Roman" w:hAnsi="Times New Roman" w:cs="Times New Roman"/>
                <w:sz w:val="18"/>
                <w:szCs w:val="18"/>
              </w:rPr>
              <w:t xml:space="preserve"> (HA)</w:t>
            </w:r>
          </w:p>
        </w:tc>
        <w:tc>
          <w:tcPr>
            <w:tcW w:w="2337" w:type="dxa"/>
            <w:vAlign w:val="center"/>
          </w:tcPr>
          <w:p w14:paraId="5B40E573"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w:t>
            </w:r>
          </w:p>
        </w:tc>
        <w:tc>
          <w:tcPr>
            <w:tcW w:w="2338" w:type="dxa"/>
            <w:vAlign w:val="center"/>
          </w:tcPr>
          <w:p w14:paraId="63AF5CB8"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w:t>
            </w:r>
          </w:p>
        </w:tc>
        <w:tc>
          <w:tcPr>
            <w:tcW w:w="2338" w:type="dxa"/>
            <w:vAlign w:val="center"/>
          </w:tcPr>
          <w:p w14:paraId="5984E6EB"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w:t>
            </w:r>
          </w:p>
        </w:tc>
      </w:tr>
      <w:tr w:rsidR="0080521D" w:rsidRPr="0080521D" w14:paraId="3A2BFEAF" w14:textId="77777777" w:rsidTr="00062F22">
        <w:trPr>
          <w:trHeight w:val="576"/>
        </w:trPr>
        <w:tc>
          <w:tcPr>
            <w:tcW w:w="0" w:type="auto"/>
            <w:tcBorders>
              <w:top w:val="single" w:sz="4" w:space="0" w:color="auto"/>
              <w:left w:val="single" w:sz="4" w:space="0" w:color="auto"/>
            </w:tcBorders>
            <w:vAlign w:val="center"/>
          </w:tcPr>
          <w:p w14:paraId="20EF7881" w14:textId="6495E989" w:rsidR="00462E71" w:rsidRPr="0080521D" w:rsidRDefault="00462E71" w:rsidP="0088397F">
            <w:pPr>
              <w:rPr>
                <w:rFonts w:ascii="Times New Roman" w:hAnsi="Times New Roman" w:cs="Times New Roman"/>
                <w:sz w:val="18"/>
                <w:szCs w:val="18"/>
              </w:rPr>
            </w:pPr>
            <w:r w:rsidRPr="0080521D">
              <w:rPr>
                <w:rFonts w:ascii="Times New Roman" w:hAnsi="Times New Roman" w:cs="Times New Roman"/>
                <w:sz w:val="18"/>
                <w:szCs w:val="18"/>
              </w:rPr>
              <w:t>Oligo-</w:t>
            </w:r>
            <w:r w:rsidR="00093B20">
              <w:rPr>
                <w:rFonts w:ascii="Times New Roman" w:hAnsi="Times New Roman" w:cs="Times New Roman"/>
                <w:sz w:val="18"/>
                <w:szCs w:val="18"/>
              </w:rPr>
              <w:t>an</w:t>
            </w:r>
            <w:r w:rsidRPr="0080521D">
              <w:rPr>
                <w:rFonts w:ascii="Times New Roman" w:hAnsi="Times New Roman" w:cs="Times New Roman"/>
                <w:sz w:val="18"/>
                <w:szCs w:val="18"/>
              </w:rPr>
              <w:t>ovulation</w:t>
            </w:r>
          </w:p>
        </w:tc>
        <w:tc>
          <w:tcPr>
            <w:tcW w:w="2337" w:type="dxa"/>
            <w:vAlign w:val="center"/>
          </w:tcPr>
          <w:p w14:paraId="1DEEB58C"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w:t>
            </w:r>
          </w:p>
        </w:tc>
        <w:tc>
          <w:tcPr>
            <w:tcW w:w="2338" w:type="dxa"/>
            <w:vAlign w:val="center"/>
          </w:tcPr>
          <w:p w14:paraId="69B776AD"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w:t>
            </w:r>
          </w:p>
        </w:tc>
        <w:tc>
          <w:tcPr>
            <w:tcW w:w="2338" w:type="dxa"/>
            <w:vAlign w:val="center"/>
          </w:tcPr>
          <w:p w14:paraId="3E50BB3E"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w:t>
            </w:r>
          </w:p>
        </w:tc>
      </w:tr>
      <w:tr w:rsidR="0080521D" w:rsidRPr="0080521D" w14:paraId="4E580BED" w14:textId="77777777" w:rsidTr="00062F22">
        <w:trPr>
          <w:trHeight w:val="576"/>
        </w:trPr>
        <w:tc>
          <w:tcPr>
            <w:tcW w:w="0" w:type="auto"/>
            <w:tcBorders>
              <w:top w:val="single" w:sz="4" w:space="0" w:color="auto"/>
              <w:left w:val="single" w:sz="4" w:space="0" w:color="auto"/>
            </w:tcBorders>
            <w:vAlign w:val="center"/>
          </w:tcPr>
          <w:p w14:paraId="44D64C27" w14:textId="77777777" w:rsidR="00462E71" w:rsidRPr="0080521D" w:rsidRDefault="00462E71" w:rsidP="0088397F">
            <w:pPr>
              <w:rPr>
                <w:rFonts w:ascii="Times New Roman" w:hAnsi="Times New Roman" w:cs="Times New Roman"/>
                <w:sz w:val="18"/>
                <w:szCs w:val="18"/>
              </w:rPr>
            </w:pPr>
            <w:r w:rsidRPr="0080521D">
              <w:rPr>
                <w:rFonts w:ascii="Times New Roman" w:hAnsi="Times New Roman" w:cs="Times New Roman"/>
                <w:sz w:val="18"/>
                <w:szCs w:val="18"/>
              </w:rPr>
              <w:t>Polycystic ovaries</w:t>
            </w:r>
          </w:p>
        </w:tc>
        <w:tc>
          <w:tcPr>
            <w:tcW w:w="2337" w:type="dxa"/>
            <w:vAlign w:val="center"/>
          </w:tcPr>
          <w:p w14:paraId="6C344011"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shd w:val="clear" w:color="auto" w:fill="FFFFFF"/>
              </w:rPr>
              <w:t> Ø</w:t>
            </w:r>
          </w:p>
        </w:tc>
        <w:tc>
          <w:tcPr>
            <w:tcW w:w="2338" w:type="dxa"/>
            <w:vAlign w:val="center"/>
          </w:tcPr>
          <w:p w14:paraId="2B8ACC74"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w:t>
            </w:r>
          </w:p>
        </w:tc>
        <w:tc>
          <w:tcPr>
            <w:tcW w:w="2338" w:type="dxa"/>
            <w:vAlign w:val="center"/>
          </w:tcPr>
          <w:p w14:paraId="06D256C9"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w:t>
            </w:r>
          </w:p>
        </w:tc>
      </w:tr>
    </w:tbl>
    <w:bookmarkEnd w:id="0"/>
    <w:p w14:paraId="22CE51B3" w14:textId="7E34FF3E" w:rsidR="00462E71" w:rsidRPr="00283120" w:rsidRDefault="00462E71" w:rsidP="0088397F">
      <w:pPr>
        <w:spacing w:before="120" w:after="0" w:line="240" w:lineRule="auto"/>
        <w:rPr>
          <w:rFonts w:ascii="Times New Roman" w:hAnsi="Times New Roman" w:cs="Times New Roman"/>
          <w:sz w:val="14"/>
          <w:szCs w:val="14"/>
        </w:rPr>
      </w:pPr>
      <w:r w:rsidRPr="0080521D">
        <w:rPr>
          <w:rFonts w:ascii="Times New Roman" w:hAnsi="Times New Roman" w:cs="Times New Roman"/>
          <w:sz w:val="16"/>
          <w:szCs w:val="16"/>
        </w:rPr>
        <w:t xml:space="preserve">* Legend: + indicates a </w:t>
      </w:r>
      <w:r w:rsidR="00774F47">
        <w:rPr>
          <w:rFonts w:ascii="Times New Roman" w:hAnsi="Times New Roman" w:cs="Times New Roman"/>
          <w:sz w:val="16"/>
          <w:szCs w:val="16"/>
        </w:rPr>
        <w:t>necessary</w:t>
      </w:r>
      <w:r w:rsidRPr="0080521D">
        <w:rPr>
          <w:rFonts w:ascii="Times New Roman" w:hAnsi="Times New Roman" w:cs="Times New Roman"/>
          <w:sz w:val="16"/>
          <w:szCs w:val="16"/>
        </w:rPr>
        <w:t xml:space="preserve"> criterion; +/- indicates a criterion </w:t>
      </w:r>
      <w:r w:rsidR="00163EF8" w:rsidRPr="0080521D">
        <w:rPr>
          <w:rFonts w:ascii="Times New Roman" w:hAnsi="Times New Roman" w:cs="Times New Roman"/>
          <w:sz w:val="16"/>
          <w:szCs w:val="16"/>
        </w:rPr>
        <w:t>that</w:t>
      </w:r>
      <w:r w:rsidRPr="0080521D">
        <w:rPr>
          <w:rFonts w:ascii="Times New Roman" w:hAnsi="Times New Roman" w:cs="Times New Roman"/>
          <w:sz w:val="16"/>
          <w:szCs w:val="16"/>
        </w:rPr>
        <w:t xml:space="preserve"> may need to be present</w:t>
      </w:r>
      <w:r w:rsidR="00ED1551">
        <w:rPr>
          <w:rFonts w:ascii="Times New Roman" w:hAnsi="Times New Roman" w:cs="Times New Roman"/>
          <w:sz w:val="16"/>
          <w:szCs w:val="16"/>
        </w:rPr>
        <w:t xml:space="preserve">; </w:t>
      </w:r>
      <w:r w:rsidR="00E54CCF" w:rsidRPr="0080521D">
        <w:rPr>
          <w:rFonts w:ascii="Times New Roman" w:hAnsi="Times New Roman" w:cs="Times New Roman"/>
          <w:sz w:val="16"/>
          <w:szCs w:val="16"/>
          <w:shd w:val="clear" w:color="auto" w:fill="FFFFFF"/>
        </w:rPr>
        <w:t>Ø</w:t>
      </w:r>
      <w:r w:rsidR="00E54CCF" w:rsidRPr="0080521D">
        <w:rPr>
          <w:rFonts w:ascii="Times New Roman" w:hAnsi="Times New Roman" w:cs="Times New Roman"/>
          <w:sz w:val="16"/>
          <w:szCs w:val="16"/>
        </w:rPr>
        <w:t xml:space="preserve"> </w:t>
      </w:r>
      <w:r w:rsidR="00250FE7" w:rsidRPr="0080521D">
        <w:rPr>
          <w:rFonts w:ascii="Times New Roman" w:hAnsi="Times New Roman" w:cs="Times New Roman"/>
          <w:sz w:val="16"/>
          <w:szCs w:val="16"/>
        </w:rPr>
        <w:t>indicates a</w:t>
      </w:r>
      <w:r w:rsidR="00250FE7">
        <w:rPr>
          <w:rFonts w:ascii="Times New Roman" w:hAnsi="Times New Roman" w:cs="Times New Roman"/>
          <w:sz w:val="16"/>
          <w:szCs w:val="16"/>
        </w:rPr>
        <w:t>n</w:t>
      </w:r>
      <w:r w:rsidR="00250FE7" w:rsidRPr="0080521D">
        <w:rPr>
          <w:rFonts w:ascii="Times New Roman" w:hAnsi="Times New Roman" w:cs="Times New Roman"/>
          <w:sz w:val="16"/>
          <w:szCs w:val="16"/>
        </w:rPr>
        <w:t xml:space="preserve"> </w:t>
      </w:r>
      <w:r w:rsidR="007A2924">
        <w:rPr>
          <w:rFonts w:ascii="Times New Roman" w:hAnsi="Times New Roman" w:cs="Times New Roman"/>
          <w:sz w:val="16"/>
          <w:szCs w:val="16"/>
        </w:rPr>
        <w:t>unnecessary</w:t>
      </w:r>
      <w:r w:rsidR="00250FE7" w:rsidRPr="0080521D">
        <w:rPr>
          <w:rFonts w:ascii="Times New Roman" w:hAnsi="Times New Roman" w:cs="Times New Roman"/>
          <w:sz w:val="16"/>
          <w:szCs w:val="16"/>
        </w:rPr>
        <w:t xml:space="preserve"> criterion</w:t>
      </w:r>
    </w:p>
    <w:p w14:paraId="51E2CAF7" w14:textId="081B4E9D" w:rsidR="00462E71" w:rsidRPr="0080521D" w:rsidRDefault="00462E71" w:rsidP="00231AA2">
      <w:pPr>
        <w:spacing w:before="240" w:after="0" w:line="240" w:lineRule="auto"/>
        <w:ind w:firstLine="634"/>
        <w:jc w:val="both"/>
        <w:rPr>
          <w:rFonts w:ascii="Times New Roman" w:hAnsi="Times New Roman" w:cs="Times New Roman"/>
          <w:sz w:val="20"/>
          <w:szCs w:val="20"/>
        </w:rPr>
      </w:pPr>
      <w:r w:rsidRPr="0080521D">
        <w:rPr>
          <w:rFonts w:ascii="Times New Roman" w:hAnsi="Times New Roman" w:cs="Times New Roman"/>
          <w:sz w:val="20"/>
          <w:szCs w:val="20"/>
        </w:rPr>
        <w:t>The Rotterdam consensus divides PCOS into four phenotypes: 1)</w:t>
      </w:r>
      <w:r w:rsidRPr="0080521D">
        <w:rPr>
          <w:rFonts w:ascii="Times New Roman" w:hAnsi="Times New Roman" w:cs="Times New Roman"/>
          <w:b/>
          <w:bCs/>
          <w:sz w:val="20"/>
          <w:szCs w:val="20"/>
        </w:rPr>
        <w:t xml:space="preserve"> A</w:t>
      </w:r>
      <w:r w:rsidRPr="0080521D">
        <w:rPr>
          <w:rFonts w:ascii="Times New Roman" w:hAnsi="Times New Roman" w:cs="Times New Roman"/>
          <w:sz w:val="20"/>
          <w:szCs w:val="20"/>
        </w:rPr>
        <w:t xml:space="preserve">-Classic PCOS (defined by </w:t>
      </w:r>
      <w:r w:rsidR="00093B20">
        <w:rPr>
          <w:rFonts w:ascii="Times New Roman" w:hAnsi="Times New Roman" w:cs="Times New Roman"/>
          <w:sz w:val="20"/>
          <w:szCs w:val="20"/>
        </w:rPr>
        <w:t>oligo-an</w:t>
      </w:r>
      <w:r w:rsidR="000D47B5">
        <w:rPr>
          <w:rFonts w:ascii="Times New Roman" w:hAnsi="Times New Roman" w:cs="Times New Roman"/>
          <w:sz w:val="20"/>
          <w:szCs w:val="20"/>
        </w:rPr>
        <w:t>ovulation</w:t>
      </w:r>
      <w:r w:rsidRPr="0080521D">
        <w:rPr>
          <w:rFonts w:ascii="Times New Roman" w:hAnsi="Times New Roman" w:cs="Times New Roman"/>
          <w:sz w:val="20"/>
          <w:szCs w:val="20"/>
        </w:rPr>
        <w:t xml:space="preserve">, hyperandrogenism, and polycystic ovaries); 2) </w:t>
      </w:r>
      <w:r w:rsidRPr="0080521D">
        <w:rPr>
          <w:rFonts w:ascii="Times New Roman" w:hAnsi="Times New Roman" w:cs="Times New Roman"/>
          <w:b/>
          <w:bCs/>
          <w:sz w:val="20"/>
          <w:szCs w:val="20"/>
        </w:rPr>
        <w:t>B</w:t>
      </w:r>
      <w:r w:rsidRPr="0080521D">
        <w:rPr>
          <w:rFonts w:ascii="Times New Roman" w:hAnsi="Times New Roman" w:cs="Times New Roman"/>
          <w:sz w:val="20"/>
          <w:szCs w:val="20"/>
        </w:rPr>
        <w:t xml:space="preserve">-Classic non-polycystic ovary PCOS (defined by </w:t>
      </w:r>
      <w:r w:rsidR="000D47B5">
        <w:rPr>
          <w:rFonts w:ascii="Times New Roman" w:hAnsi="Times New Roman" w:cs="Times New Roman"/>
          <w:sz w:val="20"/>
          <w:szCs w:val="20"/>
        </w:rPr>
        <w:t>oligo-anovulation</w:t>
      </w:r>
      <w:r w:rsidRPr="0080521D">
        <w:rPr>
          <w:rFonts w:ascii="Times New Roman" w:hAnsi="Times New Roman" w:cs="Times New Roman"/>
          <w:sz w:val="20"/>
          <w:szCs w:val="20"/>
        </w:rPr>
        <w:t xml:space="preserve">, hyperandrogenism, and normal ovaries); 3) </w:t>
      </w:r>
      <w:r w:rsidRPr="0080521D">
        <w:rPr>
          <w:rFonts w:ascii="Times New Roman" w:hAnsi="Times New Roman" w:cs="Times New Roman"/>
          <w:b/>
          <w:bCs/>
          <w:sz w:val="20"/>
          <w:szCs w:val="20"/>
        </w:rPr>
        <w:t>C</w:t>
      </w:r>
      <w:r w:rsidRPr="0080521D">
        <w:rPr>
          <w:rFonts w:ascii="Times New Roman" w:hAnsi="Times New Roman" w:cs="Times New Roman"/>
          <w:sz w:val="20"/>
          <w:szCs w:val="20"/>
        </w:rPr>
        <w:t xml:space="preserve">-Non-classic ovulatory PCOS (defined by regular menstrual cycles, hyperandrogenism, and polycystic ovaries); and 4) </w:t>
      </w:r>
      <w:r w:rsidRPr="0080521D">
        <w:rPr>
          <w:rFonts w:ascii="Times New Roman" w:hAnsi="Times New Roman" w:cs="Times New Roman"/>
          <w:b/>
          <w:bCs/>
          <w:sz w:val="20"/>
          <w:szCs w:val="20"/>
        </w:rPr>
        <w:t>D</w:t>
      </w:r>
      <w:r w:rsidRPr="0080521D">
        <w:rPr>
          <w:rFonts w:ascii="Times New Roman" w:hAnsi="Times New Roman" w:cs="Times New Roman"/>
          <w:sz w:val="20"/>
          <w:szCs w:val="20"/>
        </w:rPr>
        <w:t xml:space="preserve">-Classic mild or normoandrogenic PCOS (defined by chronic anovulation, normal androgens, and polycystic ovaries) (Fauser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2004)</w:t>
      </w:r>
      <w:r w:rsidR="00F7583E">
        <w:rPr>
          <w:rFonts w:ascii="Times New Roman" w:hAnsi="Times New Roman" w:cs="Times New Roman"/>
          <w:sz w:val="20"/>
          <w:szCs w:val="20"/>
        </w:rPr>
        <w:t xml:space="preserve"> </w:t>
      </w:r>
      <w:r w:rsidRPr="0080521D">
        <w:rPr>
          <w:rFonts w:ascii="Times New Roman" w:hAnsi="Times New Roman" w:cs="Times New Roman"/>
          <w:sz w:val="20"/>
          <w:szCs w:val="20"/>
        </w:rPr>
        <w:t>(Table 2).</w:t>
      </w:r>
    </w:p>
    <w:p w14:paraId="0491584D" w14:textId="31107ADD" w:rsidR="00462E71" w:rsidRPr="0080521D" w:rsidRDefault="00462E71" w:rsidP="00A76B1D">
      <w:pPr>
        <w:spacing w:before="300" w:line="240" w:lineRule="auto"/>
        <w:ind w:firstLine="360"/>
        <w:jc w:val="center"/>
        <w:rPr>
          <w:rFonts w:ascii="Times New Roman" w:hAnsi="Times New Roman" w:cs="Times New Roman"/>
          <w:sz w:val="16"/>
          <w:szCs w:val="16"/>
        </w:rPr>
      </w:pPr>
      <w:r w:rsidRPr="0080521D">
        <w:rPr>
          <w:rFonts w:ascii="Times New Roman" w:hAnsi="Times New Roman" w:cs="Times New Roman"/>
          <w:sz w:val="16"/>
          <w:szCs w:val="16"/>
        </w:rPr>
        <w:t>Table 2: Phenotypes of PCOS - Rotterdam (2003) Criteria</w:t>
      </w:r>
      <w:r w:rsidR="0069534E">
        <w:rPr>
          <w:rFonts w:ascii="Times New Roman" w:hAnsi="Times New Roman" w:cs="Times New Roman"/>
          <w:sz w:val="16"/>
          <w:szCs w:val="16"/>
        </w:rPr>
        <w:t>.</w:t>
      </w:r>
    </w:p>
    <w:tbl>
      <w:tblPr>
        <w:tblStyle w:val="TableGrid"/>
        <w:tblW w:w="0" w:type="auto"/>
        <w:tblBorders>
          <w:top w:val="none" w:sz="0" w:space="0" w:color="auto"/>
          <w:left w:val="none" w:sz="0" w:space="0" w:color="auto"/>
        </w:tblBorders>
        <w:tblLook w:val="04A0" w:firstRow="1" w:lastRow="0" w:firstColumn="1" w:lastColumn="0" w:noHBand="0" w:noVBand="1"/>
      </w:tblPr>
      <w:tblGrid>
        <w:gridCol w:w="2001"/>
        <w:gridCol w:w="1838"/>
        <w:gridCol w:w="1839"/>
        <w:gridCol w:w="1838"/>
        <w:gridCol w:w="1839"/>
      </w:tblGrid>
      <w:tr w:rsidR="0080521D" w:rsidRPr="0080521D" w14:paraId="6462EC5D" w14:textId="77777777" w:rsidTr="00062F22">
        <w:trPr>
          <w:trHeight w:val="576"/>
        </w:trPr>
        <w:tc>
          <w:tcPr>
            <w:tcW w:w="2001" w:type="dxa"/>
            <w:tcBorders>
              <w:bottom w:val="single" w:sz="4" w:space="0" w:color="auto"/>
            </w:tcBorders>
            <w:vAlign w:val="center"/>
          </w:tcPr>
          <w:p w14:paraId="56F52B08" w14:textId="77777777" w:rsidR="00462E71" w:rsidRPr="0080521D" w:rsidRDefault="00462E71" w:rsidP="0088397F">
            <w:pPr>
              <w:rPr>
                <w:rFonts w:ascii="Times New Roman" w:hAnsi="Times New Roman" w:cs="Times New Roman"/>
                <w:sz w:val="20"/>
                <w:szCs w:val="20"/>
              </w:rPr>
            </w:pPr>
          </w:p>
        </w:tc>
        <w:tc>
          <w:tcPr>
            <w:tcW w:w="7354" w:type="dxa"/>
            <w:gridSpan w:val="4"/>
            <w:tcBorders>
              <w:top w:val="single" w:sz="4" w:space="0" w:color="auto"/>
            </w:tcBorders>
            <w:shd w:val="pct5" w:color="auto" w:fill="auto"/>
            <w:vAlign w:val="center"/>
          </w:tcPr>
          <w:p w14:paraId="1680C06E" w14:textId="724BA0F1"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PCOS Phenotypes</w:t>
            </w:r>
            <w:r w:rsidR="009C55DD" w:rsidRPr="0080521D">
              <w:rPr>
                <w:rFonts w:ascii="Times New Roman" w:hAnsi="Times New Roman" w:cs="Times New Roman"/>
                <w:sz w:val="18"/>
                <w:szCs w:val="18"/>
              </w:rPr>
              <w:t>*</w:t>
            </w:r>
          </w:p>
        </w:tc>
      </w:tr>
      <w:tr w:rsidR="0080521D" w:rsidRPr="0080521D" w14:paraId="4AE4A3ED" w14:textId="77777777" w:rsidTr="00062F22">
        <w:trPr>
          <w:trHeight w:val="576"/>
        </w:trPr>
        <w:tc>
          <w:tcPr>
            <w:tcW w:w="2001" w:type="dxa"/>
            <w:tcBorders>
              <w:top w:val="single" w:sz="4" w:space="0" w:color="auto"/>
              <w:left w:val="single" w:sz="4" w:space="0" w:color="auto"/>
            </w:tcBorders>
            <w:vAlign w:val="center"/>
          </w:tcPr>
          <w:p w14:paraId="421292A9" w14:textId="77777777" w:rsidR="00462E71" w:rsidRPr="0080521D" w:rsidRDefault="00462E71" w:rsidP="0088397F">
            <w:pPr>
              <w:rPr>
                <w:rFonts w:ascii="Times New Roman" w:hAnsi="Times New Roman" w:cs="Times New Roman"/>
                <w:sz w:val="18"/>
                <w:szCs w:val="18"/>
              </w:rPr>
            </w:pPr>
            <w:r w:rsidRPr="0080521D">
              <w:rPr>
                <w:rFonts w:ascii="Times New Roman" w:hAnsi="Times New Roman" w:cs="Times New Roman"/>
                <w:sz w:val="18"/>
                <w:szCs w:val="18"/>
              </w:rPr>
              <w:t>Conditions</w:t>
            </w:r>
          </w:p>
        </w:tc>
        <w:tc>
          <w:tcPr>
            <w:tcW w:w="1838" w:type="dxa"/>
            <w:tcBorders>
              <w:top w:val="single" w:sz="4" w:space="0" w:color="auto"/>
            </w:tcBorders>
            <w:shd w:val="pct5" w:color="auto" w:fill="auto"/>
            <w:vAlign w:val="center"/>
          </w:tcPr>
          <w:p w14:paraId="5D91464B"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A</w:t>
            </w:r>
          </w:p>
        </w:tc>
        <w:tc>
          <w:tcPr>
            <w:tcW w:w="1839" w:type="dxa"/>
            <w:tcBorders>
              <w:top w:val="single" w:sz="4" w:space="0" w:color="auto"/>
            </w:tcBorders>
            <w:shd w:val="pct5" w:color="auto" w:fill="auto"/>
            <w:vAlign w:val="center"/>
          </w:tcPr>
          <w:p w14:paraId="2942907A"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B</w:t>
            </w:r>
          </w:p>
        </w:tc>
        <w:tc>
          <w:tcPr>
            <w:tcW w:w="1838" w:type="dxa"/>
            <w:tcBorders>
              <w:top w:val="single" w:sz="4" w:space="0" w:color="auto"/>
            </w:tcBorders>
            <w:shd w:val="pct5" w:color="auto" w:fill="auto"/>
            <w:vAlign w:val="center"/>
          </w:tcPr>
          <w:p w14:paraId="79AD5B01"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C</w:t>
            </w:r>
          </w:p>
        </w:tc>
        <w:tc>
          <w:tcPr>
            <w:tcW w:w="1839" w:type="dxa"/>
            <w:tcBorders>
              <w:top w:val="single" w:sz="4" w:space="0" w:color="auto"/>
            </w:tcBorders>
            <w:shd w:val="pct5" w:color="auto" w:fill="auto"/>
            <w:vAlign w:val="center"/>
          </w:tcPr>
          <w:p w14:paraId="0A892888"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D</w:t>
            </w:r>
          </w:p>
        </w:tc>
      </w:tr>
      <w:tr w:rsidR="0080521D" w:rsidRPr="0080521D" w14:paraId="06A688D7" w14:textId="77777777" w:rsidTr="00062F22">
        <w:trPr>
          <w:trHeight w:val="576"/>
        </w:trPr>
        <w:tc>
          <w:tcPr>
            <w:tcW w:w="2001" w:type="dxa"/>
            <w:tcBorders>
              <w:top w:val="single" w:sz="4" w:space="0" w:color="auto"/>
              <w:left w:val="single" w:sz="4" w:space="0" w:color="auto"/>
            </w:tcBorders>
            <w:vAlign w:val="center"/>
          </w:tcPr>
          <w:p w14:paraId="40718F9E" w14:textId="77777777" w:rsidR="00462E71" w:rsidRPr="0080521D" w:rsidRDefault="00462E71" w:rsidP="0088397F">
            <w:pPr>
              <w:rPr>
                <w:rFonts w:ascii="Times New Roman" w:hAnsi="Times New Roman" w:cs="Times New Roman"/>
                <w:sz w:val="18"/>
                <w:szCs w:val="18"/>
              </w:rPr>
            </w:pPr>
            <w:r w:rsidRPr="0080521D">
              <w:rPr>
                <w:rFonts w:ascii="Times New Roman" w:hAnsi="Times New Roman" w:cs="Times New Roman"/>
                <w:sz w:val="18"/>
                <w:szCs w:val="18"/>
              </w:rPr>
              <w:lastRenderedPageBreak/>
              <w:t>Hyperandrogenism</w:t>
            </w:r>
          </w:p>
        </w:tc>
        <w:tc>
          <w:tcPr>
            <w:tcW w:w="1838" w:type="dxa"/>
            <w:vAlign w:val="center"/>
          </w:tcPr>
          <w:p w14:paraId="5F9F760A"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w:t>
            </w:r>
          </w:p>
        </w:tc>
        <w:tc>
          <w:tcPr>
            <w:tcW w:w="1839" w:type="dxa"/>
            <w:vAlign w:val="center"/>
          </w:tcPr>
          <w:p w14:paraId="03804F14"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w:t>
            </w:r>
          </w:p>
        </w:tc>
        <w:tc>
          <w:tcPr>
            <w:tcW w:w="1838" w:type="dxa"/>
            <w:vAlign w:val="center"/>
          </w:tcPr>
          <w:p w14:paraId="6C6665E4"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w:t>
            </w:r>
          </w:p>
        </w:tc>
        <w:tc>
          <w:tcPr>
            <w:tcW w:w="1839" w:type="dxa"/>
            <w:vAlign w:val="center"/>
          </w:tcPr>
          <w:p w14:paraId="2F5FBB70"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shd w:val="clear" w:color="auto" w:fill="FFFFFF"/>
              </w:rPr>
              <w:t> Ø</w:t>
            </w:r>
          </w:p>
        </w:tc>
      </w:tr>
      <w:tr w:rsidR="0080521D" w:rsidRPr="0080521D" w14:paraId="1210DC84" w14:textId="77777777" w:rsidTr="00062F22">
        <w:trPr>
          <w:trHeight w:val="576"/>
        </w:trPr>
        <w:tc>
          <w:tcPr>
            <w:tcW w:w="2001" w:type="dxa"/>
            <w:tcBorders>
              <w:top w:val="single" w:sz="4" w:space="0" w:color="auto"/>
              <w:left w:val="single" w:sz="4" w:space="0" w:color="auto"/>
            </w:tcBorders>
            <w:vAlign w:val="center"/>
          </w:tcPr>
          <w:p w14:paraId="3DDC48B8" w14:textId="77777777" w:rsidR="00462E71" w:rsidRPr="0080521D" w:rsidRDefault="00462E71" w:rsidP="0088397F">
            <w:pPr>
              <w:rPr>
                <w:rFonts w:ascii="Times New Roman" w:hAnsi="Times New Roman" w:cs="Times New Roman"/>
                <w:sz w:val="18"/>
                <w:szCs w:val="18"/>
              </w:rPr>
            </w:pPr>
            <w:r w:rsidRPr="0080521D">
              <w:rPr>
                <w:rFonts w:ascii="Times New Roman" w:hAnsi="Times New Roman" w:cs="Times New Roman"/>
                <w:sz w:val="18"/>
                <w:szCs w:val="18"/>
              </w:rPr>
              <w:t>Oligo-anovulation</w:t>
            </w:r>
          </w:p>
        </w:tc>
        <w:tc>
          <w:tcPr>
            <w:tcW w:w="1838" w:type="dxa"/>
            <w:vAlign w:val="center"/>
          </w:tcPr>
          <w:p w14:paraId="46DE7F8E"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w:t>
            </w:r>
          </w:p>
        </w:tc>
        <w:tc>
          <w:tcPr>
            <w:tcW w:w="1839" w:type="dxa"/>
            <w:vAlign w:val="center"/>
          </w:tcPr>
          <w:p w14:paraId="60D033B7"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w:t>
            </w:r>
          </w:p>
        </w:tc>
        <w:tc>
          <w:tcPr>
            <w:tcW w:w="1838" w:type="dxa"/>
            <w:vAlign w:val="center"/>
          </w:tcPr>
          <w:p w14:paraId="2E5CD81C" w14:textId="77777777" w:rsidR="00462E71" w:rsidRPr="0080521D" w:rsidRDefault="00462E71" w:rsidP="0088397F">
            <w:pPr>
              <w:jc w:val="center"/>
              <w:rPr>
                <w:rFonts w:ascii="Times New Roman" w:hAnsi="Times New Roman" w:cs="Times New Roman"/>
                <w:i/>
                <w:iCs/>
                <w:sz w:val="18"/>
                <w:szCs w:val="18"/>
              </w:rPr>
            </w:pPr>
            <w:r w:rsidRPr="0080521D">
              <w:rPr>
                <w:rFonts w:ascii="Times New Roman" w:hAnsi="Times New Roman" w:cs="Times New Roman"/>
                <w:sz w:val="18"/>
                <w:szCs w:val="18"/>
                <w:shd w:val="clear" w:color="auto" w:fill="FFFFFF"/>
              </w:rPr>
              <w:t>  Ø</w:t>
            </w:r>
          </w:p>
        </w:tc>
        <w:tc>
          <w:tcPr>
            <w:tcW w:w="1839" w:type="dxa"/>
            <w:vAlign w:val="center"/>
          </w:tcPr>
          <w:p w14:paraId="3ADB81D7"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w:t>
            </w:r>
          </w:p>
        </w:tc>
      </w:tr>
      <w:tr w:rsidR="0080521D" w:rsidRPr="0080521D" w14:paraId="676857E1" w14:textId="77777777" w:rsidTr="00062F22">
        <w:trPr>
          <w:trHeight w:val="576"/>
        </w:trPr>
        <w:tc>
          <w:tcPr>
            <w:tcW w:w="2001" w:type="dxa"/>
            <w:tcBorders>
              <w:top w:val="single" w:sz="4" w:space="0" w:color="auto"/>
              <w:left w:val="single" w:sz="4" w:space="0" w:color="auto"/>
            </w:tcBorders>
            <w:vAlign w:val="center"/>
          </w:tcPr>
          <w:p w14:paraId="2BE86B67" w14:textId="77777777" w:rsidR="00462E71" w:rsidRPr="0080521D" w:rsidRDefault="00462E71" w:rsidP="0088397F">
            <w:pPr>
              <w:rPr>
                <w:rFonts w:ascii="Times New Roman" w:hAnsi="Times New Roman" w:cs="Times New Roman"/>
                <w:sz w:val="18"/>
                <w:szCs w:val="18"/>
              </w:rPr>
            </w:pPr>
            <w:r w:rsidRPr="0080521D">
              <w:rPr>
                <w:rFonts w:ascii="Times New Roman" w:hAnsi="Times New Roman" w:cs="Times New Roman"/>
                <w:sz w:val="18"/>
                <w:szCs w:val="18"/>
              </w:rPr>
              <w:t>Polycystic ovaries</w:t>
            </w:r>
          </w:p>
        </w:tc>
        <w:tc>
          <w:tcPr>
            <w:tcW w:w="1838" w:type="dxa"/>
            <w:vAlign w:val="center"/>
          </w:tcPr>
          <w:p w14:paraId="0E6D11C8"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w:t>
            </w:r>
          </w:p>
        </w:tc>
        <w:tc>
          <w:tcPr>
            <w:tcW w:w="1839" w:type="dxa"/>
            <w:vAlign w:val="center"/>
          </w:tcPr>
          <w:p w14:paraId="094FE473" w14:textId="77777777" w:rsidR="00462E71" w:rsidRPr="0080521D" w:rsidRDefault="00462E71" w:rsidP="0088397F">
            <w:pPr>
              <w:jc w:val="center"/>
              <w:rPr>
                <w:rFonts w:ascii="Times New Roman" w:hAnsi="Times New Roman" w:cs="Times New Roman"/>
                <w:b/>
                <w:bCs/>
                <w:sz w:val="18"/>
                <w:szCs w:val="18"/>
              </w:rPr>
            </w:pPr>
            <w:r w:rsidRPr="0080521D">
              <w:rPr>
                <w:rFonts w:ascii="Times New Roman" w:hAnsi="Times New Roman" w:cs="Times New Roman"/>
                <w:sz w:val="18"/>
                <w:szCs w:val="18"/>
                <w:shd w:val="clear" w:color="auto" w:fill="FFFFFF"/>
              </w:rPr>
              <w:t> Ø</w:t>
            </w:r>
          </w:p>
        </w:tc>
        <w:tc>
          <w:tcPr>
            <w:tcW w:w="1838" w:type="dxa"/>
            <w:vAlign w:val="center"/>
          </w:tcPr>
          <w:p w14:paraId="58FBCB7E"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w:t>
            </w:r>
          </w:p>
        </w:tc>
        <w:tc>
          <w:tcPr>
            <w:tcW w:w="1839" w:type="dxa"/>
            <w:vAlign w:val="center"/>
          </w:tcPr>
          <w:p w14:paraId="4EBA980F" w14:textId="77777777" w:rsidR="00462E71" w:rsidRPr="0080521D" w:rsidRDefault="00462E71" w:rsidP="0088397F">
            <w:pPr>
              <w:jc w:val="center"/>
              <w:rPr>
                <w:rFonts w:ascii="Times New Roman" w:hAnsi="Times New Roman" w:cs="Times New Roman"/>
                <w:sz w:val="18"/>
                <w:szCs w:val="18"/>
              </w:rPr>
            </w:pPr>
            <w:r w:rsidRPr="0080521D">
              <w:rPr>
                <w:rFonts w:ascii="Times New Roman" w:hAnsi="Times New Roman" w:cs="Times New Roman"/>
                <w:sz w:val="18"/>
                <w:szCs w:val="18"/>
              </w:rPr>
              <w:t>+</w:t>
            </w:r>
          </w:p>
        </w:tc>
      </w:tr>
    </w:tbl>
    <w:p w14:paraId="07847946" w14:textId="0CA62C2A" w:rsidR="003D6BAC" w:rsidRPr="0080521D" w:rsidRDefault="003D6BAC" w:rsidP="0088397F">
      <w:pPr>
        <w:spacing w:before="120" w:after="0" w:line="240" w:lineRule="auto"/>
        <w:rPr>
          <w:rFonts w:ascii="Times New Roman" w:hAnsi="Times New Roman" w:cs="Times New Roman"/>
          <w:sz w:val="16"/>
          <w:szCs w:val="16"/>
        </w:rPr>
      </w:pPr>
      <w:r w:rsidRPr="0080521D">
        <w:rPr>
          <w:rFonts w:ascii="Times New Roman" w:hAnsi="Times New Roman" w:cs="Times New Roman"/>
          <w:sz w:val="16"/>
          <w:szCs w:val="16"/>
        </w:rPr>
        <w:t xml:space="preserve">* Legend: + indicates a required criterion; </w:t>
      </w:r>
      <w:r w:rsidR="007A2924" w:rsidRPr="0080521D">
        <w:rPr>
          <w:rFonts w:ascii="Times New Roman" w:hAnsi="Times New Roman" w:cs="Times New Roman"/>
          <w:sz w:val="16"/>
          <w:szCs w:val="16"/>
          <w:shd w:val="clear" w:color="auto" w:fill="FFFFFF"/>
        </w:rPr>
        <w:t>Ø</w:t>
      </w:r>
      <w:r w:rsidR="007A2924" w:rsidRPr="0080521D">
        <w:rPr>
          <w:rFonts w:ascii="Times New Roman" w:hAnsi="Times New Roman" w:cs="Times New Roman"/>
          <w:sz w:val="16"/>
          <w:szCs w:val="16"/>
        </w:rPr>
        <w:t xml:space="preserve"> indicates a</w:t>
      </w:r>
      <w:r w:rsidR="007A2924">
        <w:rPr>
          <w:rFonts w:ascii="Times New Roman" w:hAnsi="Times New Roman" w:cs="Times New Roman"/>
          <w:sz w:val="16"/>
          <w:szCs w:val="16"/>
        </w:rPr>
        <w:t>n</w:t>
      </w:r>
      <w:r w:rsidR="007A2924" w:rsidRPr="0080521D">
        <w:rPr>
          <w:rFonts w:ascii="Times New Roman" w:hAnsi="Times New Roman" w:cs="Times New Roman"/>
          <w:sz w:val="16"/>
          <w:szCs w:val="16"/>
        </w:rPr>
        <w:t xml:space="preserve"> </w:t>
      </w:r>
      <w:r w:rsidR="007A2924">
        <w:rPr>
          <w:rFonts w:ascii="Times New Roman" w:hAnsi="Times New Roman" w:cs="Times New Roman"/>
          <w:sz w:val="16"/>
          <w:szCs w:val="16"/>
        </w:rPr>
        <w:t>unnecessary</w:t>
      </w:r>
      <w:r w:rsidR="007A2924" w:rsidRPr="0080521D">
        <w:rPr>
          <w:rFonts w:ascii="Times New Roman" w:hAnsi="Times New Roman" w:cs="Times New Roman"/>
          <w:sz w:val="16"/>
          <w:szCs w:val="16"/>
        </w:rPr>
        <w:t xml:space="preserve"> criterion</w:t>
      </w:r>
    </w:p>
    <w:p w14:paraId="0ABD7A96" w14:textId="5FA6C9CC" w:rsidR="00462E71" w:rsidRPr="0080521D" w:rsidRDefault="00462E71" w:rsidP="00231AA2">
      <w:pPr>
        <w:spacing w:before="240" w:after="10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Diagnostic phenotypes, though important, do</w:t>
      </w:r>
      <w:r w:rsidR="009D3D03">
        <w:rPr>
          <w:rFonts w:ascii="Times New Roman" w:hAnsi="Times New Roman" w:cs="Times New Roman"/>
          <w:sz w:val="20"/>
          <w:szCs w:val="20"/>
        </w:rPr>
        <w:t xml:space="preserve"> not</w:t>
      </w:r>
      <w:r w:rsidRPr="0080521D">
        <w:rPr>
          <w:rFonts w:ascii="Times New Roman" w:hAnsi="Times New Roman" w:cs="Times New Roman"/>
          <w:sz w:val="20"/>
          <w:szCs w:val="20"/>
        </w:rPr>
        <w:t xml:space="preserve"> define the larger picture of PCOS. This paper will define </w:t>
      </w:r>
      <w:r w:rsidR="00953296" w:rsidRPr="0080521D">
        <w:rPr>
          <w:rFonts w:ascii="Times New Roman" w:hAnsi="Times New Roman" w:cs="Times New Roman"/>
          <w:sz w:val="20"/>
          <w:szCs w:val="20"/>
        </w:rPr>
        <w:t>metabolic</w:t>
      </w:r>
      <w:r w:rsidR="00E32A28" w:rsidRPr="0080521D">
        <w:rPr>
          <w:rFonts w:ascii="Times New Roman" w:hAnsi="Times New Roman" w:cs="Times New Roman"/>
          <w:sz w:val="20"/>
          <w:szCs w:val="20"/>
        </w:rPr>
        <w:t xml:space="preserve">, </w:t>
      </w:r>
      <w:r w:rsidR="001A1A26" w:rsidRPr="0080521D">
        <w:rPr>
          <w:rFonts w:ascii="Times New Roman" w:hAnsi="Times New Roman" w:cs="Times New Roman"/>
          <w:sz w:val="20"/>
          <w:szCs w:val="20"/>
        </w:rPr>
        <w:t>physical</w:t>
      </w:r>
      <w:r w:rsidR="00A97CEC" w:rsidRPr="0080521D">
        <w:rPr>
          <w:rFonts w:ascii="Times New Roman" w:hAnsi="Times New Roman" w:cs="Times New Roman"/>
          <w:sz w:val="20"/>
          <w:szCs w:val="20"/>
        </w:rPr>
        <w:t xml:space="preserve">, </w:t>
      </w:r>
      <w:r w:rsidRPr="0080521D">
        <w:rPr>
          <w:rFonts w:ascii="Times New Roman" w:hAnsi="Times New Roman" w:cs="Times New Roman"/>
          <w:sz w:val="20"/>
          <w:szCs w:val="20"/>
        </w:rPr>
        <w:t>neurological</w:t>
      </w:r>
      <w:r w:rsidR="00E32A28" w:rsidRPr="0080521D">
        <w:rPr>
          <w:rFonts w:ascii="Times New Roman" w:hAnsi="Times New Roman" w:cs="Times New Roman"/>
          <w:sz w:val="20"/>
          <w:szCs w:val="20"/>
        </w:rPr>
        <w:t xml:space="preserve">, and psychobehavioral </w:t>
      </w:r>
      <w:r w:rsidR="00630F84" w:rsidRPr="0080521D">
        <w:rPr>
          <w:rFonts w:ascii="Times New Roman" w:hAnsi="Times New Roman" w:cs="Times New Roman"/>
          <w:sz w:val="20"/>
          <w:szCs w:val="20"/>
        </w:rPr>
        <w:t xml:space="preserve">markers </w:t>
      </w:r>
      <w:r w:rsidRPr="0080521D">
        <w:rPr>
          <w:rFonts w:ascii="Times New Roman" w:hAnsi="Times New Roman" w:cs="Times New Roman"/>
          <w:sz w:val="20"/>
          <w:szCs w:val="20"/>
        </w:rPr>
        <w:t xml:space="preserve">of PCOS. </w:t>
      </w:r>
    </w:p>
    <w:p w14:paraId="22148E5B" w14:textId="00D2D3A3" w:rsidR="00462E71" w:rsidRPr="0080521D" w:rsidRDefault="003B5F4D" w:rsidP="00231AA2">
      <w:pPr>
        <w:spacing w:after="100" w:line="240" w:lineRule="auto"/>
        <w:jc w:val="both"/>
        <w:rPr>
          <w:rFonts w:ascii="Times New Roman" w:hAnsi="Times New Roman" w:cs="Times New Roman"/>
          <w:b/>
          <w:sz w:val="20"/>
          <w:szCs w:val="20"/>
        </w:rPr>
      </w:pPr>
      <w:r w:rsidRPr="0080521D">
        <w:rPr>
          <w:rFonts w:ascii="Times New Roman" w:hAnsi="Times New Roman" w:cs="Times New Roman"/>
          <w:b/>
          <w:sz w:val="20"/>
          <w:szCs w:val="20"/>
        </w:rPr>
        <w:t>C</w:t>
      </w:r>
      <w:r w:rsidR="00D56E03" w:rsidRPr="0080521D">
        <w:rPr>
          <w:rFonts w:ascii="Times New Roman" w:hAnsi="Times New Roman" w:cs="Times New Roman"/>
          <w:b/>
          <w:sz w:val="20"/>
          <w:szCs w:val="20"/>
        </w:rPr>
        <w:t xml:space="preserve">haracteristic </w:t>
      </w:r>
      <w:r w:rsidR="00566237" w:rsidRPr="0080521D">
        <w:rPr>
          <w:rFonts w:ascii="Times New Roman" w:hAnsi="Times New Roman" w:cs="Times New Roman"/>
          <w:b/>
          <w:sz w:val="20"/>
          <w:szCs w:val="20"/>
        </w:rPr>
        <w:t>M</w:t>
      </w:r>
      <w:r w:rsidR="00E138EF" w:rsidRPr="0080521D">
        <w:rPr>
          <w:rFonts w:ascii="Times New Roman" w:hAnsi="Times New Roman" w:cs="Times New Roman"/>
          <w:b/>
          <w:sz w:val="20"/>
          <w:szCs w:val="20"/>
        </w:rPr>
        <w:t>etabolic</w:t>
      </w:r>
      <w:r w:rsidR="00462E71" w:rsidRPr="0080521D">
        <w:rPr>
          <w:rFonts w:ascii="Times New Roman" w:hAnsi="Times New Roman" w:cs="Times New Roman"/>
          <w:b/>
          <w:sz w:val="20"/>
          <w:szCs w:val="20"/>
        </w:rPr>
        <w:t xml:space="preserve"> </w:t>
      </w:r>
      <w:r w:rsidR="00566237" w:rsidRPr="0080521D">
        <w:rPr>
          <w:rFonts w:ascii="Times New Roman" w:hAnsi="Times New Roman" w:cs="Times New Roman"/>
          <w:b/>
          <w:sz w:val="20"/>
          <w:szCs w:val="20"/>
        </w:rPr>
        <w:t>M</w:t>
      </w:r>
      <w:r w:rsidR="00953DAA" w:rsidRPr="0080521D">
        <w:rPr>
          <w:rFonts w:ascii="Times New Roman" w:hAnsi="Times New Roman" w:cs="Times New Roman"/>
          <w:b/>
          <w:sz w:val="20"/>
          <w:szCs w:val="20"/>
        </w:rPr>
        <w:t>arkers</w:t>
      </w:r>
    </w:p>
    <w:p w14:paraId="2C1906C1" w14:textId="60D01575" w:rsidR="005D1FE3" w:rsidRPr="0080521D" w:rsidRDefault="00161273" w:rsidP="00231AA2">
      <w:pPr>
        <w:spacing w:after="100" w:line="240" w:lineRule="auto"/>
        <w:jc w:val="both"/>
        <w:rPr>
          <w:rFonts w:ascii="Times New Roman" w:hAnsi="Times New Roman" w:cs="Times New Roman"/>
          <w:bCs/>
          <w:i/>
          <w:iCs/>
          <w:sz w:val="20"/>
          <w:szCs w:val="20"/>
        </w:rPr>
      </w:pPr>
      <w:r w:rsidRPr="0080521D">
        <w:rPr>
          <w:rFonts w:ascii="Times New Roman" w:hAnsi="Times New Roman" w:cs="Times New Roman"/>
          <w:bCs/>
          <w:i/>
          <w:iCs/>
          <w:sz w:val="20"/>
          <w:szCs w:val="20"/>
        </w:rPr>
        <w:t>Hyperandrogenism</w:t>
      </w:r>
    </w:p>
    <w:p w14:paraId="09A605F0" w14:textId="69E7E8CC" w:rsidR="00462E71" w:rsidRPr="0080521D" w:rsidRDefault="00462E71" w:rsidP="00231AA2">
      <w:pPr>
        <w:spacing w:after="10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As Goodarzi et al. (2011) put it, </w:t>
      </w:r>
      <w:r w:rsidR="00B45CA9" w:rsidRPr="0080521D">
        <w:rPr>
          <w:rFonts w:ascii="Times New Roman" w:hAnsi="Times New Roman" w:cs="Times New Roman"/>
          <w:sz w:val="20"/>
          <w:szCs w:val="20"/>
        </w:rPr>
        <w:t xml:space="preserve">hyperandrogenism </w:t>
      </w:r>
      <w:r w:rsidRPr="0080521D">
        <w:rPr>
          <w:rFonts w:ascii="Times New Roman" w:hAnsi="Times New Roman" w:cs="Times New Roman"/>
          <w:sz w:val="20"/>
          <w:szCs w:val="20"/>
        </w:rPr>
        <w:t xml:space="preserve">is the </w:t>
      </w:r>
      <w:r w:rsidRPr="0080521D">
        <w:rPr>
          <w:rFonts w:ascii="Times New Roman" w:hAnsi="Times New Roman" w:cs="Times New Roman"/>
          <w:i/>
          <w:iCs/>
          <w:sz w:val="20"/>
          <w:szCs w:val="20"/>
        </w:rPr>
        <w:t>sine qua non</w:t>
      </w:r>
      <w:r w:rsidR="003A6056" w:rsidRPr="0080521D">
        <w:rPr>
          <w:rFonts w:ascii="Times New Roman" w:hAnsi="Times New Roman" w:cs="Times New Roman"/>
          <w:sz w:val="20"/>
          <w:szCs w:val="20"/>
        </w:rPr>
        <w:t xml:space="preserve"> </w:t>
      </w:r>
      <w:r w:rsidRPr="0080521D">
        <w:rPr>
          <w:rFonts w:ascii="Times New Roman" w:hAnsi="Times New Roman" w:cs="Times New Roman"/>
          <w:sz w:val="20"/>
          <w:szCs w:val="20"/>
        </w:rPr>
        <w:t xml:space="preserve">of the condition. About 80-85% of women with clinical hyperandrogenism have PCOS (Azziz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2006</w:t>
      </w:r>
      <w:r w:rsidR="004411BB">
        <w:rPr>
          <w:rFonts w:ascii="Times New Roman" w:hAnsi="Times New Roman" w:cs="Times New Roman"/>
          <w:sz w:val="20"/>
          <w:szCs w:val="20"/>
        </w:rPr>
        <w:t>,</w:t>
      </w:r>
      <w:r w:rsidRPr="0080521D">
        <w:rPr>
          <w:rFonts w:ascii="Times New Roman" w:hAnsi="Times New Roman" w:cs="Times New Roman"/>
          <w:sz w:val="20"/>
          <w:szCs w:val="20"/>
        </w:rPr>
        <w:t xml:space="preserve"> 2009). </w:t>
      </w:r>
      <w:r w:rsidR="00613C52" w:rsidRPr="0080521D">
        <w:rPr>
          <w:rFonts w:ascii="Times New Roman" w:hAnsi="Times New Roman" w:cs="Times New Roman"/>
          <w:sz w:val="20"/>
          <w:szCs w:val="20"/>
        </w:rPr>
        <w:t>H</w:t>
      </w:r>
      <w:r w:rsidRPr="0080521D">
        <w:rPr>
          <w:rFonts w:ascii="Times New Roman" w:hAnsi="Times New Roman" w:cs="Times New Roman"/>
          <w:sz w:val="20"/>
          <w:szCs w:val="20"/>
        </w:rPr>
        <w:t>yperandrogenism expresses itself in elevated levels of metabolic androgen intermediates</w:t>
      </w:r>
      <w:r w:rsidR="00C22472">
        <w:rPr>
          <w:rFonts w:ascii="Times New Roman" w:hAnsi="Times New Roman" w:cs="Times New Roman"/>
          <w:sz w:val="20"/>
          <w:szCs w:val="20"/>
        </w:rPr>
        <w:t xml:space="preserve"> which include </w:t>
      </w:r>
      <w:r w:rsidRPr="0080521D">
        <w:rPr>
          <w:rFonts w:ascii="Times New Roman" w:hAnsi="Times New Roman" w:cs="Times New Roman"/>
          <w:sz w:val="20"/>
          <w:szCs w:val="20"/>
        </w:rPr>
        <w:t xml:space="preserve">significantly higher levels of dehydroepiandrosterone (DHEA) (O’Reilly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2014), dehydroepiandrosterone sulfate (DHEA-S) (Kumar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2005</w:t>
      </w:r>
      <w:r w:rsidR="001E4AB9">
        <w:rPr>
          <w:rFonts w:ascii="Times New Roman" w:hAnsi="Times New Roman" w:cs="Times New Roman"/>
          <w:sz w:val="20"/>
          <w:szCs w:val="20"/>
        </w:rPr>
        <w:t xml:space="preserve">; </w:t>
      </w:r>
      <w:r w:rsidR="001E4AB9" w:rsidRPr="0080521D">
        <w:rPr>
          <w:rFonts w:ascii="Times New Roman" w:hAnsi="Times New Roman" w:cs="Times New Roman"/>
          <w:sz w:val="20"/>
          <w:szCs w:val="20"/>
        </w:rPr>
        <w:t xml:space="preserve">O’Reilly et </w:t>
      </w:r>
      <w:r w:rsidR="001E4AB9">
        <w:rPr>
          <w:rFonts w:ascii="Times New Roman" w:hAnsi="Times New Roman" w:cs="Times New Roman"/>
          <w:sz w:val="20"/>
          <w:szCs w:val="20"/>
        </w:rPr>
        <w:t>al.</w:t>
      </w:r>
      <w:r w:rsidR="001E4AB9" w:rsidRPr="0080521D">
        <w:rPr>
          <w:rFonts w:ascii="Times New Roman" w:hAnsi="Times New Roman" w:cs="Times New Roman"/>
          <w:sz w:val="20"/>
          <w:szCs w:val="20"/>
        </w:rPr>
        <w:t xml:space="preserve"> 2014</w:t>
      </w:r>
      <w:r w:rsidRPr="0080521D">
        <w:rPr>
          <w:rFonts w:ascii="Times New Roman" w:hAnsi="Times New Roman" w:cs="Times New Roman"/>
          <w:sz w:val="20"/>
          <w:szCs w:val="20"/>
        </w:rPr>
        <w:t xml:space="preserve">) and, more explicitly, higher levels of total testosterone (Barry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2011</w:t>
      </w:r>
      <w:r w:rsidR="006C6894" w:rsidRPr="0080521D">
        <w:rPr>
          <w:rFonts w:ascii="Times New Roman" w:hAnsi="Times New Roman" w:cs="Times New Roman"/>
          <w:sz w:val="20"/>
          <w:szCs w:val="20"/>
        </w:rPr>
        <w:t>b</w:t>
      </w:r>
      <w:r w:rsidRPr="0080521D">
        <w:rPr>
          <w:rFonts w:ascii="Times New Roman" w:hAnsi="Times New Roman" w:cs="Times New Roman"/>
          <w:sz w:val="20"/>
          <w:szCs w:val="20"/>
        </w:rPr>
        <w:t xml:space="preserve">; Sverrisdo´ttir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2008), free testosterone (</w:t>
      </w:r>
      <w:r w:rsidR="00581E11" w:rsidRPr="0080521D">
        <w:rPr>
          <w:rFonts w:ascii="Times New Roman" w:hAnsi="Times New Roman" w:cs="Times New Roman"/>
          <w:sz w:val="20"/>
          <w:szCs w:val="20"/>
        </w:rPr>
        <w:t xml:space="preserve">Özkeçeci et </w:t>
      </w:r>
      <w:r w:rsidR="00581E11">
        <w:rPr>
          <w:rFonts w:ascii="Times New Roman" w:hAnsi="Times New Roman" w:cs="Times New Roman"/>
          <w:sz w:val="20"/>
          <w:szCs w:val="20"/>
        </w:rPr>
        <w:t>al.</w:t>
      </w:r>
      <w:r w:rsidR="00581E11" w:rsidRPr="0080521D">
        <w:rPr>
          <w:rFonts w:ascii="Times New Roman" w:hAnsi="Times New Roman" w:cs="Times New Roman"/>
          <w:sz w:val="20"/>
          <w:szCs w:val="20"/>
        </w:rPr>
        <w:t xml:space="preserve"> 2016</w:t>
      </w:r>
      <w:r w:rsidR="00581E11">
        <w:rPr>
          <w:rFonts w:ascii="Times New Roman" w:hAnsi="Times New Roman" w:cs="Times New Roman"/>
          <w:sz w:val="20"/>
          <w:szCs w:val="20"/>
        </w:rPr>
        <w:t xml:space="preserve">; </w:t>
      </w:r>
      <w:r w:rsidRPr="0080521D">
        <w:rPr>
          <w:rFonts w:ascii="Times New Roman" w:hAnsi="Times New Roman" w:cs="Times New Roman"/>
          <w:sz w:val="20"/>
          <w:szCs w:val="20"/>
        </w:rPr>
        <w:t xml:space="preserve">Sverrisdo´ttir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2008), and a higher free androgen index (FAI) (Carmina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2009: O’Reilly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2014). Furthermore, androgens (and their intermediates) are more bioavailable in PCOS women. Levels of Sex Hormone Binding Hemoglobin (SHBG), a glycoprotein </w:t>
      </w:r>
      <w:r w:rsidR="00F935F0" w:rsidRPr="0080521D">
        <w:rPr>
          <w:rFonts w:ascii="Times New Roman" w:hAnsi="Times New Roman" w:cs="Times New Roman"/>
          <w:sz w:val="20"/>
          <w:szCs w:val="20"/>
        </w:rPr>
        <w:t>that</w:t>
      </w:r>
      <w:r w:rsidR="00C628DE" w:rsidRPr="0080521D">
        <w:rPr>
          <w:rFonts w:ascii="Times New Roman" w:hAnsi="Times New Roman" w:cs="Times New Roman"/>
          <w:sz w:val="20"/>
          <w:szCs w:val="20"/>
        </w:rPr>
        <w:t xml:space="preserve"> </w:t>
      </w:r>
      <w:r w:rsidR="00530CF2" w:rsidRPr="0080521D">
        <w:rPr>
          <w:rFonts w:ascii="Times New Roman" w:hAnsi="Times New Roman" w:cs="Times New Roman"/>
          <w:sz w:val="20"/>
          <w:szCs w:val="20"/>
        </w:rPr>
        <w:t>binds</w:t>
      </w:r>
      <w:r w:rsidR="00D775F1" w:rsidRPr="0080521D">
        <w:rPr>
          <w:rFonts w:ascii="Times New Roman" w:hAnsi="Times New Roman" w:cs="Times New Roman"/>
          <w:sz w:val="20"/>
          <w:szCs w:val="20"/>
        </w:rPr>
        <w:t xml:space="preserve"> </w:t>
      </w:r>
      <w:r w:rsidR="00231AA2" w:rsidRPr="0080521D">
        <w:rPr>
          <w:rFonts w:ascii="Times New Roman" w:hAnsi="Times New Roman" w:cs="Times New Roman"/>
          <w:sz w:val="20"/>
          <w:szCs w:val="20"/>
        </w:rPr>
        <w:t xml:space="preserve">to </w:t>
      </w:r>
      <w:r w:rsidR="00231AA2">
        <w:rPr>
          <w:rFonts w:ascii="Times New Roman" w:hAnsi="Times New Roman" w:cs="Times New Roman"/>
          <w:sz w:val="20"/>
          <w:szCs w:val="20"/>
        </w:rPr>
        <w:t>these</w:t>
      </w:r>
      <w:r w:rsidR="00C22472">
        <w:rPr>
          <w:rFonts w:ascii="Times New Roman" w:hAnsi="Times New Roman" w:cs="Times New Roman"/>
          <w:sz w:val="20"/>
          <w:szCs w:val="20"/>
        </w:rPr>
        <w:t xml:space="preserve"> androgens </w:t>
      </w:r>
      <w:r w:rsidR="00D775F1" w:rsidRPr="0080521D">
        <w:rPr>
          <w:rFonts w:ascii="Times New Roman" w:hAnsi="Times New Roman" w:cs="Times New Roman"/>
          <w:sz w:val="20"/>
          <w:szCs w:val="20"/>
        </w:rPr>
        <w:t xml:space="preserve">and </w:t>
      </w:r>
      <w:r w:rsidR="00B020F9" w:rsidRPr="0080521D">
        <w:rPr>
          <w:rFonts w:ascii="Times New Roman" w:hAnsi="Times New Roman" w:cs="Times New Roman"/>
          <w:sz w:val="20"/>
          <w:szCs w:val="20"/>
        </w:rPr>
        <w:t>makes</w:t>
      </w:r>
      <w:r w:rsidR="00D775F1" w:rsidRPr="0080521D">
        <w:rPr>
          <w:rFonts w:ascii="Times New Roman" w:hAnsi="Times New Roman" w:cs="Times New Roman"/>
          <w:sz w:val="20"/>
          <w:szCs w:val="20"/>
        </w:rPr>
        <w:t xml:space="preserve"> them unavailable</w:t>
      </w:r>
      <w:r w:rsidR="000F20ED" w:rsidRPr="0080521D">
        <w:rPr>
          <w:rFonts w:ascii="Times New Roman" w:hAnsi="Times New Roman" w:cs="Times New Roman"/>
          <w:sz w:val="20"/>
          <w:szCs w:val="20"/>
        </w:rPr>
        <w:t>,</w:t>
      </w:r>
      <w:r w:rsidRPr="0080521D">
        <w:rPr>
          <w:rFonts w:ascii="Times New Roman" w:hAnsi="Times New Roman" w:cs="Times New Roman"/>
          <w:sz w:val="20"/>
          <w:szCs w:val="20"/>
        </w:rPr>
        <w:t xml:space="preserve"> </w:t>
      </w:r>
      <w:r w:rsidR="00923DCA" w:rsidRPr="0080521D">
        <w:rPr>
          <w:rFonts w:ascii="Times New Roman" w:hAnsi="Times New Roman" w:cs="Times New Roman"/>
          <w:sz w:val="20"/>
          <w:szCs w:val="20"/>
        </w:rPr>
        <w:t xml:space="preserve">is </w:t>
      </w:r>
      <w:r w:rsidRPr="0080521D">
        <w:rPr>
          <w:rFonts w:ascii="Times New Roman" w:hAnsi="Times New Roman" w:cs="Times New Roman"/>
          <w:sz w:val="20"/>
          <w:szCs w:val="20"/>
        </w:rPr>
        <w:t>significantly reduced (</w:t>
      </w:r>
      <w:r w:rsidR="00F61EFF" w:rsidRPr="0080521D">
        <w:rPr>
          <w:rFonts w:ascii="Times New Roman" w:hAnsi="Times New Roman" w:cs="Times New Roman"/>
          <w:sz w:val="20"/>
          <w:szCs w:val="20"/>
        </w:rPr>
        <w:t xml:space="preserve">O’Reilly et </w:t>
      </w:r>
      <w:r w:rsidR="00F61EFF">
        <w:rPr>
          <w:rFonts w:ascii="Times New Roman" w:hAnsi="Times New Roman" w:cs="Times New Roman"/>
          <w:sz w:val="20"/>
          <w:szCs w:val="20"/>
        </w:rPr>
        <w:t>al.</w:t>
      </w:r>
      <w:r w:rsidR="00F61EFF" w:rsidRPr="0080521D">
        <w:rPr>
          <w:rFonts w:ascii="Times New Roman" w:hAnsi="Times New Roman" w:cs="Times New Roman"/>
          <w:sz w:val="20"/>
          <w:szCs w:val="20"/>
        </w:rPr>
        <w:t xml:space="preserve"> 2014</w:t>
      </w:r>
      <w:r w:rsidR="00F61EFF">
        <w:rPr>
          <w:rFonts w:ascii="Times New Roman" w:hAnsi="Times New Roman" w:cs="Times New Roman"/>
          <w:sz w:val="20"/>
          <w:szCs w:val="20"/>
        </w:rPr>
        <w:t xml:space="preserve">; </w:t>
      </w:r>
      <w:r w:rsidRPr="0080521D">
        <w:rPr>
          <w:rFonts w:ascii="Times New Roman" w:hAnsi="Times New Roman" w:cs="Times New Roman"/>
          <w:sz w:val="20"/>
          <w:szCs w:val="20"/>
        </w:rPr>
        <w:t xml:space="preserve">Sverrisdo´ttir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2008). The </w:t>
      </w:r>
      <w:r w:rsidR="0040736B" w:rsidRPr="0080521D">
        <w:rPr>
          <w:rFonts w:ascii="Times New Roman" w:hAnsi="Times New Roman" w:cs="Times New Roman"/>
          <w:sz w:val="20"/>
          <w:szCs w:val="20"/>
        </w:rPr>
        <w:t xml:space="preserve">biochemical </w:t>
      </w:r>
      <w:r w:rsidRPr="0080521D">
        <w:rPr>
          <w:rFonts w:ascii="Times New Roman" w:hAnsi="Times New Roman" w:cs="Times New Roman"/>
          <w:sz w:val="20"/>
          <w:szCs w:val="20"/>
        </w:rPr>
        <w:t>markers do</w:t>
      </w:r>
      <w:r w:rsidR="009D3D03">
        <w:rPr>
          <w:rFonts w:ascii="Times New Roman" w:hAnsi="Times New Roman" w:cs="Times New Roman"/>
          <w:sz w:val="20"/>
          <w:szCs w:val="20"/>
        </w:rPr>
        <w:t xml:space="preserve"> not</w:t>
      </w:r>
      <w:r w:rsidRPr="0080521D">
        <w:rPr>
          <w:rFonts w:ascii="Times New Roman" w:hAnsi="Times New Roman" w:cs="Times New Roman"/>
          <w:sz w:val="20"/>
          <w:szCs w:val="20"/>
        </w:rPr>
        <w:t xml:space="preserve"> always express individually or in combination in every study (see Dag et al. (2015) and Tekin et al. (2008) for examples) but, compared to controls, elevated levels of such are found more frequently in women with PCOS.</w:t>
      </w:r>
    </w:p>
    <w:p w14:paraId="00F7425B" w14:textId="165CD44B" w:rsidR="00B45CA9" w:rsidRPr="0080521D" w:rsidRDefault="00B45CA9" w:rsidP="00231AA2">
      <w:pPr>
        <w:spacing w:after="100" w:line="240" w:lineRule="auto"/>
        <w:jc w:val="both"/>
        <w:rPr>
          <w:rFonts w:ascii="Times New Roman" w:hAnsi="Times New Roman" w:cs="Times New Roman"/>
          <w:bCs/>
          <w:i/>
          <w:iCs/>
          <w:sz w:val="20"/>
          <w:szCs w:val="20"/>
        </w:rPr>
      </w:pPr>
      <w:r w:rsidRPr="0080521D">
        <w:rPr>
          <w:rFonts w:ascii="Times New Roman" w:hAnsi="Times New Roman" w:cs="Times New Roman"/>
          <w:bCs/>
          <w:i/>
          <w:iCs/>
          <w:sz w:val="20"/>
          <w:szCs w:val="20"/>
        </w:rPr>
        <w:t>Insulin resistance</w:t>
      </w:r>
      <w:r w:rsidR="00895C4D">
        <w:rPr>
          <w:rFonts w:ascii="Times New Roman" w:hAnsi="Times New Roman" w:cs="Times New Roman"/>
          <w:bCs/>
          <w:i/>
          <w:iCs/>
          <w:sz w:val="20"/>
          <w:szCs w:val="20"/>
        </w:rPr>
        <w:t xml:space="preserve"> (IR)</w:t>
      </w:r>
    </w:p>
    <w:p w14:paraId="413E899A" w14:textId="31A4B69A" w:rsidR="00462E71" w:rsidRPr="0080521D" w:rsidRDefault="00462E71" w:rsidP="00231AA2">
      <w:pPr>
        <w:spacing w:after="10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 </w:t>
      </w:r>
      <w:r w:rsidR="00895C4D">
        <w:rPr>
          <w:rFonts w:ascii="Times New Roman" w:hAnsi="Times New Roman" w:cs="Times New Roman"/>
          <w:sz w:val="20"/>
          <w:szCs w:val="20"/>
        </w:rPr>
        <w:t xml:space="preserve">IR </w:t>
      </w:r>
      <w:r w:rsidR="00B45CA9" w:rsidRPr="0080521D">
        <w:rPr>
          <w:rFonts w:ascii="Times New Roman" w:hAnsi="Times New Roman" w:cs="Times New Roman"/>
          <w:sz w:val="20"/>
          <w:szCs w:val="20"/>
        </w:rPr>
        <w:t xml:space="preserve">is </w:t>
      </w:r>
      <w:r w:rsidRPr="0080521D">
        <w:rPr>
          <w:rFonts w:ascii="Times New Roman" w:hAnsi="Times New Roman" w:cs="Times New Roman"/>
          <w:sz w:val="20"/>
          <w:szCs w:val="20"/>
        </w:rPr>
        <w:t xml:space="preserve">the inability of insulin to regulate proper sugar levels in the body. The condition is present in over 50-70% (Yau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2017) of cases. It is </w:t>
      </w:r>
      <w:r w:rsidR="00477D57" w:rsidRPr="0080521D">
        <w:rPr>
          <w:rFonts w:ascii="Times New Roman" w:hAnsi="Times New Roman" w:cs="Times New Roman"/>
          <w:sz w:val="20"/>
          <w:szCs w:val="20"/>
        </w:rPr>
        <w:t>characterized</w:t>
      </w:r>
      <w:r w:rsidRPr="0080521D">
        <w:rPr>
          <w:rFonts w:ascii="Times New Roman" w:hAnsi="Times New Roman" w:cs="Times New Roman"/>
          <w:sz w:val="20"/>
          <w:szCs w:val="20"/>
        </w:rPr>
        <w:t xml:space="preserve"> by higher fasting blood glucose levels (FBG)</w:t>
      </w:r>
      <w:r w:rsidR="00E12AA9" w:rsidRPr="0080521D">
        <w:rPr>
          <w:rFonts w:ascii="Times New Roman" w:hAnsi="Times New Roman" w:cs="Times New Roman"/>
          <w:sz w:val="20"/>
          <w:szCs w:val="20"/>
        </w:rPr>
        <w:t xml:space="preserve"> (hyperglycemia) </w:t>
      </w:r>
      <w:r w:rsidR="00B47667" w:rsidRPr="00B47667">
        <w:rPr>
          <w:rFonts w:ascii="Times New Roman" w:hAnsi="Times New Roman" w:cs="Times New Roman"/>
          <w:sz w:val="20"/>
          <w:szCs w:val="20"/>
        </w:rPr>
        <w:t xml:space="preserve">(Bansal 2015; Kuppusamy et al. 2015; O’Reilly et al. 2014; Saranya et al. 2014) </w:t>
      </w:r>
      <w:r w:rsidRPr="0080521D">
        <w:rPr>
          <w:rFonts w:ascii="Times New Roman" w:hAnsi="Times New Roman" w:cs="Times New Roman"/>
          <w:sz w:val="20"/>
          <w:szCs w:val="20"/>
        </w:rPr>
        <w:t>and higher fasting insulin levels (hyperinsulinemia) (</w:t>
      </w:r>
      <w:r w:rsidR="002F3937" w:rsidRPr="0080521D">
        <w:rPr>
          <w:rFonts w:ascii="Times New Roman" w:hAnsi="Times New Roman" w:cs="Times New Roman"/>
          <w:sz w:val="20"/>
          <w:szCs w:val="20"/>
        </w:rPr>
        <w:t xml:space="preserve">Dag et </w:t>
      </w:r>
      <w:r w:rsidR="002F3937">
        <w:rPr>
          <w:rFonts w:ascii="Times New Roman" w:hAnsi="Times New Roman" w:cs="Times New Roman"/>
          <w:sz w:val="20"/>
          <w:szCs w:val="20"/>
        </w:rPr>
        <w:t>al.</w:t>
      </w:r>
      <w:r w:rsidR="002F3937" w:rsidRPr="0080521D">
        <w:rPr>
          <w:rFonts w:ascii="Times New Roman" w:hAnsi="Times New Roman" w:cs="Times New Roman"/>
          <w:sz w:val="20"/>
          <w:szCs w:val="20"/>
        </w:rPr>
        <w:t xml:space="preserve"> 2015</w:t>
      </w:r>
      <w:r w:rsidR="002F3937">
        <w:rPr>
          <w:rFonts w:ascii="Times New Roman" w:hAnsi="Times New Roman" w:cs="Times New Roman"/>
          <w:sz w:val="20"/>
          <w:szCs w:val="20"/>
        </w:rPr>
        <w:t xml:space="preserve">; </w:t>
      </w:r>
      <w:r w:rsidRPr="0080521D">
        <w:rPr>
          <w:rFonts w:ascii="Times New Roman" w:hAnsi="Times New Roman" w:cs="Times New Roman"/>
          <w:sz w:val="20"/>
          <w:szCs w:val="20"/>
        </w:rPr>
        <w:t xml:space="preserve">Kumar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2005;</w:t>
      </w:r>
      <w:r w:rsidRPr="0080521D">
        <w:rPr>
          <w:rFonts w:ascii="Times New Roman" w:hAnsi="Times New Roman" w:cs="Times New Roman"/>
          <w:bCs/>
          <w:sz w:val="20"/>
          <w:szCs w:val="20"/>
        </w:rPr>
        <w:t xml:space="preserve"> Sverrisdo´ttir</w:t>
      </w:r>
      <w:r w:rsidRPr="0080521D">
        <w:rPr>
          <w:rFonts w:ascii="Times New Roman" w:hAnsi="Times New Roman" w:cs="Times New Roman"/>
          <w:sz w:val="20"/>
          <w:szCs w:val="20"/>
        </w:rPr>
        <w:t xml:space="preserve">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2008). Insulin resistance is a key cause of hyperandrogenism as it stimulates the secretion of ovarian androgen and inhibits SHBG production (Goodarzi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2011). If IR persists, it can trigger a prediabetic state (Bansal 2015) and an upregulation in levels of total cholesterol (TC) and total triglycerides (TG), a pattern indeed </w:t>
      </w:r>
      <w:r w:rsidR="00C3068D" w:rsidRPr="0080521D">
        <w:rPr>
          <w:rFonts w:ascii="Times New Roman" w:hAnsi="Times New Roman" w:cs="Times New Roman"/>
          <w:sz w:val="20"/>
          <w:szCs w:val="20"/>
        </w:rPr>
        <w:t>seen</w:t>
      </w:r>
      <w:r w:rsidRPr="0080521D">
        <w:rPr>
          <w:rFonts w:ascii="Times New Roman" w:hAnsi="Times New Roman" w:cs="Times New Roman"/>
          <w:sz w:val="20"/>
          <w:szCs w:val="20"/>
        </w:rPr>
        <w:t xml:space="preserve"> in PCOS.</w:t>
      </w:r>
    </w:p>
    <w:p w14:paraId="1731A261" w14:textId="614E7C61" w:rsidR="00462E71" w:rsidRPr="0080521D" w:rsidRDefault="00462E71" w:rsidP="00231AA2">
      <w:pPr>
        <w:spacing w:after="100" w:line="240" w:lineRule="auto"/>
        <w:ind w:firstLine="360"/>
        <w:jc w:val="both"/>
        <w:rPr>
          <w:rFonts w:ascii="Times New Roman" w:hAnsi="Times New Roman" w:cs="Times New Roman"/>
          <w:sz w:val="20"/>
          <w:szCs w:val="20"/>
        </w:rPr>
      </w:pPr>
      <w:r w:rsidRPr="0080521D">
        <w:rPr>
          <w:rFonts w:ascii="Times New Roman" w:hAnsi="Times New Roman" w:cs="Times New Roman"/>
          <w:sz w:val="20"/>
          <w:szCs w:val="20"/>
        </w:rPr>
        <w:t>Gui &amp; Wang (2017)’s meta-analysis found that TC and TG levels were significantly higher in women with PCOS, respectively (Hedges’ g = 0.29, p = 0.01; 95% CI: 0.06 to 0.53; n=148 (PCOS), n=141 (controls)) and (Hedges’ g = 0.51, p = 0.00001; 95% CI: 0.25 to 0.76; n=148 (PCOS), n=141 (controls)</w:t>
      </w:r>
      <w:r w:rsidR="00C22472">
        <w:rPr>
          <w:rFonts w:ascii="Times New Roman" w:hAnsi="Times New Roman" w:cs="Times New Roman"/>
          <w:sz w:val="20"/>
          <w:szCs w:val="20"/>
        </w:rPr>
        <w:t>)</w:t>
      </w:r>
      <w:r w:rsidRPr="0080521D">
        <w:rPr>
          <w:rFonts w:ascii="Times New Roman" w:hAnsi="Times New Roman" w:cs="Times New Roman"/>
          <w:sz w:val="20"/>
          <w:szCs w:val="20"/>
        </w:rPr>
        <w:t>.</w:t>
      </w:r>
    </w:p>
    <w:p w14:paraId="662F1703" w14:textId="70979B0D" w:rsidR="00462E71" w:rsidRPr="0080521D" w:rsidRDefault="00462E71" w:rsidP="00231AA2">
      <w:pPr>
        <w:spacing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As is the case with hyperandrogenism, these markers do</w:t>
      </w:r>
      <w:r w:rsidR="009D3D03">
        <w:rPr>
          <w:rFonts w:ascii="Times New Roman" w:hAnsi="Times New Roman" w:cs="Times New Roman"/>
          <w:sz w:val="20"/>
          <w:szCs w:val="20"/>
        </w:rPr>
        <w:t xml:space="preserve"> not</w:t>
      </w:r>
      <w:r w:rsidRPr="0080521D">
        <w:rPr>
          <w:rFonts w:ascii="Times New Roman" w:hAnsi="Times New Roman" w:cs="Times New Roman"/>
          <w:sz w:val="20"/>
          <w:szCs w:val="20"/>
        </w:rPr>
        <w:t xml:space="preserve"> always express consistently (see Tekin et al. (2008) and Özkeçeci et al. (2016) for examples)</w:t>
      </w:r>
      <w:r w:rsidR="00CA6625" w:rsidRPr="0080521D">
        <w:rPr>
          <w:rFonts w:ascii="Times New Roman" w:hAnsi="Times New Roman" w:cs="Times New Roman"/>
          <w:sz w:val="20"/>
          <w:szCs w:val="20"/>
        </w:rPr>
        <w:t>,</w:t>
      </w:r>
      <w:r w:rsidRPr="0080521D">
        <w:rPr>
          <w:rFonts w:ascii="Times New Roman" w:hAnsi="Times New Roman" w:cs="Times New Roman"/>
          <w:sz w:val="20"/>
          <w:szCs w:val="20"/>
        </w:rPr>
        <w:t xml:space="preserve"> but they individually, in concert or combination, express significantly more in women with PCOS than </w:t>
      </w:r>
      <w:r w:rsidR="00E428B9" w:rsidRPr="0080521D">
        <w:rPr>
          <w:rFonts w:ascii="Times New Roman" w:hAnsi="Times New Roman" w:cs="Times New Roman"/>
          <w:sz w:val="20"/>
          <w:szCs w:val="20"/>
        </w:rPr>
        <w:t xml:space="preserve">in </w:t>
      </w:r>
      <w:r w:rsidRPr="0080521D">
        <w:rPr>
          <w:rFonts w:ascii="Times New Roman" w:hAnsi="Times New Roman" w:cs="Times New Roman"/>
          <w:sz w:val="20"/>
          <w:szCs w:val="20"/>
        </w:rPr>
        <w:t>controls.</w:t>
      </w:r>
    </w:p>
    <w:p w14:paraId="17156756" w14:textId="77777777" w:rsidR="00B77548" w:rsidRPr="0080521D" w:rsidRDefault="00B77548" w:rsidP="00231AA2">
      <w:pPr>
        <w:spacing w:before="100" w:after="100" w:line="240" w:lineRule="auto"/>
        <w:jc w:val="both"/>
        <w:rPr>
          <w:rFonts w:ascii="Times New Roman" w:hAnsi="Times New Roman" w:cs="Times New Roman"/>
          <w:bCs/>
          <w:i/>
          <w:iCs/>
          <w:sz w:val="20"/>
          <w:szCs w:val="20"/>
          <w:shd w:val="clear" w:color="auto" w:fill="FFFFFF"/>
        </w:rPr>
      </w:pPr>
      <w:r w:rsidRPr="0080521D">
        <w:rPr>
          <w:rFonts w:ascii="Times New Roman" w:hAnsi="Times New Roman" w:cs="Times New Roman"/>
          <w:bCs/>
          <w:i/>
          <w:iCs/>
          <w:sz w:val="20"/>
          <w:szCs w:val="20"/>
          <w:shd w:val="clear" w:color="auto" w:fill="FFFFFF"/>
        </w:rPr>
        <w:t>Conclusions</w:t>
      </w:r>
    </w:p>
    <w:p w14:paraId="48FAA0DA" w14:textId="2E4AABD7" w:rsidR="00611B1B" w:rsidRPr="00A76B1D" w:rsidRDefault="009814D7" w:rsidP="00231AA2">
      <w:pPr>
        <w:spacing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H</w:t>
      </w:r>
      <w:r w:rsidR="00E86163" w:rsidRPr="0080521D">
        <w:rPr>
          <w:rFonts w:ascii="Times New Roman" w:hAnsi="Times New Roman" w:cs="Times New Roman"/>
          <w:sz w:val="20"/>
          <w:szCs w:val="20"/>
        </w:rPr>
        <w:t xml:space="preserve">yperandrogenism and </w:t>
      </w:r>
      <w:r w:rsidR="00C14BB4" w:rsidRPr="0080521D">
        <w:rPr>
          <w:rFonts w:ascii="Times New Roman" w:hAnsi="Times New Roman" w:cs="Times New Roman"/>
          <w:sz w:val="20"/>
          <w:szCs w:val="20"/>
        </w:rPr>
        <w:t xml:space="preserve">IR </w:t>
      </w:r>
      <w:r w:rsidR="0081576B" w:rsidRPr="0080521D">
        <w:rPr>
          <w:rFonts w:ascii="Times New Roman" w:hAnsi="Times New Roman" w:cs="Times New Roman"/>
          <w:sz w:val="20"/>
          <w:szCs w:val="20"/>
        </w:rPr>
        <w:t>play</w:t>
      </w:r>
      <w:r w:rsidR="00E86163" w:rsidRPr="0080521D">
        <w:rPr>
          <w:rFonts w:ascii="Times New Roman" w:hAnsi="Times New Roman" w:cs="Times New Roman"/>
          <w:sz w:val="20"/>
          <w:szCs w:val="20"/>
        </w:rPr>
        <w:t xml:space="preserve"> </w:t>
      </w:r>
      <w:r w:rsidR="00055D1B" w:rsidRPr="0080521D">
        <w:rPr>
          <w:rFonts w:ascii="Times New Roman" w:hAnsi="Times New Roman" w:cs="Times New Roman"/>
          <w:sz w:val="20"/>
          <w:szCs w:val="20"/>
        </w:rPr>
        <w:t xml:space="preserve">identifying </w:t>
      </w:r>
      <w:r w:rsidR="009D3D03" w:rsidRPr="0080521D">
        <w:rPr>
          <w:rFonts w:ascii="Times New Roman" w:hAnsi="Times New Roman" w:cs="Times New Roman"/>
          <w:sz w:val="20"/>
          <w:szCs w:val="20"/>
        </w:rPr>
        <w:t>and</w:t>
      </w:r>
      <w:r w:rsidRPr="0080521D">
        <w:rPr>
          <w:rFonts w:ascii="Times New Roman" w:hAnsi="Times New Roman" w:cs="Times New Roman"/>
          <w:sz w:val="20"/>
          <w:szCs w:val="20"/>
        </w:rPr>
        <w:t xml:space="preserve"> as will be </w:t>
      </w:r>
      <w:r w:rsidR="0060363F" w:rsidRPr="0080521D">
        <w:rPr>
          <w:rFonts w:ascii="Times New Roman" w:hAnsi="Times New Roman" w:cs="Times New Roman"/>
          <w:sz w:val="20"/>
          <w:szCs w:val="20"/>
        </w:rPr>
        <w:t>discussed</w:t>
      </w:r>
      <w:r w:rsidR="003C6785" w:rsidRPr="0080521D">
        <w:rPr>
          <w:rFonts w:ascii="Times New Roman" w:hAnsi="Times New Roman" w:cs="Times New Roman"/>
          <w:sz w:val="20"/>
          <w:szCs w:val="20"/>
        </w:rPr>
        <w:t>,</w:t>
      </w:r>
      <w:r w:rsidR="00055D1B" w:rsidRPr="0080521D">
        <w:rPr>
          <w:rFonts w:ascii="Times New Roman" w:hAnsi="Times New Roman" w:cs="Times New Roman"/>
          <w:sz w:val="20"/>
          <w:szCs w:val="20"/>
        </w:rPr>
        <w:t xml:space="preserve"> </w:t>
      </w:r>
      <w:r w:rsidR="00E86163" w:rsidRPr="0080521D">
        <w:rPr>
          <w:rFonts w:ascii="Times New Roman" w:hAnsi="Times New Roman" w:cs="Times New Roman"/>
          <w:sz w:val="20"/>
          <w:szCs w:val="20"/>
        </w:rPr>
        <w:t>mediating</w:t>
      </w:r>
      <w:r w:rsidR="00055D1B" w:rsidRPr="0080521D">
        <w:rPr>
          <w:rFonts w:ascii="Times New Roman" w:hAnsi="Times New Roman" w:cs="Times New Roman"/>
          <w:sz w:val="20"/>
          <w:szCs w:val="20"/>
        </w:rPr>
        <w:t xml:space="preserve"> roles in the </w:t>
      </w:r>
      <w:r w:rsidR="0081576B" w:rsidRPr="0080521D">
        <w:rPr>
          <w:rFonts w:ascii="Times New Roman" w:hAnsi="Times New Roman" w:cs="Times New Roman"/>
          <w:sz w:val="20"/>
          <w:szCs w:val="20"/>
        </w:rPr>
        <w:t>overall physical and physiological nature of PCOS</w:t>
      </w:r>
      <w:r w:rsidR="003C6785" w:rsidRPr="0080521D">
        <w:rPr>
          <w:rFonts w:ascii="Times New Roman" w:hAnsi="Times New Roman" w:cs="Times New Roman"/>
          <w:sz w:val="20"/>
          <w:szCs w:val="20"/>
        </w:rPr>
        <w:t xml:space="preserve">. </w:t>
      </w:r>
      <w:r w:rsidR="00D62CAE" w:rsidRPr="0080521D">
        <w:rPr>
          <w:rFonts w:ascii="Times New Roman" w:hAnsi="Times New Roman" w:cs="Times New Roman"/>
          <w:sz w:val="20"/>
          <w:szCs w:val="20"/>
        </w:rPr>
        <w:t>Further, i</w:t>
      </w:r>
      <w:r w:rsidR="00DF5CBA" w:rsidRPr="0080521D">
        <w:rPr>
          <w:rFonts w:ascii="Times New Roman" w:hAnsi="Times New Roman" w:cs="Times New Roman"/>
          <w:sz w:val="20"/>
          <w:szCs w:val="20"/>
        </w:rPr>
        <w:t xml:space="preserve">nsulin resistance </w:t>
      </w:r>
      <w:r w:rsidR="00E5764B" w:rsidRPr="0080521D">
        <w:rPr>
          <w:rFonts w:ascii="Times New Roman" w:hAnsi="Times New Roman" w:cs="Times New Roman"/>
          <w:sz w:val="20"/>
          <w:szCs w:val="20"/>
        </w:rPr>
        <w:t>not only potentiates h</w:t>
      </w:r>
      <w:r w:rsidR="00014015" w:rsidRPr="0080521D">
        <w:rPr>
          <w:rFonts w:ascii="Times New Roman" w:hAnsi="Times New Roman" w:cs="Times New Roman"/>
          <w:sz w:val="20"/>
          <w:szCs w:val="20"/>
        </w:rPr>
        <w:t>yperandrogenism</w:t>
      </w:r>
      <w:r w:rsidR="00814D63" w:rsidRPr="0080521D">
        <w:rPr>
          <w:rFonts w:ascii="Times New Roman" w:hAnsi="Times New Roman" w:cs="Times New Roman"/>
          <w:sz w:val="20"/>
          <w:szCs w:val="20"/>
        </w:rPr>
        <w:t xml:space="preserve"> but</w:t>
      </w:r>
      <w:r w:rsidR="0060363F" w:rsidRPr="0080521D">
        <w:rPr>
          <w:rFonts w:ascii="Times New Roman" w:hAnsi="Times New Roman" w:cs="Times New Roman"/>
          <w:sz w:val="20"/>
          <w:szCs w:val="20"/>
        </w:rPr>
        <w:t xml:space="preserve"> </w:t>
      </w:r>
      <w:r w:rsidR="009A21DF" w:rsidRPr="0080521D">
        <w:rPr>
          <w:rFonts w:ascii="Times New Roman" w:hAnsi="Times New Roman" w:cs="Times New Roman"/>
          <w:sz w:val="20"/>
          <w:szCs w:val="20"/>
        </w:rPr>
        <w:t>the two</w:t>
      </w:r>
      <w:r w:rsidR="00C22472">
        <w:rPr>
          <w:rFonts w:ascii="Times New Roman" w:hAnsi="Times New Roman" w:cs="Times New Roman"/>
          <w:sz w:val="20"/>
          <w:szCs w:val="20"/>
        </w:rPr>
        <w:t>,</w:t>
      </w:r>
      <w:r w:rsidR="009A21DF" w:rsidRPr="0080521D">
        <w:rPr>
          <w:rFonts w:ascii="Times New Roman" w:hAnsi="Times New Roman" w:cs="Times New Roman"/>
          <w:sz w:val="20"/>
          <w:szCs w:val="20"/>
        </w:rPr>
        <w:t xml:space="preserve"> </w:t>
      </w:r>
      <w:r w:rsidR="00E95C74" w:rsidRPr="0080521D">
        <w:rPr>
          <w:rFonts w:ascii="Times New Roman" w:hAnsi="Times New Roman" w:cs="Times New Roman"/>
          <w:sz w:val="20"/>
          <w:szCs w:val="20"/>
        </w:rPr>
        <w:t>in a perpetual cycle</w:t>
      </w:r>
      <w:r w:rsidR="00C22472">
        <w:rPr>
          <w:rFonts w:ascii="Times New Roman" w:hAnsi="Times New Roman" w:cs="Times New Roman"/>
          <w:sz w:val="20"/>
          <w:szCs w:val="20"/>
        </w:rPr>
        <w:t>,</w:t>
      </w:r>
      <w:r w:rsidR="00E95C74" w:rsidRPr="0080521D">
        <w:rPr>
          <w:rFonts w:ascii="Times New Roman" w:hAnsi="Times New Roman" w:cs="Times New Roman"/>
          <w:sz w:val="20"/>
          <w:szCs w:val="20"/>
        </w:rPr>
        <w:t xml:space="preserve"> </w:t>
      </w:r>
      <w:r w:rsidR="001043B9" w:rsidRPr="0080521D">
        <w:rPr>
          <w:rFonts w:ascii="Times New Roman" w:hAnsi="Times New Roman" w:cs="Times New Roman"/>
          <w:sz w:val="20"/>
          <w:szCs w:val="20"/>
        </w:rPr>
        <w:t xml:space="preserve">are hypothesized </w:t>
      </w:r>
      <w:r w:rsidR="00BD39DB" w:rsidRPr="0080521D">
        <w:rPr>
          <w:rFonts w:ascii="Times New Roman" w:hAnsi="Times New Roman" w:cs="Times New Roman"/>
          <w:sz w:val="20"/>
          <w:szCs w:val="20"/>
        </w:rPr>
        <w:t xml:space="preserve">to </w:t>
      </w:r>
      <w:r w:rsidR="00DD0B83" w:rsidRPr="0080521D">
        <w:rPr>
          <w:rFonts w:ascii="Times New Roman" w:hAnsi="Times New Roman" w:cs="Times New Roman"/>
          <w:sz w:val="20"/>
          <w:szCs w:val="20"/>
        </w:rPr>
        <w:t>reciprocal</w:t>
      </w:r>
      <w:r w:rsidR="00BD39DB" w:rsidRPr="0080521D">
        <w:rPr>
          <w:rFonts w:ascii="Times New Roman" w:hAnsi="Times New Roman" w:cs="Times New Roman"/>
          <w:sz w:val="20"/>
          <w:szCs w:val="20"/>
        </w:rPr>
        <w:t>ly</w:t>
      </w:r>
      <w:r w:rsidR="00DD0B83" w:rsidRPr="0080521D">
        <w:rPr>
          <w:rFonts w:ascii="Times New Roman" w:hAnsi="Times New Roman" w:cs="Times New Roman"/>
          <w:sz w:val="20"/>
          <w:szCs w:val="20"/>
        </w:rPr>
        <w:t xml:space="preserve"> intensify and aggravate each</w:t>
      </w:r>
      <w:r w:rsidR="000D76F7" w:rsidRPr="0080521D">
        <w:rPr>
          <w:rFonts w:ascii="Times New Roman" w:hAnsi="Times New Roman" w:cs="Times New Roman"/>
          <w:sz w:val="20"/>
          <w:szCs w:val="20"/>
        </w:rPr>
        <w:t xml:space="preserve"> </w:t>
      </w:r>
      <w:r w:rsidR="00C52D3D" w:rsidRPr="0080521D">
        <w:rPr>
          <w:rFonts w:ascii="Times New Roman" w:hAnsi="Times New Roman" w:cs="Times New Roman"/>
          <w:sz w:val="20"/>
          <w:szCs w:val="20"/>
        </w:rPr>
        <w:t>other</w:t>
      </w:r>
      <w:r w:rsidR="00126FAC" w:rsidRPr="0080521D">
        <w:rPr>
          <w:rFonts w:ascii="Times New Roman" w:hAnsi="Times New Roman" w:cs="Times New Roman"/>
          <w:sz w:val="20"/>
          <w:szCs w:val="20"/>
        </w:rPr>
        <w:t xml:space="preserve"> via intervening mediators</w:t>
      </w:r>
      <w:r w:rsidR="001F271B" w:rsidRPr="0080521D">
        <w:rPr>
          <w:rFonts w:ascii="Times New Roman" w:hAnsi="Times New Roman" w:cs="Times New Roman"/>
          <w:sz w:val="20"/>
          <w:szCs w:val="20"/>
          <w:vertAlign w:val="superscript"/>
        </w:rPr>
        <w:t>3</w:t>
      </w:r>
      <w:r w:rsidR="009337F5" w:rsidRPr="0080521D">
        <w:rPr>
          <w:rFonts w:ascii="Times New Roman" w:hAnsi="Times New Roman" w:cs="Times New Roman"/>
          <w:sz w:val="20"/>
          <w:szCs w:val="20"/>
        </w:rPr>
        <w:t xml:space="preserve"> (Escobar-Morreale 2018; Yau et </w:t>
      </w:r>
      <w:r w:rsidR="00E748A7">
        <w:rPr>
          <w:rFonts w:ascii="Times New Roman" w:hAnsi="Times New Roman" w:cs="Times New Roman"/>
          <w:sz w:val="20"/>
          <w:szCs w:val="20"/>
        </w:rPr>
        <w:t>al.</w:t>
      </w:r>
      <w:r w:rsidR="009337F5" w:rsidRPr="0080521D">
        <w:rPr>
          <w:rFonts w:ascii="Times New Roman" w:hAnsi="Times New Roman" w:cs="Times New Roman"/>
          <w:sz w:val="20"/>
          <w:szCs w:val="20"/>
        </w:rPr>
        <w:t xml:space="preserve"> 2017)</w:t>
      </w:r>
      <w:r w:rsidR="00C52D3D" w:rsidRPr="0080521D">
        <w:rPr>
          <w:rFonts w:ascii="Times New Roman" w:hAnsi="Times New Roman" w:cs="Times New Roman"/>
          <w:sz w:val="20"/>
          <w:szCs w:val="20"/>
        </w:rPr>
        <w:t>, potentially</w:t>
      </w:r>
      <w:r w:rsidR="00492DBC" w:rsidRPr="0080521D">
        <w:rPr>
          <w:rFonts w:ascii="Times New Roman" w:hAnsi="Times New Roman" w:cs="Times New Roman"/>
          <w:sz w:val="20"/>
          <w:szCs w:val="20"/>
        </w:rPr>
        <w:t xml:space="preserve"> </w:t>
      </w:r>
      <w:r w:rsidR="00C90F94" w:rsidRPr="0080521D">
        <w:rPr>
          <w:rFonts w:ascii="Times New Roman" w:hAnsi="Times New Roman" w:cs="Times New Roman"/>
          <w:sz w:val="20"/>
          <w:szCs w:val="20"/>
        </w:rPr>
        <w:t xml:space="preserve">upregulating </w:t>
      </w:r>
      <w:r w:rsidR="00C52D3D" w:rsidRPr="0080521D">
        <w:rPr>
          <w:rFonts w:ascii="Times New Roman" w:hAnsi="Times New Roman" w:cs="Times New Roman"/>
          <w:sz w:val="20"/>
          <w:szCs w:val="20"/>
        </w:rPr>
        <w:t xml:space="preserve">the morbidity of the </w:t>
      </w:r>
      <w:r w:rsidR="00364AE5" w:rsidRPr="0080521D">
        <w:rPr>
          <w:rFonts w:ascii="Times New Roman" w:hAnsi="Times New Roman" w:cs="Times New Roman"/>
          <w:sz w:val="20"/>
          <w:szCs w:val="20"/>
        </w:rPr>
        <w:t>condition</w:t>
      </w:r>
      <w:r w:rsidR="009337F5" w:rsidRPr="0080521D">
        <w:rPr>
          <w:rFonts w:ascii="Times New Roman" w:hAnsi="Times New Roman" w:cs="Times New Roman"/>
          <w:sz w:val="20"/>
          <w:szCs w:val="20"/>
        </w:rPr>
        <w:t>.</w:t>
      </w:r>
    </w:p>
    <w:p w14:paraId="3792BBA3" w14:textId="0F40EE17" w:rsidR="00462E71" w:rsidRPr="0080521D" w:rsidRDefault="00DB25C8" w:rsidP="00231AA2">
      <w:pPr>
        <w:spacing w:before="100" w:after="100" w:line="240" w:lineRule="auto"/>
        <w:jc w:val="both"/>
        <w:rPr>
          <w:rFonts w:ascii="Times New Roman" w:hAnsi="Times New Roman" w:cs="Times New Roman"/>
          <w:b/>
          <w:sz w:val="20"/>
          <w:szCs w:val="20"/>
        </w:rPr>
      </w:pPr>
      <w:r w:rsidRPr="0080521D">
        <w:rPr>
          <w:rFonts w:ascii="Times New Roman" w:hAnsi="Times New Roman" w:cs="Times New Roman"/>
          <w:b/>
          <w:sz w:val="20"/>
          <w:szCs w:val="20"/>
        </w:rPr>
        <w:t>C</w:t>
      </w:r>
      <w:r w:rsidR="00A5015C" w:rsidRPr="0080521D">
        <w:rPr>
          <w:rFonts w:ascii="Times New Roman" w:hAnsi="Times New Roman" w:cs="Times New Roman"/>
          <w:b/>
          <w:sz w:val="20"/>
          <w:szCs w:val="20"/>
        </w:rPr>
        <w:t xml:space="preserve">haracteristic </w:t>
      </w:r>
      <w:r w:rsidRPr="0080521D">
        <w:rPr>
          <w:rFonts w:ascii="Times New Roman" w:hAnsi="Times New Roman" w:cs="Times New Roman"/>
          <w:b/>
          <w:sz w:val="20"/>
          <w:szCs w:val="20"/>
        </w:rPr>
        <w:t>P</w:t>
      </w:r>
      <w:r w:rsidR="001A1A26" w:rsidRPr="0080521D">
        <w:rPr>
          <w:rFonts w:ascii="Times New Roman" w:hAnsi="Times New Roman" w:cs="Times New Roman"/>
          <w:b/>
          <w:sz w:val="20"/>
          <w:szCs w:val="20"/>
        </w:rPr>
        <w:t>hysical</w:t>
      </w:r>
      <w:r w:rsidR="00462E71" w:rsidRPr="0080521D">
        <w:rPr>
          <w:rFonts w:ascii="Times New Roman" w:hAnsi="Times New Roman" w:cs="Times New Roman"/>
          <w:b/>
          <w:sz w:val="20"/>
          <w:szCs w:val="20"/>
        </w:rPr>
        <w:t xml:space="preserve"> </w:t>
      </w:r>
      <w:r w:rsidRPr="0080521D">
        <w:rPr>
          <w:rFonts w:ascii="Times New Roman" w:hAnsi="Times New Roman" w:cs="Times New Roman"/>
          <w:b/>
          <w:sz w:val="20"/>
          <w:szCs w:val="20"/>
        </w:rPr>
        <w:t>M</w:t>
      </w:r>
      <w:r w:rsidR="008A7240" w:rsidRPr="0080521D">
        <w:rPr>
          <w:rFonts w:ascii="Times New Roman" w:hAnsi="Times New Roman" w:cs="Times New Roman"/>
          <w:b/>
          <w:sz w:val="20"/>
          <w:szCs w:val="20"/>
        </w:rPr>
        <w:t>arkers</w:t>
      </w:r>
    </w:p>
    <w:p w14:paraId="13352520" w14:textId="77777777" w:rsidR="00462E71" w:rsidRPr="0080521D" w:rsidRDefault="00462E71" w:rsidP="00231AA2">
      <w:pPr>
        <w:spacing w:before="100" w:after="100" w:line="240" w:lineRule="auto"/>
        <w:jc w:val="both"/>
        <w:rPr>
          <w:rFonts w:ascii="Times New Roman" w:hAnsi="Times New Roman" w:cs="Times New Roman"/>
          <w:bCs/>
          <w:i/>
          <w:iCs/>
          <w:sz w:val="20"/>
          <w:szCs w:val="20"/>
        </w:rPr>
      </w:pPr>
      <w:r w:rsidRPr="0080521D">
        <w:rPr>
          <w:rFonts w:ascii="Times New Roman" w:hAnsi="Times New Roman" w:cs="Times New Roman"/>
          <w:bCs/>
          <w:i/>
          <w:iCs/>
          <w:sz w:val="20"/>
          <w:szCs w:val="20"/>
        </w:rPr>
        <w:t>Body mass index (BMI)</w:t>
      </w:r>
    </w:p>
    <w:p w14:paraId="3108AEAD" w14:textId="689C31D3" w:rsidR="00D749E5" w:rsidRPr="0080521D" w:rsidRDefault="00462E71" w:rsidP="00231AA2">
      <w:pPr>
        <w:spacing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Mean BMI is significantly higher in PCOS women compared to controls (e.g., 29.3 + 7.5 versus 25.6 + 5.8 kg/m2, p &lt; 0.001, respectively) (Moran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2013). The study yielding this result was part of the Australian Longitudinal Study on Women’s Health (ALSWH). It compared the </w:t>
      </w:r>
      <w:r w:rsidR="00F8011D" w:rsidRPr="0080521D">
        <w:rPr>
          <w:rFonts w:ascii="Times New Roman" w:hAnsi="Times New Roman" w:cs="Times New Roman"/>
          <w:sz w:val="20"/>
          <w:szCs w:val="20"/>
        </w:rPr>
        <w:t>BMIs</w:t>
      </w:r>
      <w:r w:rsidRPr="0080521D">
        <w:rPr>
          <w:rFonts w:ascii="Times New Roman" w:hAnsi="Times New Roman" w:cs="Times New Roman"/>
          <w:sz w:val="20"/>
          <w:szCs w:val="20"/>
        </w:rPr>
        <w:t xml:space="preserve"> of 409 PCOS women and 7057 </w:t>
      </w:r>
      <w:r w:rsidR="00231AA2" w:rsidRPr="0080521D">
        <w:rPr>
          <w:rFonts w:ascii="Times New Roman" w:hAnsi="Times New Roman" w:cs="Times New Roman"/>
          <w:sz w:val="20"/>
          <w:szCs w:val="20"/>
        </w:rPr>
        <w:t xml:space="preserve">controls </w:t>
      </w:r>
      <w:r w:rsidR="00231AA2">
        <w:rPr>
          <w:rFonts w:ascii="Times New Roman" w:hAnsi="Times New Roman" w:cs="Times New Roman"/>
          <w:sz w:val="20"/>
          <w:szCs w:val="20"/>
        </w:rPr>
        <w:t>and</w:t>
      </w:r>
      <w:r w:rsidR="00C22472">
        <w:rPr>
          <w:rFonts w:ascii="Times New Roman" w:hAnsi="Times New Roman" w:cs="Times New Roman"/>
          <w:sz w:val="20"/>
          <w:szCs w:val="20"/>
        </w:rPr>
        <w:t xml:space="preserve"> </w:t>
      </w:r>
      <w:r w:rsidRPr="0080521D">
        <w:rPr>
          <w:rFonts w:ascii="Times New Roman" w:hAnsi="Times New Roman" w:cs="Times New Roman"/>
          <w:sz w:val="20"/>
          <w:szCs w:val="20"/>
        </w:rPr>
        <w:t xml:space="preserve">is consistent with the findings of Gui &amp; Wang’s 2017 meta-analysis (Hedges’ g = 0.42, p = 0.004; 95% CI: 0.14 </w:t>
      </w:r>
      <w:r w:rsidRPr="0080521D">
        <w:rPr>
          <w:rFonts w:ascii="Times New Roman" w:hAnsi="Times New Roman" w:cs="Times New Roman"/>
          <w:sz w:val="20"/>
          <w:szCs w:val="20"/>
        </w:rPr>
        <w:lastRenderedPageBreak/>
        <w:t xml:space="preserve">to 0.701; n=243 (PCOS), n=211 (controls)). The </w:t>
      </w:r>
      <w:r w:rsidR="00F8011D" w:rsidRPr="0080521D">
        <w:rPr>
          <w:rFonts w:ascii="Times New Roman" w:hAnsi="Times New Roman" w:cs="Times New Roman"/>
          <w:sz w:val="20"/>
          <w:szCs w:val="20"/>
        </w:rPr>
        <w:t>BMIs</w:t>
      </w:r>
      <w:r w:rsidRPr="0080521D">
        <w:rPr>
          <w:rFonts w:ascii="Times New Roman" w:hAnsi="Times New Roman" w:cs="Times New Roman"/>
          <w:sz w:val="20"/>
          <w:szCs w:val="20"/>
        </w:rPr>
        <w:t xml:space="preserve"> of women with PCOS were nearly a half a standard deviation higher than that of controls (+ 0.49 SD). </w:t>
      </w:r>
    </w:p>
    <w:p w14:paraId="73CCD893" w14:textId="1B268D55" w:rsidR="00462E71" w:rsidRPr="0080521D" w:rsidRDefault="00462E71" w:rsidP="00231AA2">
      <w:pPr>
        <w:spacing w:before="100" w:after="100" w:line="240" w:lineRule="auto"/>
        <w:jc w:val="both"/>
        <w:rPr>
          <w:rFonts w:ascii="Times New Roman" w:hAnsi="Times New Roman" w:cs="Times New Roman"/>
          <w:bCs/>
          <w:i/>
          <w:iCs/>
          <w:sz w:val="20"/>
          <w:szCs w:val="20"/>
        </w:rPr>
      </w:pPr>
      <w:r w:rsidRPr="0080521D">
        <w:rPr>
          <w:rFonts w:ascii="Times New Roman" w:hAnsi="Times New Roman" w:cs="Times New Roman"/>
          <w:bCs/>
          <w:i/>
          <w:iCs/>
          <w:sz w:val="20"/>
          <w:szCs w:val="20"/>
        </w:rPr>
        <w:t>Waist-to-hip ratio (WHR)</w:t>
      </w:r>
    </w:p>
    <w:p w14:paraId="149D6C20" w14:textId="5405C85D" w:rsidR="00462E71" w:rsidRPr="0080521D" w:rsidRDefault="00462E71" w:rsidP="00231AA2">
      <w:pPr>
        <w:spacing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 WHR’s are significantly higher in PCOS women than controls (e.g., </w:t>
      </w:r>
      <w:r w:rsidR="005139E1" w:rsidRPr="0080521D">
        <w:rPr>
          <w:rFonts w:ascii="Times New Roman" w:hAnsi="Times New Roman" w:cs="Times New Roman"/>
          <w:sz w:val="20"/>
          <w:szCs w:val="20"/>
        </w:rPr>
        <w:t xml:space="preserve">Franik et </w:t>
      </w:r>
      <w:r w:rsidR="005139E1">
        <w:rPr>
          <w:rFonts w:ascii="Times New Roman" w:hAnsi="Times New Roman" w:cs="Times New Roman"/>
          <w:sz w:val="20"/>
          <w:szCs w:val="20"/>
        </w:rPr>
        <w:t>al.</w:t>
      </w:r>
      <w:r w:rsidR="005139E1" w:rsidRPr="0080521D">
        <w:rPr>
          <w:rFonts w:ascii="Times New Roman" w:hAnsi="Times New Roman" w:cs="Times New Roman"/>
          <w:sz w:val="20"/>
          <w:szCs w:val="20"/>
        </w:rPr>
        <w:t xml:space="preserve"> 2017</w:t>
      </w:r>
      <w:r w:rsidR="003B3C35">
        <w:rPr>
          <w:rFonts w:ascii="Times New Roman" w:hAnsi="Times New Roman" w:cs="Times New Roman"/>
          <w:sz w:val="20"/>
          <w:szCs w:val="20"/>
        </w:rPr>
        <w:t xml:space="preserve">; </w:t>
      </w:r>
      <w:r w:rsidR="00D32F56" w:rsidRPr="0080521D">
        <w:rPr>
          <w:rFonts w:ascii="Times New Roman" w:hAnsi="Times New Roman" w:cs="Times New Roman"/>
          <w:sz w:val="20"/>
          <w:szCs w:val="20"/>
        </w:rPr>
        <w:t xml:space="preserve">Glintborg et </w:t>
      </w:r>
      <w:r w:rsidR="00D32F56">
        <w:rPr>
          <w:rFonts w:ascii="Times New Roman" w:hAnsi="Times New Roman" w:cs="Times New Roman"/>
          <w:sz w:val="20"/>
          <w:szCs w:val="20"/>
        </w:rPr>
        <w:t>al.</w:t>
      </w:r>
      <w:r w:rsidR="00D32F56" w:rsidRPr="0080521D">
        <w:rPr>
          <w:rFonts w:ascii="Times New Roman" w:hAnsi="Times New Roman" w:cs="Times New Roman"/>
          <w:sz w:val="20"/>
          <w:szCs w:val="20"/>
        </w:rPr>
        <w:t xml:space="preserve"> 2016</w:t>
      </w:r>
      <w:r w:rsidR="00D32F56">
        <w:rPr>
          <w:rFonts w:ascii="Times New Roman" w:hAnsi="Times New Roman" w:cs="Times New Roman"/>
          <w:sz w:val="20"/>
          <w:szCs w:val="20"/>
        </w:rPr>
        <w:t xml:space="preserve">; </w:t>
      </w:r>
      <w:r w:rsidRPr="0080521D">
        <w:rPr>
          <w:rFonts w:ascii="Times New Roman" w:hAnsi="Times New Roman" w:cs="Times New Roman"/>
          <w:sz w:val="20"/>
          <w:szCs w:val="20"/>
        </w:rPr>
        <w:t xml:space="preserve">Hashim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2015</w:t>
      </w:r>
      <w:r w:rsidR="00B07E58" w:rsidRPr="0080521D">
        <w:rPr>
          <w:rFonts w:ascii="Times New Roman" w:hAnsi="Times New Roman" w:cs="Times New Roman"/>
          <w:sz w:val="20"/>
          <w:szCs w:val="20"/>
          <w:vertAlign w:val="superscript"/>
        </w:rPr>
        <w:t>4</w:t>
      </w:r>
      <w:r w:rsidRPr="0080521D">
        <w:rPr>
          <w:rFonts w:ascii="Times New Roman" w:hAnsi="Times New Roman" w:cs="Times New Roman"/>
          <w:sz w:val="20"/>
          <w:szCs w:val="20"/>
        </w:rPr>
        <w:t xml:space="preserve">; Saranya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2014; Sverrisdo´ttir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2008). WHR measurements in these studies ranged from 0.80 to 0.89</w:t>
      </w:r>
      <w:r w:rsidR="00F6078C" w:rsidRPr="0080521D">
        <w:rPr>
          <w:rFonts w:ascii="Times New Roman" w:hAnsi="Times New Roman" w:cs="Times New Roman"/>
          <w:sz w:val="20"/>
          <w:szCs w:val="20"/>
        </w:rPr>
        <w:t>,</w:t>
      </w:r>
      <w:r w:rsidRPr="0080521D">
        <w:rPr>
          <w:rFonts w:ascii="Times New Roman" w:hAnsi="Times New Roman" w:cs="Times New Roman"/>
          <w:sz w:val="20"/>
          <w:szCs w:val="20"/>
        </w:rPr>
        <w:t xml:space="preserve"> while controls invariably measured at ≤ 0.79. Gui &amp; Wang’s 2017 meta-analysis (Hedges’ g = 1.06, P = 0.0001; 95% CI: 0.53 to 1.58; n=134 (PCOS), n=109 (controls)) reveals a significant effect size of + 1 SD with respect to higher WHR’s in women with PCOS.</w:t>
      </w:r>
    </w:p>
    <w:p w14:paraId="7649D0AD" w14:textId="2072F6C3" w:rsidR="00462E71" w:rsidRPr="0080521D" w:rsidRDefault="00462E71" w:rsidP="00231AA2">
      <w:pPr>
        <w:spacing w:before="100" w:after="100"/>
        <w:jc w:val="both"/>
        <w:rPr>
          <w:rFonts w:ascii="Times New Roman" w:hAnsi="Times New Roman" w:cs="Times New Roman"/>
          <w:bCs/>
          <w:i/>
          <w:iCs/>
          <w:sz w:val="20"/>
          <w:szCs w:val="20"/>
        </w:rPr>
      </w:pPr>
      <w:r w:rsidRPr="0080521D">
        <w:rPr>
          <w:rFonts w:ascii="Times New Roman" w:hAnsi="Times New Roman" w:cs="Times New Roman"/>
          <w:bCs/>
          <w:i/>
          <w:iCs/>
          <w:sz w:val="20"/>
          <w:szCs w:val="20"/>
        </w:rPr>
        <w:t xml:space="preserve">Lean body mass </w:t>
      </w:r>
    </w:p>
    <w:p w14:paraId="08D780E0" w14:textId="5EBEF835" w:rsidR="00462E71" w:rsidRPr="0080521D" w:rsidRDefault="00462E71" w:rsidP="00231AA2">
      <w:pPr>
        <w:spacing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Compared to age and/or weight-matched controls, significantly higher levels of lean body mass</w:t>
      </w:r>
      <w:r w:rsidR="00B07E58" w:rsidRPr="0080521D">
        <w:rPr>
          <w:rFonts w:ascii="Times New Roman" w:hAnsi="Times New Roman" w:cs="Times New Roman"/>
          <w:sz w:val="20"/>
          <w:szCs w:val="20"/>
          <w:vertAlign w:val="superscript"/>
        </w:rPr>
        <w:t>5</w:t>
      </w:r>
      <w:r w:rsidRPr="0080521D">
        <w:rPr>
          <w:rFonts w:ascii="Times New Roman" w:hAnsi="Times New Roman" w:cs="Times New Roman"/>
          <w:sz w:val="20"/>
          <w:szCs w:val="20"/>
        </w:rPr>
        <w:t xml:space="preserve"> have been reported in women with classic PCOS</w:t>
      </w:r>
      <w:r w:rsidR="00460988" w:rsidRPr="0080521D">
        <w:rPr>
          <w:rFonts w:ascii="Times New Roman" w:hAnsi="Times New Roman" w:cs="Times New Roman"/>
          <w:sz w:val="20"/>
          <w:szCs w:val="20"/>
          <w:vertAlign w:val="superscript"/>
        </w:rPr>
        <w:t>6</w:t>
      </w:r>
      <w:r w:rsidRPr="0080521D">
        <w:rPr>
          <w:rFonts w:ascii="Times New Roman" w:hAnsi="Times New Roman" w:cs="Times New Roman"/>
          <w:sz w:val="20"/>
          <w:szCs w:val="20"/>
        </w:rPr>
        <w:t xml:space="preserve"> compared to age and/or weight-matched controls (Carmina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2009; Kogure et </w:t>
      </w:r>
      <w:r w:rsidR="00E748A7">
        <w:rPr>
          <w:rFonts w:ascii="Times New Roman" w:hAnsi="Times New Roman" w:cs="Times New Roman"/>
          <w:sz w:val="20"/>
          <w:szCs w:val="20"/>
        </w:rPr>
        <w:t>al.</w:t>
      </w:r>
      <w:r w:rsidRPr="0080521D">
        <w:rPr>
          <w:rFonts w:ascii="Times New Roman" w:hAnsi="Times New Roman" w:cs="Times New Roman"/>
          <w:sz w:val="20"/>
          <w:szCs w:val="20"/>
        </w:rPr>
        <w:t>2015)</w:t>
      </w:r>
      <w:r w:rsidR="00355349" w:rsidRPr="0080521D">
        <w:rPr>
          <w:rFonts w:ascii="Times New Roman" w:hAnsi="Times New Roman" w:cs="Times New Roman"/>
          <w:sz w:val="20"/>
          <w:szCs w:val="20"/>
        </w:rPr>
        <w:t>,</w:t>
      </w:r>
      <w:r w:rsidRPr="0080521D">
        <w:rPr>
          <w:rFonts w:ascii="Times New Roman" w:hAnsi="Times New Roman" w:cs="Times New Roman"/>
          <w:sz w:val="20"/>
          <w:szCs w:val="20"/>
        </w:rPr>
        <w:t xml:space="preserve"> but this has not been consistently reported (</w:t>
      </w:r>
      <w:r w:rsidR="00351A75" w:rsidRPr="0080521D">
        <w:rPr>
          <w:rFonts w:ascii="Times New Roman" w:hAnsi="Times New Roman" w:cs="Times New Roman"/>
          <w:sz w:val="20"/>
          <w:szCs w:val="20"/>
        </w:rPr>
        <w:t xml:space="preserve">Katulski et </w:t>
      </w:r>
      <w:r w:rsidR="00351A75">
        <w:rPr>
          <w:rFonts w:ascii="Times New Roman" w:hAnsi="Times New Roman" w:cs="Times New Roman"/>
          <w:sz w:val="20"/>
          <w:szCs w:val="20"/>
        </w:rPr>
        <w:t>al.</w:t>
      </w:r>
      <w:r w:rsidR="00351A75" w:rsidRPr="0080521D">
        <w:rPr>
          <w:rFonts w:ascii="Times New Roman" w:hAnsi="Times New Roman" w:cs="Times New Roman"/>
          <w:sz w:val="20"/>
          <w:szCs w:val="20"/>
        </w:rPr>
        <w:t xml:space="preserve"> 2014</w:t>
      </w:r>
      <w:r w:rsidR="00351A75">
        <w:rPr>
          <w:rFonts w:ascii="Times New Roman" w:hAnsi="Times New Roman" w:cs="Times New Roman"/>
          <w:sz w:val="20"/>
          <w:szCs w:val="20"/>
        </w:rPr>
        <w:t xml:space="preserve">; </w:t>
      </w:r>
      <w:r w:rsidR="00351A75" w:rsidRPr="0080521D">
        <w:rPr>
          <w:rFonts w:ascii="Times New Roman" w:hAnsi="Times New Roman" w:cs="Times New Roman"/>
          <w:sz w:val="20"/>
          <w:szCs w:val="20"/>
        </w:rPr>
        <w:t xml:space="preserve">Kirchengast et </w:t>
      </w:r>
      <w:r w:rsidR="00351A75">
        <w:rPr>
          <w:rFonts w:ascii="Times New Roman" w:hAnsi="Times New Roman" w:cs="Times New Roman"/>
          <w:sz w:val="20"/>
          <w:szCs w:val="20"/>
        </w:rPr>
        <w:t>al.</w:t>
      </w:r>
      <w:r w:rsidR="00351A75" w:rsidRPr="0080521D">
        <w:rPr>
          <w:rFonts w:ascii="Times New Roman" w:hAnsi="Times New Roman" w:cs="Times New Roman"/>
          <w:sz w:val="20"/>
          <w:szCs w:val="20"/>
        </w:rPr>
        <w:t xml:space="preserve"> 2001</w:t>
      </w:r>
      <w:r w:rsidR="00351A75">
        <w:rPr>
          <w:rFonts w:ascii="Times New Roman" w:hAnsi="Times New Roman" w:cs="Times New Roman"/>
          <w:sz w:val="20"/>
          <w:szCs w:val="20"/>
        </w:rPr>
        <w:t xml:space="preserve">; </w:t>
      </w:r>
      <w:r w:rsidRPr="0080521D">
        <w:rPr>
          <w:rFonts w:ascii="Times New Roman" w:hAnsi="Times New Roman" w:cs="Times New Roman"/>
          <w:sz w:val="20"/>
          <w:szCs w:val="20"/>
        </w:rPr>
        <w:t xml:space="preserve">Mario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2012).</w:t>
      </w:r>
    </w:p>
    <w:p w14:paraId="4E77C6F3" w14:textId="77777777" w:rsidR="00462E71" w:rsidRPr="0080521D" w:rsidRDefault="00462E71" w:rsidP="00231AA2">
      <w:pPr>
        <w:spacing w:before="100" w:after="100" w:line="240" w:lineRule="auto"/>
        <w:jc w:val="both"/>
        <w:rPr>
          <w:rFonts w:ascii="Times New Roman" w:hAnsi="Times New Roman" w:cs="Times New Roman"/>
          <w:bCs/>
          <w:i/>
          <w:iCs/>
          <w:sz w:val="20"/>
          <w:szCs w:val="20"/>
        </w:rPr>
      </w:pPr>
      <w:r w:rsidRPr="0080521D">
        <w:rPr>
          <w:rFonts w:ascii="Times New Roman" w:hAnsi="Times New Roman" w:cs="Times New Roman"/>
          <w:bCs/>
          <w:i/>
          <w:iCs/>
          <w:sz w:val="20"/>
          <w:szCs w:val="20"/>
        </w:rPr>
        <w:t xml:space="preserve">Fat distribution pattern </w:t>
      </w:r>
    </w:p>
    <w:p w14:paraId="64182D3F" w14:textId="4E56351F" w:rsidR="00462E71" w:rsidRPr="0080521D" w:rsidRDefault="00462E71" w:rsidP="00231AA2">
      <w:pPr>
        <w:spacing w:before="100" w:after="10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Women with PCOS, be they of the lean phenotype or the classic phenotype, have a significantly more android fat configuration and more central abdomen adiposity than controls </w:t>
      </w:r>
      <w:r w:rsidR="00431887" w:rsidRPr="00431887">
        <w:rPr>
          <w:rFonts w:ascii="Times New Roman" w:hAnsi="Times New Roman" w:cs="Times New Roman"/>
          <w:sz w:val="20"/>
          <w:szCs w:val="20"/>
        </w:rPr>
        <w:t>(e.g., Carmina et al. 2007, 2009; Ezeh et al. 2014; Glintborg et al. 2016; Godoy-Matos et al. 2009).</w:t>
      </w:r>
    </w:p>
    <w:p w14:paraId="0E8CA2FB" w14:textId="77777777" w:rsidR="00462E71" w:rsidRPr="0080521D" w:rsidRDefault="00462E71" w:rsidP="00231AA2">
      <w:pPr>
        <w:spacing w:before="100" w:after="100" w:line="240" w:lineRule="auto"/>
        <w:jc w:val="both"/>
        <w:rPr>
          <w:rFonts w:ascii="Times New Roman" w:hAnsi="Times New Roman" w:cs="Times New Roman"/>
          <w:bCs/>
          <w:i/>
          <w:iCs/>
          <w:sz w:val="20"/>
          <w:szCs w:val="20"/>
        </w:rPr>
      </w:pPr>
      <w:r w:rsidRPr="0080521D">
        <w:rPr>
          <w:rFonts w:ascii="Times New Roman" w:hAnsi="Times New Roman" w:cs="Times New Roman"/>
          <w:bCs/>
          <w:i/>
          <w:iCs/>
          <w:sz w:val="20"/>
          <w:szCs w:val="20"/>
        </w:rPr>
        <w:t>Bone mineral density (BMD)</w:t>
      </w:r>
    </w:p>
    <w:p w14:paraId="44552989" w14:textId="6A60492B" w:rsidR="00462E71" w:rsidRPr="0080521D" w:rsidRDefault="00462E71" w:rsidP="00231AA2">
      <w:pPr>
        <w:spacing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Physically localized differences in BMD have been reported in PCOS women compared to age, weight, and ethnicity-matched controls (Good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1999). Women with PCOS evidence significantly higher BMD in the upper skeleton. Di Carlo et al. (1992</w:t>
      </w:r>
      <w:r w:rsidR="00231AA2" w:rsidRPr="0080521D">
        <w:rPr>
          <w:rFonts w:ascii="Times New Roman" w:hAnsi="Times New Roman" w:cs="Times New Roman"/>
          <w:sz w:val="20"/>
          <w:szCs w:val="20"/>
        </w:rPr>
        <w:t xml:space="preserve">) </w:t>
      </w:r>
      <w:r w:rsidR="00231AA2">
        <w:rPr>
          <w:rFonts w:ascii="Times New Roman" w:hAnsi="Times New Roman" w:cs="Times New Roman"/>
          <w:sz w:val="20"/>
          <w:szCs w:val="20"/>
        </w:rPr>
        <w:t>demonstrated</w:t>
      </w:r>
      <w:r w:rsidR="006A18FA">
        <w:rPr>
          <w:rFonts w:ascii="Times New Roman" w:hAnsi="Times New Roman" w:cs="Times New Roman"/>
          <w:sz w:val="20"/>
          <w:szCs w:val="20"/>
        </w:rPr>
        <w:t xml:space="preserve"> </w:t>
      </w:r>
      <w:r w:rsidRPr="0080521D">
        <w:rPr>
          <w:rFonts w:ascii="Times New Roman" w:hAnsi="Times New Roman" w:cs="Times New Roman"/>
          <w:sz w:val="20"/>
          <w:szCs w:val="20"/>
        </w:rPr>
        <w:t>the same difference in amenorrheic women with PCOS compared to matched controls. Carmina et al. (2009)</w:t>
      </w:r>
      <w:r w:rsidR="00355349" w:rsidRPr="0080521D">
        <w:rPr>
          <w:rFonts w:ascii="Times New Roman" w:hAnsi="Times New Roman" w:cs="Times New Roman"/>
          <w:sz w:val="20"/>
          <w:szCs w:val="20"/>
        </w:rPr>
        <w:t>,</w:t>
      </w:r>
      <w:r w:rsidRPr="0080521D">
        <w:rPr>
          <w:rFonts w:ascii="Times New Roman" w:hAnsi="Times New Roman" w:cs="Times New Roman"/>
          <w:sz w:val="20"/>
          <w:szCs w:val="20"/>
        </w:rPr>
        <w:t xml:space="preserve"> however</w:t>
      </w:r>
      <w:r w:rsidR="00355349" w:rsidRPr="0080521D">
        <w:rPr>
          <w:rFonts w:ascii="Times New Roman" w:hAnsi="Times New Roman" w:cs="Times New Roman"/>
          <w:sz w:val="20"/>
          <w:szCs w:val="20"/>
        </w:rPr>
        <w:t>,</w:t>
      </w:r>
      <w:r w:rsidRPr="0080521D">
        <w:rPr>
          <w:rFonts w:ascii="Times New Roman" w:hAnsi="Times New Roman" w:cs="Times New Roman"/>
          <w:sz w:val="20"/>
          <w:szCs w:val="20"/>
        </w:rPr>
        <w:t xml:space="preserve"> did not replicate the finding. </w:t>
      </w:r>
    </w:p>
    <w:p w14:paraId="12274902" w14:textId="426A3B5C" w:rsidR="00462E71" w:rsidRPr="0080521D" w:rsidRDefault="00462E71" w:rsidP="00231AA2">
      <w:pPr>
        <w:spacing w:before="100" w:after="100" w:line="240" w:lineRule="auto"/>
        <w:jc w:val="both"/>
        <w:rPr>
          <w:rFonts w:ascii="Times New Roman" w:hAnsi="Times New Roman" w:cs="Times New Roman"/>
          <w:bCs/>
          <w:i/>
          <w:iCs/>
          <w:sz w:val="20"/>
          <w:szCs w:val="20"/>
        </w:rPr>
      </w:pPr>
      <w:r w:rsidRPr="0080521D">
        <w:rPr>
          <w:rFonts w:ascii="Times New Roman" w:hAnsi="Times New Roman" w:cs="Times New Roman"/>
          <w:bCs/>
          <w:i/>
          <w:iCs/>
          <w:sz w:val="20"/>
          <w:szCs w:val="20"/>
        </w:rPr>
        <w:t xml:space="preserve">Strength differences </w:t>
      </w:r>
    </w:p>
    <w:p w14:paraId="08289C36" w14:textId="5BFA2430" w:rsidR="00462E71" w:rsidRPr="0080521D" w:rsidRDefault="00462E71" w:rsidP="00231AA2">
      <w:pPr>
        <w:spacing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Women with PCOS </w:t>
      </w:r>
      <w:r w:rsidR="002505A2" w:rsidRPr="0080521D">
        <w:rPr>
          <w:rFonts w:ascii="Times New Roman" w:hAnsi="Times New Roman" w:cs="Times New Roman"/>
          <w:sz w:val="20"/>
          <w:szCs w:val="20"/>
        </w:rPr>
        <w:t>show</w:t>
      </w:r>
      <w:r w:rsidRPr="0080521D">
        <w:rPr>
          <w:rFonts w:ascii="Times New Roman" w:hAnsi="Times New Roman" w:cs="Times New Roman"/>
          <w:sz w:val="20"/>
          <w:szCs w:val="20"/>
        </w:rPr>
        <w:t xml:space="preserve"> increased strength </w:t>
      </w:r>
      <w:r w:rsidR="00C3068D" w:rsidRPr="0080521D">
        <w:rPr>
          <w:rFonts w:ascii="Times New Roman" w:hAnsi="Times New Roman" w:cs="Times New Roman"/>
          <w:sz w:val="20"/>
          <w:szCs w:val="20"/>
        </w:rPr>
        <w:t>compared</w:t>
      </w:r>
      <w:r w:rsidRPr="0080521D">
        <w:rPr>
          <w:rFonts w:ascii="Times New Roman" w:hAnsi="Times New Roman" w:cs="Times New Roman"/>
          <w:sz w:val="20"/>
          <w:szCs w:val="20"/>
        </w:rPr>
        <w:t xml:space="preserve"> to controls, a difference that manifests independently of the level of lean body mass. PCOS women lift significantly higher 1 rep maximums in the bench press, leg extension, (p&lt;.01) and isometric handgrip strength exercises (p &lt;0.03) (Kogure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2012</w:t>
      </w:r>
      <w:r w:rsidR="0028064B">
        <w:rPr>
          <w:rFonts w:ascii="Times New Roman" w:hAnsi="Times New Roman" w:cs="Times New Roman"/>
          <w:sz w:val="20"/>
          <w:szCs w:val="20"/>
        </w:rPr>
        <w:t xml:space="preserve">, </w:t>
      </w:r>
      <w:r w:rsidRPr="0080521D">
        <w:rPr>
          <w:rFonts w:ascii="Times New Roman" w:hAnsi="Times New Roman" w:cs="Times New Roman"/>
          <w:sz w:val="20"/>
          <w:szCs w:val="20"/>
        </w:rPr>
        <w:t>2015)</w:t>
      </w:r>
      <w:r w:rsidR="00EE5D98">
        <w:rPr>
          <w:rFonts w:ascii="Times New Roman" w:hAnsi="Times New Roman" w:cs="Times New Roman"/>
          <w:sz w:val="20"/>
          <w:szCs w:val="20"/>
        </w:rPr>
        <w:t>.</w:t>
      </w:r>
    </w:p>
    <w:p w14:paraId="18FD65DD" w14:textId="441BB6B5" w:rsidR="00462E71" w:rsidRPr="0080521D" w:rsidRDefault="00450BFB" w:rsidP="00231AA2">
      <w:pPr>
        <w:spacing w:before="100" w:after="100" w:line="240" w:lineRule="auto"/>
        <w:jc w:val="both"/>
        <w:rPr>
          <w:rFonts w:ascii="Times New Roman" w:hAnsi="Times New Roman" w:cs="Times New Roman"/>
          <w:bCs/>
          <w:i/>
          <w:iCs/>
          <w:sz w:val="20"/>
          <w:szCs w:val="20"/>
        </w:rPr>
      </w:pPr>
      <w:r w:rsidRPr="0080521D">
        <w:rPr>
          <w:rFonts w:ascii="Times New Roman" w:hAnsi="Times New Roman" w:cs="Times New Roman"/>
          <w:bCs/>
          <w:i/>
          <w:iCs/>
          <w:sz w:val="20"/>
          <w:szCs w:val="20"/>
        </w:rPr>
        <w:t>Characteristic correlations</w:t>
      </w:r>
    </w:p>
    <w:p w14:paraId="4C398323" w14:textId="3A385294" w:rsidR="00462E71" w:rsidRPr="0080521D" w:rsidRDefault="00462E71" w:rsidP="00231AA2">
      <w:pPr>
        <w:spacing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In Carmina et al. (2009), lean body mass in women with PCOS positively correlated with total fat, trunk fat, and % trunk fat (r = 0.68, 0.67, 0.48, respectively, all at p &lt; 0.01)</w:t>
      </w:r>
      <w:r w:rsidR="00EE5D98">
        <w:rPr>
          <w:rFonts w:ascii="Times New Roman" w:hAnsi="Times New Roman" w:cs="Times New Roman"/>
          <w:sz w:val="20"/>
          <w:szCs w:val="20"/>
        </w:rPr>
        <w:t>;</w:t>
      </w:r>
      <w:r w:rsidRPr="0080521D">
        <w:rPr>
          <w:rFonts w:ascii="Times New Roman" w:hAnsi="Times New Roman" w:cs="Times New Roman"/>
          <w:sz w:val="20"/>
          <w:szCs w:val="20"/>
        </w:rPr>
        <w:t xml:space="preserve"> </w:t>
      </w:r>
      <w:r w:rsidR="00EE5D98">
        <w:rPr>
          <w:rFonts w:ascii="Times New Roman" w:hAnsi="Times New Roman" w:cs="Times New Roman"/>
          <w:sz w:val="20"/>
          <w:szCs w:val="20"/>
        </w:rPr>
        <w:t>a</w:t>
      </w:r>
      <w:r w:rsidRPr="0080521D">
        <w:rPr>
          <w:rFonts w:ascii="Times New Roman" w:hAnsi="Times New Roman" w:cs="Times New Roman"/>
          <w:sz w:val="20"/>
          <w:szCs w:val="20"/>
        </w:rPr>
        <w:t xml:space="preserve"> similar association </w:t>
      </w:r>
      <w:r w:rsidR="00C32CEE" w:rsidRPr="0080521D">
        <w:rPr>
          <w:rFonts w:ascii="Times New Roman" w:hAnsi="Times New Roman" w:cs="Times New Roman"/>
          <w:sz w:val="20"/>
          <w:szCs w:val="20"/>
        </w:rPr>
        <w:t>expressed</w:t>
      </w:r>
      <w:r w:rsidRPr="0080521D">
        <w:rPr>
          <w:rFonts w:ascii="Times New Roman" w:hAnsi="Times New Roman" w:cs="Times New Roman"/>
          <w:sz w:val="20"/>
          <w:szCs w:val="20"/>
        </w:rPr>
        <w:t xml:space="preserve"> with insulin levels and the free androgen index (FAI</w:t>
      </w:r>
      <w:r w:rsidR="00646046" w:rsidRPr="0080521D">
        <w:rPr>
          <w:rFonts w:ascii="Times New Roman" w:hAnsi="Times New Roman" w:cs="Times New Roman"/>
          <w:sz w:val="20"/>
          <w:szCs w:val="20"/>
          <w:vertAlign w:val="superscript"/>
        </w:rPr>
        <w:t>7</w:t>
      </w:r>
      <w:r w:rsidRPr="0080521D">
        <w:rPr>
          <w:rFonts w:ascii="Times New Roman" w:hAnsi="Times New Roman" w:cs="Times New Roman"/>
          <w:sz w:val="20"/>
          <w:szCs w:val="20"/>
        </w:rPr>
        <w:t>) (r = 0.48, 0.49, respectively</w:t>
      </w:r>
      <w:r w:rsidR="00EE5D98">
        <w:rPr>
          <w:rFonts w:ascii="Times New Roman" w:hAnsi="Times New Roman" w:cs="Times New Roman"/>
          <w:sz w:val="20"/>
          <w:szCs w:val="20"/>
        </w:rPr>
        <w:t>)</w:t>
      </w:r>
      <w:r w:rsidRPr="0080521D">
        <w:rPr>
          <w:rFonts w:ascii="Times New Roman" w:hAnsi="Times New Roman" w:cs="Times New Roman"/>
          <w:sz w:val="20"/>
          <w:szCs w:val="20"/>
        </w:rPr>
        <w:t>. The PCOS women in Carmina et al</w:t>
      </w:r>
      <w:r w:rsidR="00EE5D98">
        <w:rPr>
          <w:rFonts w:ascii="Times New Roman" w:hAnsi="Times New Roman" w:cs="Times New Roman"/>
          <w:sz w:val="20"/>
          <w:szCs w:val="20"/>
        </w:rPr>
        <w:t>.</w:t>
      </w:r>
      <w:r w:rsidRPr="0080521D">
        <w:rPr>
          <w:rFonts w:ascii="Times New Roman" w:hAnsi="Times New Roman" w:cs="Times New Roman"/>
          <w:sz w:val="20"/>
          <w:szCs w:val="20"/>
        </w:rPr>
        <w:t xml:space="preserve">’s study had higher insulin levels compared to controls (14 μU/ml +/- 5.2 and 9.6 μU/ml +/- 3, respectively; p &lt; 0.01) and higher FAI levels (2.5 +/- 0.8 and 8.72 +/- 5.1, respectively; p &lt; 0.01). </w:t>
      </w:r>
    </w:p>
    <w:p w14:paraId="5568A3DD" w14:textId="5F307F9A" w:rsidR="00462E71" w:rsidRPr="0080521D" w:rsidRDefault="00462E71" w:rsidP="00231AA2">
      <w:pPr>
        <w:spacing w:before="100" w:after="0" w:line="240" w:lineRule="auto"/>
        <w:ind w:firstLine="720"/>
        <w:jc w:val="both"/>
        <w:rPr>
          <w:rFonts w:ascii="Times New Roman" w:hAnsi="Times New Roman" w:cs="Times New Roman"/>
          <w:sz w:val="20"/>
          <w:szCs w:val="20"/>
          <w:shd w:val="clear" w:color="auto" w:fill="FFFFFF"/>
        </w:rPr>
      </w:pPr>
      <w:r w:rsidRPr="0080521D">
        <w:rPr>
          <w:rFonts w:ascii="Times New Roman" w:hAnsi="Times New Roman" w:cs="Times New Roman"/>
          <w:sz w:val="20"/>
          <w:szCs w:val="20"/>
        </w:rPr>
        <w:t xml:space="preserve">This pattern might be due to the obesogenic consequences of insulin resistance (IR) and its promotion of hyperandrogenism via the </w:t>
      </w:r>
      <w:r w:rsidR="00D54808" w:rsidRPr="0080521D">
        <w:rPr>
          <w:rFonts w:ascii="Times New Roman" w:hAnsi="Times New Roman" w:cs="Times New Roman"/>
          <w:sz w:val="20"/>
          <w:szCs w:val="20"/>
        </w:rPr>
        <w:t>downregulation</w:t>
      </w:r>
      <w:r w:rsidRPr="0080521D">
        <w:rPr>
          <w:rFonts w:ascii="Times New Roman" w:hAnsi="Times New Roman" w:cs="Times New Roman"/>
          <w:sz w:val="20"/>
          <w:szCs w:val="20"/>
        </w:rPr>
        <w:t xml:space="preserve"> of s</w:t>
      </w:r>
      <w:r w:rsidRPr="0080521D">
        <w:rPr>
          <w:rFonts w:ascii="Times New Roman" w:hAnsi="Times New Roman" w:cs="Times New Roman"/>
          <w:sz w:val="20"/>
          <w:szCs w:val="20"/>
          <w:shd w:val="clear" w:color="auto" w:fill="FFFFFF"/>
        </w:rPr>
        <w:t>ex hormone binding globulin (</w:t>
      </w:r>
      <w:r w:rsidRPr="0080521D">
        <w:rPr>
          <w:rFonts w:ascii="Times New Roman" w:hAnsi="Times New Roman" w:cs="Times New Roman"/>
          <w:bCs/>
          <w:sz w:val="20"/>
          <w:szCs w:val="20"/>
          <w:shd w:val="clear" w:color="auto" w:fill="FFFFFF"/>
        </w:rPr>
        <w:t>SHBG</w:t>
      </w:r>
      <w:r w:rsidRPr="0080521D">
        <w:rPr>
          <w:rFonts w:ascii="Times New Roman" w:hAnsi="Times New Roman" w:cs="Times New Roman"/>
          <w:sz w:val="20"/>
          <w:szCs w:val="20"/>
          <w:shd w:val="clear" w:color="auto" w:fill="FFFFFF"/>
        </w:rPr>
        <w:t xml:space="preserve">) and the </w:t>
      </w:r>
      <w:r w:rsidRPr="0080521D">
        <w:rPr>
          <w:rStyle w:val="Emphasis"/>
          <w:rFonts w:ascii="Times New Roman" w:hAnsi="Times New Roman" w:cs="Times New Roman"/>
          <w:bCs/>
          <w:sz w:val="20"/>
          <w:szCs w:val="20"/>
          <w:shd w:val="clear" w:color="auto" w:fill="FFFFFF"/>
        </w:rPr>
        <w:t>insulin</w:t>
      </w:r>
      <w:r w:rsidRPr="0080521D">
        <w:rPr>
          <w:rFonts w:ascii="Times New Roman" w:hAnsi="Times New Roman" w:cs="Times New Roman"/>
          <w:sz w:val="20"/>
          <w:szCs w:val="20"/>
          <w:shd w:val="clear" w:color="auto" w:fill="FFFFFF"/>
        </w:rPr>
        <w:t>-like growth factor binding protein 1 (IGFPB-1). Down-regulation of IGFPB-1 ups IGF-1 availability</w:t>
      </w:r>
      <w:r w:rsidR="009E6739">
        <w:rPr>
          <w:rFonts w:ascii="Times New Roman" w:hAnsi="Times New Roman" w:cs="Times New Roman"/>
          <w:sz w:val="20"/>
          <w:szCs w:val="20"/>
          <w:shd w:val="clear" w:color="auto" w:fill="FFFFFF"/>
        </w:rPr>
        <w:t>,</w:t>
      </w:r>
      <w:r w:rsidRPr="0080521D">
        <w:rPr>
          <w:rFonts w:ascii="Times New Roman" w:hAnsi="Times New Roman" w:cs="Times New Roman"/>
          <w:sz w:val="20"/>
          <w:szCs w:val="20"/>
          <w:shd w:val="clear" w:color="auto" w:fill="FFFFFF"/>
        </w:rPr>
        <w:t xml:space="preserve"> which potentiates the theca cells in the ovaries to produce more androgens</w:t>
      </w:r>
      <w:r w:rsidR="009E6739">
        <w:rPr>
          <w:rFonts w:ascii="Times New Roman" w:hAnsi="Times New Roman" w:cs="Times New Roman"/>
          <w:sz w:val="20"/>
          <w:szCs w:val="20"/>
          <w:shd w:val="clear" w:color="auto" w:fill="FFFFFF"/>
        </w:rPr>
        <w:t>,</w:t>
      </w:r>
      <w:r w:rsidRPr="0080521D">
        <w:rPr>
          <w:rFonts w:ascii="Times New Roman" w:hAnsi="Times New Roman" w:cs="Times New Roman"/>
          <w:sz w:val="20"/>
          <w:szCs w:val="20"/>
          <w:shd w:val="clear" w:color="auto" w:fill="FFFFFF"/>
        </w:rPr>
        <w:t xml:space="preserve"> and down-regulation of SHBG potentiates the general bioavailability of androgens </w:t>
      </w:r>
      <w:r w:rsidRPr="0080521D">
        <w:rPr>
          <w:rFonts w:ascii="Times New Roman" w:hAnsi="Times New Roman" w:cs="Times New Roman"/>
          <w:sz w:val="20"/>
          <w:szCs w:val="20"/>
        </w:rPr>
        <w:t xml:space="preserve">(Yau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2017). The notion is that hyperandrogenism may have promoted the anabolism of more lean body mass. Consistent with this reasoning, Kogure et al. (2015) was able to find a significant correlation between FAI and lean muscle mass in women with PCOS (r = 0.40, p &lt; 0.05)</w:t>
      </w:r>
    </w:p>
    <w:p w14:paraId="2A63406F" w14:textId="0B9F2667" w:rsidR="00462E71" w:rsidRPr="0080521D" w:rsidRDefault="00462E71" w:rsidP="00231AA2">
      <w:pPr>
        <w:spacing w:before="100"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A study by Glintborg et al. (2008) reinforces this, at least with regard to lean body mass. </w:t>
      </w:r>
      <w:r w:rsidR="0070219D" w:rsidRPr="0080521D">
        <w:rPr>
          <w:rFonts w:ascii="Times New Roman" w:hAnsi="Times New Roman" w:cs="Times New Roman"/>
          <w:sz w:val="20"/>
          <w:szCs w:val="20"/>
        </w:rPr>
        <w:t>W</w:t>
      </w:r>
      <w:r w:rsidRPr="0080521D">
        <w:rPr>
          <w:rFonts w:ascii="Times New Roman" w:hAnsi="Times New Roman" w:cs="Times New Roman"/>
          <w:sz w:val="20"/>
          <w:szCs w:val="20"/>
        </w:rPr>
        <w:t xml:space="preserve">hen PCOS women were given an insulin-sensitizing drug called pioglitazone, a decrease in lean body mass resulted. </w:t>
      </w:r>
    </w:p>
    <w:p w14:paraId="3CABB26C" w14:textId="51F9A363" w:rsidR="00462E71" w:rsidRPr="0010670E" w:rsidRDefault="00462E71" w:rsidP="00231AA2">
      <w:pPr>
        <w:spacing w:before="100" w:after="100" w:line="240" w:lineRule="auto"/>
        <w:ind w:firstLine="360"/>
        <w:jc w:val="both"/>
        <w:rPr>
          <w:rFonts w:ascii="Times New Roman" w:hAnsi="Times New Roman" w:cs="Times New Roman"/>
          <w:bCs/>
          <w:i/>
          <w:iCs/>
          <w:sz w:val="20"/>
          <w:szCs w:val="20"/>
          <w:u w:val="single"/>
        </w:rPr>
      </w:pPr>
      <w:r w:rsidRPr="0010670E">
        <w:rPr>
          <w:rFonts w:ascii="Times New Roman" w:hAnsi="Times New Roman" w:cs="Times New Roman"/>
          <w:bCs/>
          <w:i/>
          <w:iCs/>
          <w:sz w:val="20"/>
          <w:szCs w:val="20"/>
          <w:u w:val="single"/>
        </w:rPr>
        <w:t>Body to mass index (BMI)</w:t>
      </w:r>
    </w:p>
    <w:p w14:paraId="21E8B9BF" w14:textId="6B9DF896" w:rsidR="00462E71" w:rsidRPr="0080521D" w:rsidRDefault="00462E71" w:rsidP="00231AA2">
      <w:pPr>
        <w:spacing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In women with PCOS, BMI correlates significantly and positively with total testosterone levels, larger ovarian volume (</w:t>
      </w:r>
      <w:r w:rsidR="00DF681E" w:rsidRPr="0080521D">
        <w:rPr>
          <w:rFonts w:ascii="Times New Roman" w:hAnsi="Times New Roman" w:cs="Times New Roman"/>
          <w:sz w:val="20"/>
          <w:szCs w:val="20"/>
        </w:rPr>
        <w:t xml:space="preserve">Balen et </w:t>
      </w:r>
      <w:r w:rsidR="00DF681E">
        <w:rPr>
          <w:rFonts w:ascii="Times New Roman" w:hAnsi="Times New Roman" w:cs="Times New Roman"/>
          <w:sz w:val="20"/>
          <w:szCs w:val="20"/>
        </w:rPr>
        <w:t>al.</w:t>
      </w:r>
      <w:r w:rsidR="00DF681E" w:rsidRPr="0080521D">
        <w:rPr>
          <w:rFonts w:ascii="Times New Roman" w:hAnsi="Times New Roman" w:cs="Times New Roman"/>
          <w:sz w:val="20"/>
          <w:szCs w:val="20"/>
        </w:rPr>
        <w:t xml:space="preserve"> 1995</w:t>
      </w:r>
      <w:r w:rsidR="00DF681E">
        <w:rPr>
          <w:rFonts w:ascii="Times New Roman" w:hAnsi="Times New Roman" w:cs="Times New Roman"/>
          <w:sz w:val="20"/>
          <w:szCs w:val="20"/>
        </w:rPr>
        <w:t xml:space="preserve">; </w:t>
      </w:r>
      <w:r w:rsidRPr="0080521D">
        <w:rPr>
          <w:rFonts w:ascii="Times New Roman" w:hAnsi="Times New Roman" w:cs="Times New Roman"/>
          <w:sz w:val="20"/>
          <w:szCs w:val="20"/>
        </w:rPr>
        <w:t xml:space="preserve">Conway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1989) </w:t>
      </w:r>
      <w:r w:rsidR="005D050D" w:rsidRPr="0080521D">
        <w:rPr>
          <w:rFonts w:ascii="Times New Roman" w:hAnsi="Times New Roman" w:cs="Times New Roman"/>
          <w:sz w:val="20"/>
          <w:szCs w:val="20"/>
        </w:rPr>
        <w:t>and</w:t>
      </w:r>
      <w:r w:rsidRPr="0080521D">
        <w:rPr>
          <w:rFonts w:ascii="Times New Roman" w:hAnsi="Times New Roman" w:cs="Times New Roman"/>
          <w:sz w:val="20"/>
          <w:szCs w:val="20"/>
        </w:rPr>
        <w:t xml:space="preserve"> hirsutism (p = 0.0002) (Balen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1995). I</w:t>
      </w:r>
      <w:r w:rsidR="007934FB" w:rsidRPr="0080521D">
        <w:rPr>
          <w:rFonts w:ascii="Times New Roman" w:hAnsi="Times New Roman" w:cs="Times New Roman"/>
          <w:sz w:val="20"/>
          <w:szCs w:val="20"/>
        </w:rPr>
        <w:t>n Kiddy et al. (1990), it has</w:t>
      </w:r>
      <w:r w:rsidRPr="0080521D">
        <w:rPr>
          <w:rFonts w:ascii="Times New Roman" w:hAnsi="Times New Roman" w:cs="Times New Roman"/>
          <w:sz w:val="20"/>
          <w:szCs w:val="20"/>
        </w:rPr>
        <w:t xml:space="preserve"> also significantly correlated with lower levels of SHBG. These relationships are consistent with obesity (qua BMI) as a major driver of PCOS pathophysiology (Yau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2017). Higher BMI’s increase the likelihood of lipotoxicity. </w:t>
      </w:r>
      <w:r w:rsidR="00392BA2" w:rsidRPr="0080521D">
        <w:rPr>
          <w:rFonts w:ascii="Times New Roman" w:hAnsi="Times New Roman" w:cs="Times New Roman"/>
          <w:sz w:val="20"/>
          <w:szCs w:val="20"/>
        </w:rPr>
        <w:t>I</w:t>
      </w:r>
      <w:r w:rsidRPr="0080521D">
        <w:rPr>
          <w:rFonts w:ascii="Times New Roman" w:hAnsi="Times New Roman" w:cs="Times New Roman"/>
          <w:sz w:val="20"/>
          <w:szCs w:val="20"/>
        </w:rPr>
        <w:t xml:space="preserve">n turn, </w:t>
      </w:r>
      <w:r w:rsidR="00392BA2" w:rsidRPr="0080521D">
        <w:rPr>
          <w:rFonts w:ascii="Times New Roman" w:hAnsi="Times New Roman" w:cs="Times New Roman"/>
          <w:sz w:val="20"/>
          <w:szCs w:val="20"/>
        </w:rPr>
        <w:t xml:space="preserve">this </w:t>
      </w:r>
      <w:r w:rsidRPr="0080521D">
        <w:rPr>
          <w:rFonts w:ascii="Times New Roman" w:hAnsi="Times New Roman" w:cs="Times New Roman"/>
          <w:sz w:val="20"/>
          <w:szCs w:val="20"/>
        </w:rPr>
        <w:t>drives the generation of inflammatory cytokines</w:t>
      </w:r>
      <w:r w:rsidR="00EE5D98">
        <w:rPr>
          <w:rFonts w:ascii="Times New Roman" w:hAnsi="Times New Roman" w:cs="Times New Roman"/>
          <w:sz w:val="20"/>
          <w:szCs w:val="20"/>
        </w:rPr>
        <w:t>,</w:t>
      </w:r>
      <w:r w:rsidRPr="0080521D">
        <w:rPr>
          <w:rFonts w:ascii="Times New Roman" w:hAnsi="Times New Roman" w:cs="Times New Roman"/>
          <w:sz w:val="20"/>
          <w:szCs w:val="20"/>
        </w:rPr>
        <w:t xml:space="preserve"> which potentiate</w:t>
      </w:r>
      <w:r w:rsidR="0014046A" w:rsidRPr="0080521D">
        <w:rPr>
          <w:rFonts w:ascii="Times New Roman" w:hAnsi="Times New Roman" w:cs="Times New Roman"/>
          <w:sz w:val="20"/>
          <w:szCs w:val="20"/>
        </w:rPr>
        <w:t>s</w:t>
      </w:r>
      <w:r w:rsidRPr="0080521D">
        <w:rPr>
          <w:rFonts w:ascii="Times New Roman" w:hAnsi="Times New Roman" w:cs="Times New Roman"/>
          <w:sz w:val="20"/>
          <w:szCs w:val="20"/>
        </w:rPr>
        <w:t xml:space="preserve"> insulin resistance and trigger</w:t>
      </w:r>
      <w:r w:rsidR="0014046A" w:rsidRPr="0080521D">
        <w:rPr>
          <w:rFonts w:ascii="Times New Roman" w:hAnsi="Times New Roman" w:cs="Times New Roman"/>
          <w:sz w:val="20"/>
          <w:szCs w:val="20"/>
        </w:rPr>
        <w:t>s</w:t>
      </w:r>
      <w:r w:rsidRPr="0080521D">
        <w:rPr>
          <w:rFonts w:ascii="Times New Roman" w:hAnsi="Times New Roman" w:cs="Times New Roman"/>
          <w:sz w:val="20"/>
          <w:szCs w:val="20"/>
        </w:rPr>
        <w:t xml:space="preserve"> the compensatory hyperinsulinemia that results (Yau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2017). Hyperinsulinemia itself drives hyperandrogenism and the formation of ovarian cysts which contribute towards an increased ovarian volume.</w:t>
      </w:r>
    </w:p>
    <w:p w14:paraId="769DCF7D" w14:textId="3F863854" w:rsidR="00174830" w:rsidRPr="0080521D" w:rsidRDefault="00462E71" w:rsidP="00231AA2">
      <w:pPr>
        <w:spacing w:before="100"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lastRenderedPageBreak/>
        <w:t>Independent of PCOS, BMI has been found to inversely correlate with two time-domain measures of heart rate variability</w:t>
      </w:r>
      <w:r w:rsidR="00EE5D98">
        <w:rPr>
          <w:rFonts w:ascii="Times New Roman" w:hAnsi="Times New Roman" w:cs="Times New Roman"/>
          <w:sz w:val="20"/>
          <w:szCs w:val="20"/>
        </w:rPr>
        <w:t xml:space="preserve"> (HRV)</w:t>
      </w:r>
      <w:r w:rsidRPr="0080521D">
        <w:rPr>
          <w:rFonts w:ascii="Times New Roman" w:hAnsi="Times New Roman" w:cs="Times New Roman"/>
          <w:sz w:val="20"/>
          <w:szCs w:val="20"/>
        </w:rPr>
        <w:t xml:space="preserve">, pNN50 (r= -.284, p =0.029) and rMSSD (r = -.270, p = 0.039) (Koenig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2014). Both measures are predominantly vagally mediated and correlate with increased parasympathetic tone about the ANS (</w:t>
      </w:r>
      <w:r w:rsidRPr="0080521D">
        <w:rPr>
          <w:rFonts w:ascii="Times New Roman" w:hAnsi="Times New Roman" w:cs="Times New Roman"/>
          <w:sz w:val="20"/>
          <w:szCs w:val="20"/>
          <w:shd w:val="clear" w:color="auto" w:fill="FFFFFF"/>
        </w:rPr>
        <w:t>Shaffer &amp; Ginsberg 2017</w:t>
      </w:r>
      <w:r w:rsidRPr="0080521D">
        <w:rPr>
          <w:rFonts w:ascii="Times New Roman" w:hAnsi="Times New Roman" w:cs="Times New Roman"/>
          <w:sz w:val="20"/>
          <w:szCs w:val="20"/>
        </w:rPr>
        <w:t xml:space="preserve">). </w:t>
      </w:r>
      <w:r w:rsidR="00174830" w:rsidRPr="0080521D">
        <w:rPr>
          <w:rFonts w:ascii="Times New Roman" w:hAnsi="Times New Roman" w:cs="Times New Roman"/>
          <w:sz w:val="20"/>
          <w:szCs w:val="20"/>
        </w:rPr>
        <w:t xml:space="preserve">Increased BMI has also been associated with increased sympathetic tone in the kidneys and skeletal muscle </w:t>
      </w:r>
      <w:r w:rsidR="00C24657" w:rsidRPr="0080521D">
        <w:rPr>
          <w:rFonts w:ascii="Times New Roman" w:hAnsi="Times New Roman" w:cs="Times New Roman"/>
          <w:sz w:val="20"/>
          <w:szCs w:val="20"/>
        </w:rPr>
        <w:t xml:space="preserve">(Esler et </w:t>
      </w:r>
      <w:r w:rsidR="00E748A7">
        <w:rPr>
          <w:rFonts w:ascii="Times New Roman" w:hAnsi="Times New Roman" w:cs="Times New Roman"/>
          <w:sz w:val="20"/>
          <w:szCs w:val="20"/>
        </w:rPr>
        <w:t>al.</w:t>
      </w:r>
      <w:r w:rsidR="00C24657" w:rsidRPr="0080521D">
        <w:rPr>
          <w:rFonts w:ascii="Times New Roman" w:hAnsi="Times New Roman" w:cs="Times New Roman"/>
          <w:sz w:val="20"/>
          <w:szCs w:val="20"/>
        </w:rPr>
        <w:t xml:space="preserve"> 2006)</w:t>
      </w:r>
      <w:r w:rsidR="0008219C" w:rsidRPr="0080521D">
        <w:rPr>
          <w:rFonts w:ascii="Times New Roman" w:hAnsi="Times New Roman" w:cs="Times New Roman"/>
          <w:sz w:val="20"/>
          <w:szCs w:val="20"/>
          <w:vertAlign w:val="superscript"/>
        </w:rPr>
        <w:t>8</w:t>
      </w:r>
      <w:r w:rsidR="00C24657" w:rsidRPr="0080521D">
        <w:rPr>
          <w:rFonts w:ascii="Times New Roman" w:hAnsi="Times New Roman" w:cs="Times New Roman"/>
          <w:sz w:val="20"/>
          <w:szCs w:val="20"/>
        </w:rPr>
        <w:t xml:space="preserve">. </w:t>
      </w:r>
      <w:r w:rsidR="005E73B1" w:rsidRPr="0080521D">
        <w:rPr>
          <w:rFonts w:ascii="Times New Roman" w:hAnsi="Times New Roman" w:cs="Times New Roman"/>
          <w:sz w:val="20"/>
          <w:szCs w:val="20"/>
        </w:rPr>
        <w:t>T</w:t>
      </w:r>
      <w:r w:rsidR="00174830" w:rsidRPr="0080521D">
        <w:rPr>
          <w:rFonts w:ascii="Times New Roman" w:hAnsi="Times New Roman" w:cs="Times New Roman"/>
          <w:sz w:val="20"/>
          <w:szCs w:val="20"/>
        </w:rPr>
        <w:t>his association</w:t>
      </w:r>
      <w:r w:rsidR="005E73B1" w:rsidRPr="0080521D">
        <w:rPr>
          <w:rFonts w:ascii="Times New Roman" w:hAnsi="Times New Roman" w:cs="Times New Roman"/>
          <w:sz w:val="20"/>
          <w:szCs w:val="20"/>
        </w:rPr>
        <w:t>,</w:t>
      </w:r>
      <w:r w:rsidR="00174830" w:rsidRPr="0080521D">
        <w:rPr>
          <w:rFonts w:ascii="Times New Roman" w:hAnsi="Times New Roman" w:cs="Times New Roman"/>
          <w:sz w:val="20"/>
          <w:szCs w:val="20"/>
        </w:rPr>
        <w:t xml:space="preserve"> </w:t>
      </w:r>
      <w:r w:rsidR="005E73B1" w:rsidRPr="0080521D">
        <w:rPr>
          <w:rFonts w:ascii="Times New Roman" w:hAnsi="Times New Roman" w:cs="Times New Roman"/>
          <w:sz w:val="20"/>
          <w:szCs w:val="20"/>
        </w:rPr>
        <w:t xml:space="preserve">however, </w:t>
      </w:r>
      <w:r w:rsidR="00174830" w:rsidRPr="0080521D">
        <w:rPr>
          <w:rFonts w:ascii="Times New Roman" w:hAnsi="Times New Roman" w:cs="Times New Roman"/>
          <w:sz w:val="20"/>
          <w:szCs w:val="20"/>
        </w:rPr>
        <w:t xml:space="preserve">has not been directly observed in PCOS (Lambert et </w:t>
      </w:r>
      <w:r w:rsidR="00E748A7">
        <w:rPr>
          <w:rFonts w:ascii="Times New Roman" w:hAnsi="Times New Roman" w:cs="Times New Roman"/>
          <w:sz w:val="20"/>
          <w:szCs w:val="20"/>
        </w:rPr>
        <w:t>al.</w:t>
      </w:r>
      <w:r w:rsidR="00174830" w:rsidRPr="0080521D">
        <w:rPr>
          <w:rFonts w:ascii="Times New Roman" w:hAnsi="Times New Roman" w:cs="Times New Roman"/>
          <w:sz w:val="20"/>
          <w:szCs w:val="20"/>
        </w:rPr>
        <w:t xml:space="preserve"> 2015).</w:t>
      </w:r>
    </w:p>
    <w:p w14:paraId="1265FE10" w14:textId="77777777" w:rsidR="00462E71" w:rsidRPr="0010670E" w:rsidRDefault="00462E71" w:rsidP="00231AA2">
      <w:pPr>
        <w:spacing w:before="100" w:after="100" w:line="240" w:lineRule="auto"/>
        <w:ind w:firstLine="360"/>
        <w:jc w:val="both"/>
        <w:rPr>
          <w:rFonts w:ascii="Times New Roman" w:hAnsi="Times New Roman" w:cs="Times New Roman"/>
          <w:bCs/>
          <w:i/>
          <w:iCs/>
          <w:sz w:val="20"/>
          <w:szCs w:val="20"/>
          <w:u w:val="single"/>
        </w:rPr>
      </w:pPr>
      <w:r w:rsidRPr="0010670E">
        <w:rPr>
          <w:rFonts w:ascii="Times New Roman" w:hAnsi="Times New Roman" w:cs="Times New Roman"/>
          <w:bCs/>
          <w:i/>
          <w:iCs/>
          <w:sz w:val="20"/>
          <w:szCs w:val="20"/>
          <w:u w:val="single"/>
        </w:rPr>
        <w:t>Waist-to-hip ratio (WHR)</w:t>
      </w:r>
    </w:p>
    <w:p w14:paraId="6DD0752A" w14:textId="65D51AC0" w:rsidR="00462E71" w:rsidRPr="0080521D" w:rsidRDefault="00462E71" w:rsidP="00231AA2">
      <w:pPr>
        <w:spacing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As might be expected (given the BMI differences), the WHR’s of PCOS women directly correlate with their BMI’s </w:t>
      </w:r>
      <w:r w:rsidRPr="0080521D">
        <w:rPr>
          <w:rFonts w:ascii="Times New Roman" w:eastAsia="MinionMath-Regular" w:hAnsi="Times New Roman" w:cs="Times New Roman"/>
          <w:sz w:val="20"/>
          <w:szCs w:val="20"/>
        </w:rPr>
        <w:t xml:space="preserve">(e.g., </w:t>
      </w:r>
      <w:r w:rsidR="00A02462" w:rsidRPr="0080521D">
        <w:rPr>
          <w:rFonts w:ascii="Times New Roman" w:hAnsi="Times New Roman" w:cs="Times New Roman"/>
          <w:bCs/>
          <w:sz w:val="20"/>
          <w:szCs w:val="20"/>
        </w:rPr>
        <w:t>Hashim et al. 2015</w:t>
      </w:r>
      <w:r w:rsidR="00A02462" w:rsidRPr="0080521D">
        <w:rPr>
          <w:rFonts w:ascii="Times New Roman" w:hAnsi="Times New Roman" w:cs="Times New Roman"/>
          <w:bCs/>
          <w:sz w:val="20"/>
          <w:szCs w:val="20"/>
          <w:vertAlign w:val="superscript"/>
        </w:rPr>
        <w:t>9</w:t>
      </w:r>
      <w:r w:rsidR="00A02462">
        <w:rPr>
          <w:rFonts w:ascii="Times New Roman" w:hAnsi="Times New Roman" w:cs="Times New Roman"/>
          <w:bCs/>
          <w:sz w:val="20"/>
          <w:szCs w:val="20"/>
        </w:rPr>
        <w:t xml:space="preserve">; </w:t>
      </w:r>
      <w:r w:rsidR="00A02462" w:rsidRPr="0080521D">
        <w:rPr>
          <w:rFonts w:ascii="Times New Roman" w:hAnsi="Times New Roman" w:cs="Times New Roman"/>
          <w:bCs/>
          <w:sz w:val="20"/>
          <w:szCs w:val="20"/>
        </w:rPr>
        <w:t>Lu and Guo 2016</w:t>
      </w:r>
      <w:r w:rsidR="00A02462">
        <w:rPr>
          <w:rFonts w:ascii="Times New Roman" w:hAnsi="Times New Roman" w:cs="Times New Roman"/>
          <w:bCs/>
          <w:sz w:val="20"/>
          <w:szCs w:val="20"/>
        </w:rPr>
        <w:t>; M</w:t>
      </w:r>
      <w:r w:rsidRPr="0080521D">
        <w:rPr>
          <w:rFonts w:ascii="Times New Roman" w:hAnsi="Times New Roman" w:cs="Times New Roman"/>
          <w:bCs/>
          <w:sz w:val="20"/>
          <w:szCs w:val="20"/>
        </w:rPr>
        <w:t xml:space="preserve">ondragón-Ceballos et </w:t>
      </w:r>
      <w:r w:rsidR="00E748A7">
        <w:rPr>
          <w:rFonts w:ascii="Times New Roman" w:hAnsi="Times New Roman" w:cs="Times New Roman"/>
          <w:bCs/>
          <w:sz w:val="20"/>
          <w:szCs w:val="20"/>
        </w:rPr>
        <w:t>al.</w:t>
      </w:r>
      <w:r w:rsidRPr="0080521D">
        <w:rPr>
          <w:rFonts w:ascii="Times New Roman" w:hAnsi="Times New Roman" w:cs="Times New Roman"/>
          <w:bCs/>
          <w:sz w:val="20"/>
          <w:szCs w:val="20"/>
        </w:rPr>
        <w:t xml:space="preserve"> 2015) and, similarly to their BMI’s, to lower values of a time</w:t>
      </w:r>
      <w:r w:rsidR="006A7AAF" w:rsidRPr="0080521D">
        <w:rPr>
          <w:rFonts w:ascii="Times New Roman" w:hAnsi="Times New Roman" w:cs="Times New Roman"/>
          <w:bCs/>
          <w:sz w:val="20"/>
          <w:szCs w:val="20"/>
        </w:rPr>
        <w:t>-</w:t>
      </w:r>
      <w:r w:rsidRPr="0080521D">
        <w:rPr>
          <w:rFonts w:ascii="Times New Roman" w:hAnsi="Times New Roman" w:cs="Times New Roman"/>
          <w:bCs/>
          <w:sz w:val="20"/>
          <w:szCs w:val="20"/>
        </w:rPr>
        <w:t xml:space="preserve">domain </w:t>
      </w:r>
      <w:r w:rsidR="00EE5D98">
        <w:rPr>
          <w:rFonts w:ascii="Times New Roman" w:hAnsi="Times New Roman" w:cs="Times New Roman"/>
          <w:bCs/>
          <w:sz w:val="20"/>
          <w:szCs w:val="20"/>
        </w:rPr>
        <w:t xml:space="preserve">HRV </w:t>
      </w:r>
      <w:r w:rsidRPr="0080521D">
        <w:rPr>
          <w:rFonts w:ascii="Times New Roman" w:hAnsi="Times New Roman" w:cs="Times New Roman"/>
          <w:bCs/>
          <w:sz w:val="20"/>
          <w:szCs w:val="20"/>
        </w:rPr>
        <w:t>index, SDNN</w:t>
      </w:r>
      <w:r w:rsidR="0008219C" w:rsidRPr="0080521D">
        <w:rPr>
          <w:rFonts w:ascii="Times New Roman" w:hAnsi="Times New Roman" w:cs="Times New Roman"/>
          <w:bCs/>
          <w:sz w:val="20"/>
          <w:szCs w:val="20"/>
          <w:vertAlign w:val="superscript"/>
        </w:rPr>
        <w:t>10</w:t>
      </w:r>
      <w:r w:rsidRPr="0080521D">
        <w:rPr>
          <w:rFonts w:ascii="Times New Roman" w:hAnsi="Times New Roman" w:cs="Times New Roman"/>
          <w:bCs/>
          <w:sz w:val="20"/>
          <w:szCs w:val="20"/>
        </w:rPr>
        <w:t xml:space="preserve"> in this case.</w:t>
      </w:r>
    </w:p>
    <w:p w14:paraId="712BC5CA" w14:textId="6FB7B7ED" w:rsidR="00462E71" w:rsidRPr="0080521D" w:rsidRDefault="00A40EBC" w:rsidP="00231AA2">
      <w:pPr>
        <w:spacing w:before="100" w:after="0" w:line="240" w:lineRule="auto"/>
        <w:ind w:firstLine="720"/>
        <w:jc w:val="both"/>
        <w:rPr>
          <w:rFonts w:ascii="Times New Roman" w:hAnsi="Times New Roman" w:cs="Times New Roman"/>
          <w:sz w:val="20"/>
          <w:szCs w:val="20"/>
          <w:shd w:val="clear" w:color="auto" w:fill="FFFFFF"/>
        </w:rPr>
      </w:pPr>
      <w:r w:rsidRPr="0080521D">
        <w:rPr>
          <w:rFonts w:ascii="Times New Roman" w:hAnsi="Times New Roman" w:cs="Times New Roman"/>
          <w:sz w:val="20"/>
          <w:szCs w:val="20"/>
        </w:rPr>
        <w:t xml:space="preserve">Metabolic </w:t>
      </w:r>
      <w:r w:rsidR="00462E71" w:rsidRPr="0080521D">
        <w:rPr>
          <w:rFonts w:ascii="Times New Roman" w:hAnsi="Times New Roman" w:cs="Times New Roman"/>
          <w:sz w:val="20"/>
          <w:szCs w:val="20"/>
        </w:rPr>
        <w:t xml:space="preserve">correlates of WHR, independent of PCOS, include higher free testosterone levels (Mondragon-Ceballos et </w:t>
      </w:r>
      <w:r w:rsidR="00E748A7">
        <w:rPr>
          <w:rFonts w:ascii="Times New Roman" w:hAnsi="Times New Roman" w:cs="Times New Roman"/>
          <w:sz w:val="20"/>
          <w:szCs w:val="20"/>
        </w:rPr>
        <w:t>al.</w:t>
      </w:r>
      <w:r w:rsidR="00462E71" w:rsidRPr="0080521D">
        <w:rPr>
          <w:rFonts w:ascii="Times New Roman" w:hAnsi="Times New Roman" w:cs="Times New Roman"/>
          <w:sz w:val="20"/>
          <w:szCs w:val="20"/>
        </w:rPr>
        <w:t xml:space="preserve"> 2015; van Anders</w:t>
      </w:r>
      <w:r w:rsidR="00D151A1" w:rsidRPr="0080521D">
        <w:rPr>
          <w:rFonts w:ascii="Times New Roman" w:hAnsi="Times New Roman" w:cs="Times New Roman"/>
          <w:sz w:val="20"/>
          <w:szCs w:val="20"/>
        </w:rPr>
        <w:t xml:space="preserve"> and </w:t>
      </w:r>
      <w:r w:rsidR="00462E71" w:rsidRPr="0080521D">
        <w:rPr>
          <w:rFonts w:ascii="Times New Roman" w:hAnsi="Times New Roman" w:cs="Times New Roman"/>
          <w:sz w:val="20"/>
          <w:szCs w:val="20"/>
        </w:rPr>
        <w:t>Hampson 2005) and lower levels of SHBG (Santoro et al. 2005). Franik et al. (2017)</w:t>
      </w:r>
      <w:r w:rsidR="00EE5D98">
        <w:rPr>
          <w:rFonts w:ascii="Times New Roman" w:hAnsi="Times New Roman" w:cs="Times New Roman"/>
          <w:sz w:val="20"/>
          <w:szCs w:val="20"/>
        </w:rPr>
        <w:t>,</w:t>
      </w:r>
      <w:r w:rsidR="002B0C19">
        <w:rPr>
          <w:rFonts w:ascii="Times New Roman" w:hAnsi="Times New Roman" w:cs="Times New Roman"/>
          <w:sz w:val="20"/>
          <w:szCs w:val="20"/>
        </w:rPr>
        <w:t xml:space="preserve"> </w:t>
      </w:r>
      <w:r w:rsidR="00462E71" w:rsidRPr="0080521D">
        <w:rPr>
          <w:rFonts w:ascii="Times New Roman" w:hAnsi="Times New Roman" w:cs="Times New Roman"/>
          <w:sz w:val="20"/>
          <w:szCs w:val="20"/>
        </w:rPr>
        <w:t>using women with classic PCOS with WHR’s of ≥ 0.8</w:t>
      </w:r>
      <w:r w:rsidR="00EE5D98">
        <w:rPr>
          <w:rFonts w:ascii="Times New Roman" w:hAnsi="Times New Roman" w:cs="Times New Roman"/>
          <w:sz w:val="20"/>
          <w:szCs w:val="20"/>
        </w:rPr>
        <w:t>,</w:t>
      </w:r>
      <w:r w:rsidR="00462E71" w:rsidRPr="0080521D">
        <w:rPr>
          <w:rFonts w:ascii="Times New Roman" w:hAnsi="Times New Roman" w:cs="Times New Roman"/>
          <w:sz w:val="20"/>
          <w:szCs w:val="20"/>
        </w:rPr>
        <w:t xml:space="preserve"> found significantly </w:t>
      </w:r>
      <w:r w:rsidR="00462E71" w:rsidRPr="0080521D">
        <w:rPr>
          <w:rFonts w:ascii="Times New Roman" w:hAnsi="Times New Roman" w:cs="Times New Roman"/>
          <w:sz w:val="20"/>
          <w:szCs w:val="20"/>
          <w:shd w:val="clear" w:color="auto" w:fill="FFFFFF"/>
        </w:rPr>
        <w:t xml:space="preserve">higher concentrations of glucose </w:t>
      </w:r>
      <w:r w:rsidR="00EE5D98">
        <w:rPr>
          <w:rFonts w:ascii="Times New Roman" w:hAnsi="Times New Roman" w:cs="Times New Roman"/>
          <w:sz w:val="20"/>
          <w:szCs w:val="20"/>
          <w:shd w:val="clear" w:color="auto" w:fill="FFFFFF"/>
        </w:rPr>
        <w:t>and</w:t>
      </w:r>
      <w:r w:rsidR="00462E71" w:rsidRPr="0080521D">
        <w:rPr>
          <w:rFonts w:ascii="Times New Roman" w:hAnsi="Times New Roman" w:cs="Times New Roman"/>
          <w:sz w:val="20"/>
          <w:szCs w:val="20"/>
          <w:shd w:val="clear" w:color="auto" w:fill="FFFFFF"/>
        </w:rPr>
        <w:t xml:space="preserve"> insulin</w:t>
      </w:r>
      <w:r w:rsidR="00EE5D98">
        <w:rPr>
          <w:rFonts w:ascii="Times New Roman" w:hAnsi="Times New Roman" w:cs="Times New Roman"/>
          <w:sz w:val="20"/>
          <w:szCs w:val="20"/>
          <w:shd w:val="clear" w:color="auto" w:fill="FFFFFF"/>
        </w:rPr>
        <w:t>,</w:t>
      </w:r>
      <w:r w:rsidR="00462E71" w:rsidRPr="0080521D">
        <w:rPr>
          <w:rFonts w:ascii="Times New Roman" w:hAnsi="Times New Roman" w:cs="Times New Roman"/>
          <w:sz w:val="20"/>
          <w:szCs w:val="20"/>
          <w:shd w:val="clear" w:color="auto" w:fill="FFFFFF"/>
        </w:rPr>
        <w:t xml:space="preserve"> and significantly higher insulin resistance levels in them compared to controls.</w:t>
      </w:r>
    </w:p>
    <w:p w14:paraId="374FC833" w14:textId="77777777" w:rsidR="00462E71" w:rsidRPr="0010670E" w:rsidRDefault="00462E71" w:rsidP="00231AA2">
      <w:pPr>
        <w:spacing w:before="100" w:after="100" w:line="240" w:lineRule="auto"/>
        <w:ind w:firstLine="360"/>
        <w:jc w:val="both"/>
        <w:rPr>
          <w:rFonts w:ascii="Times New Roman" w:hAnsi="Times New Roman" w:cs="Times New Roman"/>
          <w:bCs/>
          <w:i/>
          <w:iCs/>
          <w:sz w:val="20"/>
          <w:szCs w:val="20"/>
          <w:u w:val="single"/>
        </w:rPr>
      </w:pPr>
      <w:r w:rsidRPr="0010670E">
        <w:rPr>
          <w:rFonts w:ascii="Times New Roman" w:hAnsi="Times New Roman" w:cs="Times New Roman"/>
          <w:bCs/>
          <w:i/>
          <w:iCs/>
          <w:sz w:val="20"/>
          <w:szCs w:val="20"/>
          <w:u w:val="single"/>
        </w:rPr>
        <w:t xml:space="preserve">Central abdomen adiposity </w:t>
      </w:r>
    </w:p>
    <w:p w14:paraId="0AC02313" w14:textId="47950ABD" w:rsidR="00462E71" w:rsidRPr="0080521D" w:rsidRDefault="00462E71" w:rsidP="00231AA2">
      <w:pPr>
        <w:spacing w:after="0" w:line="240" w:lineRule="auto"/>
        <w:ind w:firstLine="720"/>
        <w:jc w:val="both"/>
        <w:rPr>
          <w:rFonts w:ascii="Times New Roman" w:hAnsi="Times New Roman" w:cs="Times New Roman"/>
          <w:sz w:val="20"/>
          <w:szCs w:val="20"/>
          <w:shd w:val="clear" w:color="auto" w:fill="FFFFFF"/>
        </w:rPr>
      </w:pPr>
      <w:r w:rsidRPr="0080521D">
        <w:rPr>
          <w:rFonts w:ascii="Times New Roman" w:hAnsi="Times New Roman" w:cs="Times New Roman"/>
          <w:sz w:val="20"/>
          <w:szCs w:val="20"/>
          <w:shd w:val="clear" w:color="auto" w:fill="FFFFFF"/>
        </w:rPr>
        <w:t>Central abdomen adiposity in women with PCOS is associated with elevated fasting insulin levels (Mean Difference (MD): 95.00; 95 CI [54.81, 135.19], </w:t>
      </w:r>
      <w:r w:rsidRPr="0080521D">
        <w:rPr>
          <w:rFonts w:ascii="Times New Roman" w:hAnsi="Times New Roman" w:cs="Times New Roman"/>
          <w:iCs/>
          <w:sz w:val="20"/>
          <w:szCs w:val="20"/>
          <w:shd w:val="clear" w:color="auto" w:fill="FFFFFF"/>
        </w:rPr>
        <w:t>p</w:t>
      </w:r>
      <w:r w:rsidRPr="0080521D">
        <w:rPr>
          <w:rFonts w:ascii="Times New Roman" w:hAnsi="Times New Roman" w:cs="Times New Roman"/>
          <w:sz w:val="20"/>
          <w:szCs w:val="20"/>
          <w:shd w:val="clear" w:color="auto" w:fill="FFFFFF"/>
        </w:rPr>
        <w:t xml:space="preserve"> &lt; 0.001) and predicts the development of Type 2 diabetes and cardiovascular disease (see Lim et </w:t>
      </w:r>
      <w:r w:rsidR="00E748A7">
        <w:rPr>
          <w:rFonts w:ascii="Times New Roman" w:hAnsi="Times New Roman" w:cs="Times New Roman"/>
          <w:sz w:val="20"/>
          <w:szCs w:val="20"/>
          <w:shd w:val="clear" w:color="auto" w:fill="FFFFFF"/>
        </w:rPr>
        <w:t>al.</w:t>
      </w:r>
      <w:r w:rsidRPr="0080521D">
        <w:rPr>
          <w:rFonts w:ascii="Times New Roman" w:hAnsi="Times New Roman" w:cs="Times New Roman"/>
          <w:sz w:val="20"/>
          <w:szCs w:val="20"/>
          <w:shd w:val="clear" w:color="auto" w:fill="FFFFFF"/>
        </w:rPr>
        <w:t xml:space="preserve"> 2013 for a meta-analysis)  </w:t>
      </w:r>
    </w:p>
    <w:p w14:paraId="080E3B84" w14:textId="723B0AE4" w:rsidR="00462E71" w:rsidRPr="0080521D" w:rsidRDefault="00462E71" w:rsidP="00231AA2">
      <w:pPr>
        <w:spacing w:before="100" w:after="100" w:line="240" w:lineRule="auto"/>
        <w:ind w:firstLine="720"/>
        <w:jc w:val="both"/>
        <w:rPr>
          <w:rFonts w:ascii="Times New Roman" w:hAnsi="Times New Roman" w:cs="Times New Roman"/>
          <w:sz w:val="20"/>
          <w:szCs w:val="20"/>
          <w:shd w:val="clear" w:color="auto" w:fill="FFFFFF"/>
        </w:rPr>
      </w:pPr>
      <w:r w:rsidRPr="0080521D">
        <w:rPr>
          <w:rFonts w:ascii="Times New Roman" w:hAnsi="Times New Roman" w:cs="Times New Roman"/>
          <w:sz w:val="20"/>
          <w:szCs w:val="20"/>
          <w:shd w:val="clear" w:color="auto" w:fill="FFFFFF"/>
        </w:rPr>
        <w:t xml:space="preserve">Central adiposity is also associated with FAI (von Ruesten et </w:t>
      </w:r>
      <w:r w:rsidR="00E748A7">
        <w:rPr>
          <w:rFonts w:ascii="Times New Roman" w:hAnsi="Times New Roman" w:cs="Times New Roman"/>
          <w:sz w:val="20"/>
          <w:szCs w:val="20"/>
          <w:shd w:val="clear" w:color="auto" w:fill="FFFFFF"/>
        </w:rPr>
        <w:t>al.</w:t>
      </w:r>
      <w:r w:rsidRPr="0080521D">
        <w:rPr>
          <w:rFonts w:ascii="Times New Roman" w:hAnsi="Times New Roman" w:cs="Times New Roman"/>
          <w:sz w:val="20"/>
          <w:szCs w:val="20"/>
          <w:shd w:val="clear" w:color="auto" w:fill="FFFFFF"/>
        </w:rPr>
        <w:t xml:space="preserve"> 2011) and, in some studies, significantly higher levels of total testosterone (TT) (Pasquali et </w:t>
      </w:r>
      <w:r w:rsidR="00E748A7">
        <w:rPr>
          <w:rFonts w:ascii="Times New Roman" w:hAnsi="Times New Roman" w:cs="Times New Roman"/>
          <w:sz w:val="20"/>
          <w:szCs w:val="20"/>
          <w:shd w:val="clear" w:color="auto" w:fill="FFFFFF"/>
        </w:rPr>
        <w:t>al.</w:t>
      </w:r>
      <w:r w:rsidRPr="0080521D">
        <w:rPr>
          <w:rFonts w:ascii="Times New Roman" w:hAnsi="Times New Roman" w:cs="Times New Roman"/>
          <w:sz w:val="20"/>
          <w:szCs w:val="20"/>
          <w:shd w:val="clear" w:color="auto" w:fill="FFFFFF"/>
        </w:rPr>
        <w:t xml:space="preserve"> 1994; Svendsen et </w:t>
      </w:r>
      <w:r w:rsidR="00E748A7">
        <w:rPr>
          <w:rFonts w:ascii="Times New Roman" w:hAnsi="Times New Roman" w:cs="Times New Roman"/>
          <w:sz w:val="20"/>
          <w:szCs w:val="20"/>
          <w:shd w:val="clear" w:color="auto" w:fill="FFFFFF"/>
        </w:rPr>
        <w:t>al.</w:t>
      </w:r>
      <w:r w:rsidRPr="0080521D">
        <w:rPr>
          <w:rFonts w:ascii="Times New Roman" w:hAnsi="Times New Roman" w:cs="Times New Roman"/>
          <w:sz w:val="20"/>
          <w:szCs w:val="20"/>
          <w:shd w:val="clear" w:color="auto" w:fill="FFFFFF"/>
        </w:rPr>
        <w:t xml:space="preserve"> 2008), but as Lim et al</w:t>
      </w:r>
      <w:r w:rsidR="00FF3C98" w:rsidRPr="0080521D">
        <w:rPr>
          <w:rFonts w:ascii="Times New Roman" w:hAnsi="Times New Roman" w:cs="Times New Roman"/>
          <w:sz w:val="20"/>
          <w:szCs w:val="20"/>
          <w:shd w:val="clear" w:color="auto" w:fill="FFFFFF"/>
        </w:rPr>
        <w:t>.</w:t>
      </w:r>
      <w:r w:rsidRPr="0080521D">
        <w:rPr>
          <w:rFonts w:ascii="Times New Roman" w:hAnsi="Times New Roman" w:cs="Times New Roman"/>
          <w:sz w:val="20"/>
          <w:szCs w:val="20"/>
          <w:shd w:val="clear" w:color="auto" w:fill="FFFFFF"/>
        </w:rPr>
        <w:t>’s (2013) meta-analysis noted</w:t>
      </w:r>
      <w:r w:rsidR="00EE5D98">
        <w:rPr>
          <w:rFonts w:ascii="Times New Roman" w:hAnsi="Times New Roman" w:cs="Times New Roman"/>
          <w:sz w:val="20"/>
          <w:szCs w:val="20"/>
          <w:shd w:val="clear" w:color="auto" w:fill="FFFFFF"/>
        </w:rPr>
        <w:t>,</w:t>
      </w:r>
      <w:r w:rsidRPr="0080521D">
        <w:rPr>
          <w:rFonts w:ascii="Times New Roman" w:hAnsi="Times New Roman" w:cs="Times New Roman"/>
          <w:sz w:val="20"/>
          <w:szCs w:val="20"/>
          <w:shd w:val="clear" w:color="auto" w:fill="FFFFFF"/>
        </w:rPr>
        <w:t xml:space="preserve"> the association was not consistent (e.g., Godoy-Matos et </w:t>
      </w:r>
      <w:r w:rsidR="00E748A7">
        <w:rPr>
          <w:rFonts w:ascii="Times New Roman" w:hAnsi="Times New Roman" w:cs="Times New Roman"/>
          <w:sz w:val="20"/>
          <w:szCs w:val="20"/>
          <w:shd w:val="clear" w:color="auto" w:fill="FFFFFF"/>
        </w:rPr>
        <w:t>al.</w:t>
      </w:r>
      <w:r w:rsidRPr="0080521D">
        <w:rPr>
          <w:rFonts w:ascii="Times New Roman" w:hAnsi="Times New Roman" w:cs="Times New Roman"/>
          <w:sz w:val="20"/>
          <w:szCs w:val="20"/>
          <w:shd w:val="clear" w:color="auto" w:fill="FFFFFF"/>
        </w:rPr>
        <w:t xml:space="preserve"> 2009). No other endocrine parameter reached significance in the meta-analysis. </w:t>
      </w:r>
    </w:p>
    <w:p w14:paraId="250DDF7E" w14:textId="6E750A7F" w:rsidR="00462E71" w:rsidRPr="0080521D" w:rsidRDefault="00462E71" w:rsidP="00231AA2">
      <w:pPr>
        <w:spacing w:after="0" w:line="240" w:lineRule="auto"/>
        <w:ind w:firstLine="720"/>
        <w:jc w:val="both"/>
        <w:rPr>
          <w:rFonts w:ascii="Times New Roman" w:hAnsi="Times New Roman" w:cs="Times New Roman"/>
          <w:sz w:val="20"/>
          <w:szCs w:val="20"/>
          <w:shd w:val="clear" w:color="auto" w:fill="FFFFFF"/>
        </w:rPr>
      </w:pPr>
      <w:r w:rsidRPr="0080521D">
        <w:rPr>
          <w:rFonts w:ascii="Times New Roman" w:hAnsi="Times New Roman" w:cs="Times New Roman"/>
          <w:sz w:val="20"/>
          <w:szCs w:val="20"/>
          <w:shd w:val="clear" w:color="auto" w:fill="FFFFFF"/>
        </w:rPr>
        <w:t xml:space="preserve">To the author’s knowledge, </w:t>
      </w:r>
      <w:r w:rsidR="00874490" w:rsidRPr="0080521D">
        <w:rPr>
          <w:rFonts w:ascii="Times New Roman" w:hAnsi="Times New Roman" w:cs="Times New Roman"/>
          <w:sz w:val="20"/>
          <w:szCs w:val="20"/>
          <w:shd w:val="clear" w:color="auto" w:fill="FFFFFF"/>
        </w:rPr>
        <w:t>a</w:t>
      </w:r>
      <w:r w:rsidR="001E08A4" w:rsidRPr="0080521D">
        <w:rPr>
          <w:rFonts w:ascii="Times New Roman" w:hAnsi="Times New Roman" w:cs="Times New Roman"/>
          <w:sz w:val="20"/>
          <w:szCs w:val="20"/>
          <w:shd w:val="clear" w:color="auto" w:fill="FFFFFF"/>
        </w:rPr>
        <w:t xml:space="preserve"> </w:t>
      </w:r>
      <w:r w:rsidR="00DD29DD" w:rsidRPr="0080521D">
        <w:rPr>
          <w:rFonts w:ascii="Times New Roman" w:hAnsi="Times New Roman" w:cs="Times New Roman"/>
          <w:sz w:val="20"/>
          <w:szCs w:val="20"/>
          <w:shd w:val="clear" w:color="auto" w:fill="FFFFFF"/>
        </w:rPr>
        <w:t xml:space="preserve">potential </w:t>
      </w:r>
      <w:r w:rsidR="00874490" w:rsidRPr="0080521D">
        <w:rPr>
          <w:rFonts w:ascii="Times New Roman" w:hAnsi="Times New Roman" w:cs="Times New Roman"/>
          <w:sz w:val="20"/>
          <w:szCs w:val="20"/>
          <w:shd w:val="clear" w:color="auto" w:fill="FFFFFF"/>
        </w:rPr>
        <w:t xml:space="preserve">link </w:t>
      </w:r>
      <w:r w:rsidRPr="0080521D">
        <w:rPr>
          <w:rFonts w:ascii="Times New Roman" w:hAnsi="Times New Roman" w:cs="Times New Roman"/>
          <w:sz w:val="20"/>
          <w:szCs w:val="20"/>
          <w:shd w:val="clear" w:color="auto" w:fill="FFFFFF"/>
        </w:rPr>
        <w:t>between central adiposity and autonomic system functioning in PCOS women</w:t>
      </w:r>
      <w:r w:rsidR="00AF437B" w:rsidRPr="0080521D">
        <w:rPr>
          <w:rFonts w:ascii="Times New Roman" w:hAnsi="Times New Roman" w:cs="Times New Roman"/>
          <w:sz w:val="20"/>
          <w:szCs w:val="20"/>
          <w:shd w:val="clear" w:color="auto" w:fill="FFFFFF"/>
        </w:rPr>
        <w:t xml:space="preserve"> has not been </w:t>
      </w:r>
      <w:r w:rsidR="001C79FE" w:rsidRPr="0080521D">
        <w:rPr>
          <w:rFonts w:ascii="Times New Roman" w:hAnsi="Times New Roman" w:cs="Times New Roman"/>
          <w:sz w:val="20"/>
          <w:szCs w:val="20"/>
          <w:shd w:val="clear" w:color="auto" w:fill="FFFFFF"/>
        </w:rPr>
        <w:t xml:space="preserve">established or </w:t>
      </w:r>
      <w:r w:rsidR="00AF437B" w:rsidRPr="0080521D">
        <w:rPr>
          <w:rFonts w:ascii="Times New Roman" w:hAnsi="Times New Roman" w:cs="Times New Roman"/>
          <w:sz w:val="20"/>
          <w:szCs w:val="20"/>
          <w:shd w:val="clear" w:color="auto" w:fill="FFFFFF"/>
        </w:rPr>
        <w:t>studied</w:t>
      </w:r>
      <w:r w:rsidR="00F268AC" w:rsidRPr="0080521D">
        <w:rPr>
          <w:rFonts w:ascii="Times New Roman" w:hAnsi="Times New Roman" w:cs="Times New Roman"/>
          <w:sz w:val="20"/>
          <w:szCs w:val="20"/>
          <w:shd w:val="clear" w:color="auto" w:fill="FFFFFF"/>
        </w:rPr>
        <w:t xml:space="preserve"> though </w:t>
      </w:r>
      <w:r w:rsidR="00AF7CBE" w:rsidRPr="0080521D">
        <w:rPr>
          <w:rFonts w:ascii="Times New Roman" w:hAnsi="Times New Roman" w:cs="Times New Roman"/>
          <w:sz w:val="20"/>
          <w:szCs w:val="20"/>
          <w:shd w:val="clear" w:color="auto" w:fill="FFFFFF"/>
        </w:rPr>
        <w:t>there is certainly th</w:t>
      </w:r>
      <w:r w:rsidR="00D82F76" w:rsidRPr="0080521D">
        <w:rPr>
          <w:rFonts w:ascii="Times New Roman" w:hAnsi="Times New Roman" w:cs="Times New Roman"/>
          <w:sz w:val="20"/>
          <w:szCs w:val="20"/>
          <w:shd w:val="clear" w:color="auto" w:fill="FFFFFF"/>
        </w:rPr>
        <w:t xml:space="preserve">at possibility. </w:t>
      </w:r>
      <w:r w:rsidRPr="0080521D">
        <w:rPr>
          <w:rFonts w:ascii="Times New Roman" w:hAnsi="Times New Roman" w:cs="Times New Roman"/>
          <w:sz w:val="20"/>
          <w:szCs w:val="20"/>
          <w:shd w:val="clear" w:color="auto" w:fill="FFFFFF"/>
        </w:rPr>
        <w:t>In a study comparing high BMI</w:t>
      </w:r>
      <w:r w:rsidR="0008219C" w:rsidRPr="0080521D">
        <w:rPr>
          <w:rFonts w:ascii="Times New Roman" w:hAnsi="Times New Roman" w:cs="Times New Roman"/>
          <w:sz w:val="20"/>
          <w:szCs w:val="20"/>
          <w:shd w:val="clear" w:color="auto" w:fill="FFFFFF"/>
          <w:vertAlign w:val="superscript"/>
        </w:rPr>
        <w:t>11</w:t>
      </w:r>
      <w:r w:rsidRPr="0080521D">
        <w:rPr>
          <w:rFonts w:ascii="Times New Roman" w:hAnsi="Times New Roman" w:cs="Times New Roman"/>
          <w:sz w:val="20"/>
          <w:szCs w:val="20"/>
          <w:shd w:val="clear" w:color="auto" w:fill="FFFFFF"/>
        </w:rPr>
        <w:t xml:space="preserve"> abdominal visceral fat men (HVFM) with BMI controls, the HVFM</w:t>
      </w:r>
      <w:r w:rsidR="009778D9" w:rsidRPr="0080521D">
        <w:rPr>
          <w:rFonts w:ascii="Times New Roman" w:hAnsi="Times New Roman" w:cs="Times New Roman"/>
          <w:sz w:val="20"/>
          <w:szCs w:val="20"/>
          <w:shd w:val="clear" w:color="auto" w:fill="FFFFFF"/>
        </w:rPr>
        <w:t xml:space="preserve"> </w:t>
      </w:r>
      <w:r w:rsidR="00BF4E1C" w:rsidRPr="0080521D">
        <w:rPr>
          <w:rFonts w:ascii="Times New Roman" w:hAnsi="Times New Roman" w:cs="Times New Roman"/>
          <w:sz w:val="20"/>
          <w:szCs w:val="20"/>
          <w:shd w:val="clear" w:color="auto" w:fill="FFFFFF"/>
        </w:rPr>
        <w:t xml:space="preserve">produced </w:t>
      </w:r>
      <w:r w:rsidRPr="0080521D">
        <w:rPr>
          <w:rFonts w:ascii="Times New Roman" w:hAnsi="Times New Roman" w:cs="Times New Roman"/>
          <w:sz w:val="20"/>
          <w:szCs w:val="20"/>
          <w:shd w:val="clear" w:color="auto" w:fill="FFFFFF"/>
        </w:rPr>
        <w:t xml:space="preserve">55% higher muscle sympathetic nerve activity (MSNA) activity. Furthermore, MSNA activity correlated with </w:t>
      </w:r>
      <w:r w:rsidRPr="0080521D">
        <w:rPr>
          <w:rFonts w:ascii="Times New Roman" w:hAnsi="Times New Roman" w:cs="Times New Roman"/>
          <w:sz w:val="20"/>
          <w:szCs w:val="20"/>
        </w:rPr>
        <w:t>abdominal subcutaneous fat (</w:t>
      </w:r>
      <w:r w:rsidRPr="0080521D">
        <w:rPr>
          <w:rFonts w:ascii="Times New Roman" w:hAnsi="Times New Roman" w:cs="Times New Roman"/>
          <w:i/>
          <w:iCs/>
          <w:sz w:val="20"/>
          <w:szCs w:val="20"/>
        </w:rPr>
        <w:t>r</w:t>
      </w:r>
      <w:r w:rsidRPr="0080521D">
        <w:rPr>
          <w:rFonts w:ascii="Times New Roman" w:hAnsi="Times New Roman" w:cs="Times New Roman"/>
          <w:sz w:val="20"/>
          <w:szCs w:val="20"/>
        </w:rPr>
        <w:t xml:space="preserve">=0.27, </w:t>
      </w:r>
      <w:r w:rsidRPr="0080521D">
        <w:rPr>
          <w:rFonts w:ascii="Times New Roman" w:hAnsi="Times New Roman" w:cs="Times New Roman"/>
          <w:i/>
          <w:iCs/>
          <w:sz w:val="20"/>
          <w:szCs w:val="20"/>
        </w:rPr>
        <w:t xml:space="preserve">p &lt; </w:t>
      </w:r>
      <w:r w:rsidRPr="0080521D">
        <w:rPr>
          <w:rFonts w:ascii="Times New Roman" w:hAnsi="Times New Roman" w:cs="Times New Roman"/>
          <w:sz w:val="20"/>
          <w:szCs w:val="20"/>
        </w:rPr>
        <w:t xml:space="preserve">0.05) (Alvarez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2002).</w:t>
      </w:r>
    </w:p>
    <w:p w14:paraId="2043A284" w14:textId="77777777" w:rsidR="00462E71" w:rsidRPr="0080521D" w:rsidRDefault="00462E71" w:rsidP="00231AA2">
      <w:pPr>
        <w:spacing w:before="100" w:after="100" w:line="240" w:lineRule="auto"/>
        <w:jc w:val="both"/>
        <w:rPr>
          <w:rFonts w:ascii="Times New Roman" w:hAnsi="Times New Roman" w:cs="Times New Roman"/>
          <w:bCs/>
          <w:i/>
          <w:iCs/>
          <w:sz w:val="20"/>
          <w:szCs w:val="20"/>
          <w:shd w:val="clear" w:color="auto" w:fill="FFFFFF"/>
        </w:rPr>
      </w:pPr>
      <w:r w:rsidRPr="0080521D">
        <w:rPr>
          <w:rFonts w:ascii="Times New Roman" w:hAnsi="Times New Roman" w:cs="Times New Roman"/>
          <w:bCs/>
          <w:i/>
          <w:iCs/>
          <w:sz w:val="20"/>
          <w:szCs w:val="20"/>
          <w:shd w:val="clear" w:color="auto" w:fill="FFFFFF"/>
        </w:rPr>
        <w:t>Conclusions</w:t>
      </w:r>
    </w:p>
    <w:p w14:paraId="6DBD0224" w14:textId="2095B56A" w:rsidR="00462E71" w:rsidRPr="0080521D" w:rsidRDefault="00462E71" w:rsidP="00231AA2">
      <w:pPr>
        <w:spacing w:after="0" w:line="240" w:lineRule="auto"/>
        <w:ind w:firstLine="720"/>
        <w:jc w:val="both"/>
        <w:rPr>
          <w:rFonts w:ascii="Times New Roman" w:hAnsi="Times New Roman" w:cs="Times New Roman"/>
          <w:sz w:val="20"/>
          <w:szCs w:val="20"/>
          <w:shd w:val="clear" w:color="auto" w:fill="FFFFFF"/>
        </w:rPr>
      </w:pPr>
      <w:r w:rsidRPr="0080521D">
        <w:rPr>
          <w:rFonts w:ascii="Times New Roman" w:hAnsi="Times New Roman" w:cs="Times New Roman"/>
          <w:sz w:val="20"/>
          <w:szCs w:val="20"/>
          <w:shd w:val="clear" w:color="auto" w:fill="FFFFFF"/>
        </w:rPr>
        <w:t xml:space="preserve">The composite picture points to a physical phenotype that is more likely overweight and, in fat distribution pattern, more android in configuration </w:t>
      </w:r>
      <w:r w:rsidR="00F35B78">
        <w:rPr>
          <w:rFonts w:ascii="Times New Roman" w:hAnsi="Times New Roman" w:cs="Times New Roman"/>
          <w:sz w:val="20"/>
          <w:szCs w:val="20"/>
          <w:shd w:val="clear" w:color="auto" w:fill="FFFFFF"/>
        </w:rPr>
        <w:t>(</w:t>
      </w:r>
      <w:r w:rsidRPr="0080521D">
        <w:rPr>
          <w:rFonts w:ascii="Times New Roman" w:hAnsi="Times New Roman" w:cs="Times New Roman"/>
          <w:sz w:val="20"/>
          <w:szCs w:val="20"/>
          <w:shd w:val="clear" w:color="auto" w:fill="FFFFFF"/>
        </w:rPr>
        <w:t>i.e., more apple-shaped</w:t>
      </w:r>
      <w:r w:rsidR="00F35B78">
        <w:rPr>
          <w:rFonts w:ascii="Times New Roman" w:hAnsi="Times New Roman" w:cs="Times New Roman"/>
          <w:sz w:val="20"/>
          <w:szCs w:val="20"/>
          <w:shd w:val="clear" w:color="auto" w:fill="FFFFFF"/>
        </w:rPr>
        <w:t>)</w:t>
      </w:r>
      <w:r w:rsidRPr="0080521D">
        <w:rPr>
          <w:rFonts w:ascii="Times New Roman" w:hAnsi="Times New Roman" w:cs="Times New Roman"/>
          <w:sz w:val="20"/>
          <w:szCs w:val="20"/>
          <w:shd w:val="clear" w:color="auto" w:fill="FFFFFF"/>
        </w:rPr>
        <w:t xml:space="preserve"> with an increased concentration of central adiposity. PCOS women may further possess increased lean body mass coupled with increased physical strength and bone mineral density. As discussed, this is consistent with an insulin</w:t>
      </w:r>
      <w:r w:rsidR="009655FC" w:rsidRPr="0080521D">
        <w:rPr>
          <w:rFonts w:ascii="Times New Roman" w:hAnsi="Times New Roman" w:cs="Times New Roman"/>
          <w:sz w:val="20"/>
          <w:szCs w:val="20"/>
          <w:shd w:val="clear" w:color="auto" w:fill="FFFFFF"/>
        </w:rPr>
        <w:t>-</w:t>
      </w:r>
      <w:r w:rsidRPr="0080521D">
        <w:rPr>
          <w:rFonts w:ascii="Times New Roman" w:hAnsi="Times New Roman" w:cs="Times New Roman"/>
          <w:sz w:val="20"/>
          <w:szCs w:val="20"/>
          <w:shd w:val="clear" w:color="auto" w:fill="FFFFFF"/>
        </w:rPr>
        <w:t>resistant hyperandrogenic physiology.</w:t>
      </w:r>
    </w:p>
    <w:p w14:paraId="3F75296F" w14:textId="3370B514" w:rsidR="00462E71" w:rsidRPr="0080521D" w:rsidRDefault="00C8214D" w:rsidP="00231AA2">
      <w:pPr>
        <w:spacing w:before="100" w:after="100" w:line="240" w:lineRule="auto"/>
        <w:jc w:val="both"/>
        <w:rPr>
          <w:rFonts w:ascii="Times New Roman" w:hAnsi="Times New Roman" w:cs="Times New Roman"/>
          <w:b/>
          <w:sz w:val="20"/>
          <w:szCs w:val="20"/>
        </w:rPr>
      </w:pPr>
      <w:r w:rsidRPr="0080521D">
        <w:rPr>
          <w:rFonts w:ascii="Times New Roman" w:hAnsi="Times New Roman" w:cs="Times New Roman"/>
          <w:b/>
          <w:sz w:val="20"/>
          <w:szCs w:val="20"/>
        </w:rPr>
        <w:t>C</w:t>
      </w:r>
      <w:r w:rsidR="00A5015C" w:rsidRPr="0080521D">
        <w:rPr>
          <w:rFonts w:ascii="Times New Roman" w:hAnsi="Times New Roman" w:cs="Times New Roman"/>
          <w:b/>
          <w:sz w:val="20"/>
          <w:szCs w:val="20"/>
        </w:rPr>
        <w:t xml:space="preserve">haracteristic </w:t>
      </w:r>
      <w:r w:rsidRPr="0080521D">
        <w:rPr>
          <w:rFonts w:ascii="Times New Roman" w:hAnsi="Times New Roman" w:cs="Times New Roman"/>
          <w:b/>
          <w:sz w:val="20"/>
          <w:szCs w:val="20"/>
        </w:rPr>
        <w:t>N</w:t>
      </w:r>
      <w:r w:rsidR="002C1E3B" w:rsidRPr="0080521D">
        <w:rPr>
          <w:rFonts w:ascii="Times New Roman" w:hAnsi="Times New Roman" w:cs="Times New Roman"/>
          <w:b/>
          <w:sz w:val="20"/>
          <w:szCs w:val="20"/>
        </w:rPr>
        <w:t xml:space="preserve">eurological </w:t>
      </w:r>
      <w:r w:rsidRPr="0080521D">
        <w:rPr>
          <w:rFonts w:ascii="Times New Roman" w:hAnsi="Times New Roman" w:cs="Times New Roman"/>
          <w:b/>
          <w:sz w:val="20"/>
          <w:szCs w:val="20"/>
        </w:rPr>
        <w:t>M</w:t>
      </w:r>
      <w:r w:rsidR="002C1E3B" w:rsidRPr="0080521D">
        <w:rPr>
          <w:rFonts w:ascii="Times New Roman" w:hAnsi="Times New Roman" w:cs="Times New Roman"/>
          <w:b/>
          <w:sz w:val="20"/>
          <w:szCs w:val="20"/>
        </w:rPr>
        <w:t>arkers</w:t>
      </w:r>
    </w:p>
    <w:p w14:paraId="0CC34BF6" w14:textId="1ECEA4AF" w:rsidR="00462E71" w:rsidRPr="0080521D" w:rsidRDefault="009655FC" w:rsidP="00231AA2">
      <w:pPr>
        <w:spacing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Several</w:t>
      </w:r>
      <w:r w:rsidR="00462E71" w:rsidRPr="0080521D">
        <w:rPr>
          <w:rFonts w:ascii="Times New Roman" w:hAnsi="Times New Roman" w:cs="Times New Roman"/>
          <w:sz w:val="20"/>
          <w:szCs w:val="20"/>
        </w:rPr>
        <w:t xml:space="preserve"> studies suggest that, relative to controls, women with PCOS have “differentially tuned” autonomic nervous systems (ANS). The differential may exhibit as augmented sympathetic nerve activity, reduced parasympathetic nerve activity, or some combination of both</w:t>
      </w:r>
      <w:r w:rsidR="0008219C" w:rsidRPr="0080521D">
        <w:rPr>
          <w:rFonts w:ascii="Times New Roman" w:hAnsi="Times New Roman" w:cs="Times New Roman"/>
          <w:sz w:val="20"/>
          <w:szCs w:val="20"/>
          <w:vertAlign w:val="superscript"/>
        </w:rPr>
        <w:t>12</w:t>
      </w:r>
      <w:r w:rsidR="00462E71" w:rsidRPr="0080521D">
        <w:rPr>
          <w:rFonts w:ascii="Times New Roman" w:hAnsi="Times New Roman" w:cs="Times New Roman"/>
          <w:sz w:val="20"/>
          <w:szCs w:val="20"/>
        </w:rPr>
        <w:t xml:space="preserve"> (see </w:t>
      </w:r>
      <w:r w:rsidR="00462E71" w:rsidRPr="0080521D">
        <w:rPr>
          <w:rFonts w:ascii="Times New Roman" w:hAnsi="Times New Roman" w:cs="Times New Roman"/>
          <w:sz w:val="20"/>
          <w:szCs w:val="20"/>
        </w:rPr>
        <w:fldChar w:fldCharType="begin"/>
      </w:r>
      <w:r w:rsidR="00462E71" w:rsidRPr="0080521D">
        <w:rPr>
          <w:rFonts w:ascii="Times New Roman" w:hAnsi="Times New Roman" w:cs="Times New Roman"/>
          <w:sz w:val="20"/>
          <w:szCs w:val="20"/>
        </w:rPr>
        <w:instrText xml:space="preserve"> ADDIN ZOTERO_ITEM CSL_CITATION {"citationID":"UBk2Y0vU","properties":{"formattedCitation":"(Gui and Wang, 2017)","plainCitation":"(Gui and Wang, 2017)","noteIndex":0},"citationItems":[{"id":561,"uris":["http://zotero.org/users/local/DihOArka/items/AIHUFUZL"],"uri":["http://zotero.org/users/local/DihOArka/items/AIHUFUZL"],"itemData":{"id":561,"type":"article-journal","title":"Cardiovascular autonomic dysfunction in women with polycystic ovary syndrome: a systematic review and meta-analysis","container-title":"Reproductive BioMedicine Online","URL":"https://dx.doi.org/10.1016/j.rbmo.2017.03.018","DOI":"10.1016/j.rbmo.2017.03.018","ISSN":"1472-6483","journalAbbreviation":"Reproductive BioMedicine Online","author":[{"family":"Gui","given":"Juan"},{"family":"Wang","given":"Rui-Hao"}],"issued":{"date-parts":[["2017"]]}}}],"schema":"https://github.com/citation-style-language/schema/raw/master/csl-citation.json"} </w:instrText>
      </w:r>
      <w:r w:rsidR="00462E71" w:rsidRPr="0080521D">
        <w:rPr>
          <w:rFonts w:ascii="Times New Roman" w:hAnsi="Times New Roman" w:cs="Times New Roman"/>
          <w:sz w:val="20"/>
          <w:szCs w:val="20"/>
        </w:rPr>
        <w:fldChar w:fldCharType="separate"/>
      </w:r>
      <w:r w:rsidR="00462E71" w:rsidRPr="0080521D">
        <w:rPr>
          <w:rFonts w:ascii="Times New Roman" w:hAnsi="Times New Roman" w:cs="Times New Roman"/>
          <w:sz w:val="20"/>
          <w:szCs w:val="20"/>
        </w:rPr>
        <w:t xml:space="preserve">Gui and Wang 2017 </w:t>
      </w:r>
      <w:r w:rsidR="00462E71" w:rsidRPr="0080521D">
        <w:rPr>
          <w:rFonts w:ascii="Times New Roman" w:hAnsi="Times New Roman" w:cs="Times New Roman"/>
          <w:sz w:val="20"/>
          <w:szCs w:val="20"/>
        </w:rPr>
        <w:fldChar w:fldCharType="end"/>
      </w:r>
      <w:r w:rsidR="00462E71" w:rsidRPr="0080521D">
        <w:rPr>
          <w:rFonts w:ascii="Times New Roman" w:hAnsi="Times New Roman" w:cs="Times New Roman"/>
          <w:sz w:val="20"/>
          <w:szCs w:val="20"/>
        </w:rPr>
        <w:t xml:space="preserve">for a partial meta-analysis). Evidence of this condition </w:t>
      </w:r>
      <w:r w:rsidR="00094AC4" w:rsidRPr="0080521D">
        <w:rPr>
          <w:rFonts w:ascii="Times New Roman" w:hAnsi="Times New Roman" w:cs="Times New Roman"/>
          <w:sz w:val="20"/>
          <w:szCs w:val="20"/>
        </w:rPr>
        <w:t xml:space="preserve">expresses </w:t>
      </w:r>
      <w:r w:rsidR="00462E71" w:rsidRPr="0080521D">
        <w:rPr>
          <w:rFonts w:ascii="Times New Roman" w:hAnsi="Times New Roman" w:cs="Times New Roman"/>
          <w:sz w:val="20"/>
          <w:szCs w:val="20"/>
        </w:rPr>
        <w:t xml:space="preserve">principally through </w:t>
      </w:r>
      <w:r w:rsidR="00462E71" w:rsidRPr="0080521D">
        <w:rPr>
          <w:rFonts w:ascii="Times New Roman" w:hAnsi="Times New Roman" w:cs="Times New Roman"/>
          <w:sz w:val="20"/>
          <w:szCs w:val="20"/>
          <w:shd w:val="clear" w:color="auto" w:fill="FFFFFF"/>
        </w:rPr>
        <w:t xml:space="preserve">muscle sympathetic nerve activity (MSNA) </w:t>
      </w:r>
      <w:r w:rsidR="00462E71" w:rsidRPr="0080521D">
        <w:rPr>
          <w:rFonts w:ascii="Times New Roman" w:hAnsi="Times New Roman" w:cs="Times New Roman"/>
          <w:sz w:val="20"/>
          <w:szCs w:val="20"/>
        </w:rPr>
        <w:t xml:space="preserve">(e.g., </w:t>
      </w:r>
      <w:r w:rsidR="00462E71" w:rsidRPr="0080521D">
        <w:rPr>
          <w:rFonts w:ascii="Times New Roman" w:hAnsi="Times New Roman" w:cs="Times New Roman"/>
          <w:sz w:val="20"/>
          <w:szCs w:val="20"/>
        </w:rPr>
        <w:fldChar w:fldCharType="begin"/>
      </w:r>
      <w:r w:rsidR="00462E71" w:rsidRPr="0080521D">
        <w:rPr>
          <w:rFonts w:ascii="Times New Roman" w:hAnsi="Times New Roman" w:cs="Times New Roman"/>
          <w:sz w:val="20"/>
          <w:szCs w:val="20"/>
        </w:rPr>
        <w:instrText xml:space="preserve"> ADDIN ZOTERO_ITEM CSL_CITATION {"citationID":"b155jfDp","properties":{"formattedCitation":"(Lambert et al., 2015)","plainCitation":"(Lambert et al., 2015)","dontUpdate":true,"noteIndex":0},"citationItems":[{"id":563,"uris":["http://zotero.org/users/local/DihOArka/items/T5IX87UN"],"uri":["http://zotero.org/users/local/DihOArka/items/T5IX87UN"],"itemData":{"id":563,"type":"article-journal","title":"Sympathetic activation and endothelial dysfunction in polycystic ovary syndrome are not explained by either obesity or insulin resistance","container-title":"Clinical Endocrinology","page":"812-819","volume":"83","issue":"6","abstract":"Summary Objective Polycystic ovary syndrome (PCOS) is a common endocrine condition underpinned by insulin resistance and associated with increased risk of obesity, type 2 diabetes and adverse cardiovascular risk profile. Previous data suggest autonomic imbalance [elevated sympathetic nervous system (SNS) activity and decreased heart rate variability (HRV)] as well as endothelial dysfunction in PCOS. However, it is not clear whether these abnormalities are driven by obesity and metabolic disturbance or whether they are independently related to PCOS. Participants and methods We examined multiunit and single-unit muscle SNS activity (by microneurography), HRV (time and frequency domain analysis) and endothelial function [ischaemic reactive hyperaemia index (RHI) using the EndoPAT device] in 19 overweight/obese women with PCOS (BMI: 31·3 ± 1·5 kg/m2, age: 31·3 ± 1·6 years) and compared them with 21 control overweight/obese women (BMI: 33·0 ± 1·4 kg/m2, age: 28·2 ± 1·6 years) presenting a similar metabolic profile (fasting total, HDL and LDL cholesterol, glucose, triglycerides, insulin sensitivity and blood pressure). Results Women with PCOS had elevated multiunit muscle SNS activity (41 ± 2 vs 33 ± 3 bursts per 100 heartbeats, P &lt; 0·05). Single-unit analysis showed that vasoconstrictor neurons were characterized by elevated firing rate and probability and incidence of multiple spikes (P &lt; 0·01 for all parameters). Women with PCOS also had impaired endothelial function (RHI: 1·77 ± 0·14 vs 2·18 ± 0·14, P &lt; 0·05). HRV did not differ between the groups. Conclusion Women with PCOS have increased sympathetic drive and impaired endothelial function independent of obesity and metabolic disturbances. Sympathetic activation and endothelial dysfunction may confer greater cardiovascular risk in women with PCOS.","DOI":"10.1111/cen.12803","ISSN":"0300-0664","journalAbbreviation":"Clinical Endocrinology","author":[{"family":"Lambert","given":"Elisabeth A."},{"family":"Teede","given":"Helena"},{"family":"Sari","given":"Carolina Ika"},{"family":"Jona","given":"Eveline"},{"family":"Shorakae","given":"Soulmaz"},{"family":"Woodington","given":"Kiri"},{"family":"Hemmes","given":"Robyn"},{"family":"Eikelis","given":"Nina"},{"family":"Straznicky","given":"Nora E."},{"family":"De Courten","given":"Barbora"},{"family":"Dixon","given":"John B."},{"family":"Schlaich","given":"Markus P."},{"family":"Lambert","given":"Gavin W."}],"issued":{"date-parts":[["2015",12,1]]}}}],"schema":"https://github.com/citation-style-language/schema/raw/master/csl-citation.json"} </w:instrText>
      </w:r>
      <w:r w:rsidR="00462E71" w:rsidRPr="0080521D">
        <w:rPr>
          <w:rFonts w:ascii="Times New Roman" w:hAnsi="Times New Roman" w:cs="Times New Roman"/>
          <w:sz w:val="20"/>
          <w:szCs w:val="20"/>
        </w:rPr>
        <w:fldChar w:fldCharType="separate"/>
      </w:r>
      <w:r w:rsidR="00462E71" w:rsidRPr="0080521D">
        <w:rPr>
          <w:rFonts w:ascii="Times New Roman" w:hAnsi="Times New Roman" w:cs="Times New Roman"/>
          <w:sz w:val="20"/>
          <w:szCs w:val="20"/>
        </w:rPr>
        <w:t xml:space="preserve">Lambert et </w:t>
      </w:r>
      <w:r w:rsidR="00E748A7">
        <w:rPr>
          <w:rFonts w:ascii="Times New Roman" w:hAnsi="Times New Roman" w:cs="Times New Roman"/>
          <w:sz w:val="20"/>
          <w:szCs w:val="20"/>
        </w:rPr>
        <w:t>al.</w:t>
      </w:r>
      <w:r w:rsidR="00462E71" w:rsidRPr="0080521D">
        <w:rPr>
          <w:rFonts w:ascii="Times New Roman" w:hAnsi="Times New Roman" w:cs="Times New Roman"/>
          <w:sz w:val="20"/>
          <w:szCs w:val="20"/>
        </w:rPr>
        <w:t xml:space="preserve"> 2015</w:t>
      </w:r>
      <w:r w:rsidR="00462E71" w:rsidRPr="0080521D">
        <w:rPr>
          <w:rFonts w:ascii="Times New Roman" w:hAnsi="Times New Roman" w:cs="Times New Roman"/>
          <w:sz w:val="20"/>
          <w:szCs w:val="20"/>
        </w:rPr>
        <w:fldChar w:fldCharType="end"/>
      </w:r>
      <w:r w:rsidR="00462E71" w:rsidRPr="0080521D">
        <w:rPr>
          <w:rFonts w:ascii="Times New Roman" w:hAnsi="Times New Roman" w:cs="Times New Roman"/>
          <w:sz w:val="20"/>
          <w:szCs w:val="20"/>
        </w:rPr>
        <w:t xml:space="preserve">; </w:t>
      </w:r>
      <w:r w:rsidR="00462E71" w:rsidRPr="0080521D">
        <w:rPr>
          <w:rFonts w:ascii="Times New Roman" w:hAnsi="Times New Roman" w:cs="Times New Roman"/>
          <w:sz w:val="20"/>
          <w:szCs w:val="20"/>
        </w:rPr>
        <w:fldChar w:fldCharType="begin"/>
      </w:r>
      <w:r w:rsidR="00462E71" w:rsidRPr="0080521D">
        <w:rPr>
          <w:rFonts w:ascii="Times New Roman" w:hAnsi="Times New Roman" w:cs="Times New Roman"/>
          <w:sz w:val="20"/>
          <w:szCs w:val="20"/>
        </w:rPr>
        <w:instrText xml:space="preserve"> ADDIN ZOTERO_ITEM CSL_CITATION {"citationID":"mKsapLd9","properties":{"formattedCitation":"(Lambert et al., 2015)","plainCitation":"(Lambert et al., 2015)","dontUpdate":true,"noteIndex":0},"citationItems":[{"id":563,"uris":["http://zotero.org/users/local/DihOArka/items/T5IX87UN"],"uri":["http://zotero.org/users/local/DihOArka/items/T5IX87UN"],"itemData":{"id":563,"type":"article-journal","title":"Sympathetic activation and endothelial dysfunction in polycystic ovary syndrome are not explained by either obesity or insulin resistance","container-title":"Clinical Endocrinology","page":"812-819","volume":"83","issue":"6","abstract":"Summary Objective Polycystic ovary syndrome (PCOS) is a common endocrine condition underpinned by insulin resistance and associated with increased risk of obesity, type 2 diabetes and adverse cardiovascular risk profile. Previous data suggest autonomic imbalance [elevated sympathetic nervous system (SNS) activity and decreased heart rate variability (HRV)] as well as endothelial dysfunction in PCOS. However, it is not clear whether these abnormalities are driven by obesity and metabolic disturbance or whether they are independently related to PCOS. Participants and methods We examined multiunit and single-unit muscle SNS activity (by microneurography), HRV (time and frequency domain analysis) and endothelial function [ischaemic reactive hyperaemia index (RHI) using the EndoPAT device] in 19 overweight/obese women with PCOS (BMI: 31·3 ± 1·5 kg/m2, age: 31·3 ± 1·6 years) and compared them with 21 control overweight/obese women (BMI: 33·0 ± 1·4 kg/m2, age: 28·2 ± 1·6 years) presenting a similar metabolic profile (fasting total, HDL and LDL cholesterol, glucose, triglycerides, insulin sensitivity and blood pressure). Results Women with PCOS had elevated multiunit muscle SNS activity (41 ± 2 vs 33 ± 3 bursts per 100 heartbeats, P &lt; 0·05). Single-unit analysis showed that vasoconstrictor neurons were characterized by elevated firing rate and probability and incidence of multiple spikes (P &lt; 0·01 for all parameters). Women with PCOS also had impaired endothelial function (RHI: 1·77 ± 0·14 vs 2·18 ± 0·14, P &lt; 0·05). HRV did not differ between the groups. Conclusion Women with PCOS have increased sympathetic drive and impaired endothelial function independent of obesity and metabolic disturbances. Sympathetic activation and endothelial dysfunction may confer greater cardiovascular risk in women with PCOS.","DOI":"10.1111/cen.12803","ISSN":"0300-0664","journalAbbreviation":"Clinical Endocrinology","author":[{"family":"Lambert","given":"Elisabeth A."},{"family":"Teede","given":"Helena"},{"family":"Sari","given":"Carolina Ika"},{"family":"Jona","given":"Eveline"},{"family":"Shorakae","given":"Soulmaz"},{"family":"Woodington","given":"Kiri"},{"family":"Hemmes","given":"Robyn"},{"family":"Eikelis","given":"Nina"},{"family":"Straznicky","given":"Nora E."},{"family":"De Courten","given":"Barbora"},{"family":"Dixon","given":"John B."},{"family":"Schlaich","given":"Markus P."},{"family":"Lambert","given":"Gavin W."}],"issued":{"date-parts":[["2015",12,1]]}}}],"schema":"https://github.com/citation-style-language/schema/raw/master/csl-citation.json"} </w:instrText>
      </w:r>
      <w:r w:rsidR="00462E71" w:rsidRPr="0080521D">
        <w:rPr>
          <w:rFonts w:ascii="Times New Roman" w:hAnsi="Times New Roman" w:cs="Times New Roman"/>
          <w:sz w:val="20"/>
          <w:szCs w:val="20"/>
        </w:rPr>
        <w:fldChar w:fldCharType="separate"/>
      </w:r>
      <w:r w:rsidR="00462E71" w:rsidRPr="0080521D">
        <w:rPr>
          <w:rFonts w:ascii="Times New Roman" w:hAnsi="Times New Roman" w:cs="Times New Roman"/>
          <w:sz w:val="20"/>
          <w:szCs w:val="20"/>
        </w:rPr>
        <w:t xml:space="preserve">Shorakae et </w:t>
      </w:r>
      <w:r w:rsidR="00E748A7">
        <w:rPr>
          <w:rFonts w:ascii="Times New Roman" w:hAnsi="Times New Roman" w:cs="Times New Roman"/>
          <w:sz w:val="20"/>
          <w:szCs w:val="20"/>
        </w:rPr>
        <w:t>al.</w:t>
      </w:r>
      <w:r w:rsidR="00462E71" w:rsidRPr="0080521D">
        <w:rPr>
          <w:rFonts w:ascii="Times New Roman" w:hAnsi="Times New Roman" w:cs="Times New Roman"/>
          <w:sz w:val="20"/>
          <w:szCs w:val="20"/>
        </w:rPr>
        <w:t xml:space="preserve"> 2018)</w:t>
      </w:r>
      <w:r w:rsidR="00462E71" w:rsidRPr="0080521D">
        <w:rPr>
          <w:rFonts w:ascii="Times New Roman" w:hAnsi="Times New Roman" w:cs="Times New Roman"/>
          <w:sz w:val="20"/>
          <w:szCs w:val="20"/>
        </w:rPr>
        <w:fldChar w:fldCharType="end"/>
      </w:r>
      <w:r w:rsidR="00462E71" w:rsidRPr="0080521D">
        <w:rPr>
          <w:rFonts w:ascii="Times New Roman" w:hAnsi="Times New Roman" w:cs="Times New Roman"/>
          <w:sz w:val="20"/>
          <w:szCs w:val="20"/>
        </w:rPr>
        <w:t xml:space="preserve"> and heart rate variability (HRV) studies (e.g., </w:t>
      </w:r>
      <w:r w:rsidR="00326616" w:rsidRPr="0080521D">
        <w:rPr>
          <w:rFonts w:ascii="Times New Roman" w:hAnsi="Times New Roman" w:cs="Times New Roman"/>
          <w:sz w:val="20"/>
          <w:szCs w:val="20"/>
        </w:rPr>
        <w:t xml:space="preserve">Ferezini de Sa et </w:t>
      </w:r>
      <w:r w:rsidR="00326616">
        <w:rPr>
          <w:rFonts w:ascii="Times New Roman" w:hAnsi="Times New Roman" w:cs="Times New Roman"/>
          <w:sz w:val="20"/>
          <w:szCs w:val="20"/>
        </w:rPr>
        <w:t>al.</w:t>
      </w:r>
      <w:r w:rsidR="00326616" w:rsidRPr="0080521D">
        <w:rPr>
          <w:rFonts w:ascii="Times New Roman" w:hAnsi="Times New Roman" w:cs="Times New Roman"/>
          <w:sz w:val="20"/>
          <w:szCs w:val="20"/>
        </w:rPr>
        <w:t xml:space="preserve"> 2011</w:t>
      </w:r>
      <w:r w:rsidR="00326616">
        <w:rPr>
          <w:rFonts w:ascii="Times New Roman" w:hAnsi="Times New Roman" w:cs="Times New Roman"/>
          <w:sz w:val="20"/>
          <w:szCs w:val="20"/>
        </w:rPr>
        <w:t xml:space="preserve">; </w:t>
      </w:r>
      <w:r w:rsidR="00462E71" w:rsidRPr="0080521D">
        <w:rPr>
          <w:rFonts w:ascii="Times New Roman" w:hAnsi="Times New Roman" w:cs="Times New Roman"/>
          <w:sz w:val="20"/>
          <w:szCs w:val="20"/>
        </w:rPr>
        <w:t xml:space="preserve">Saranya et </w:t>
      </w:r>
      <w:r w:rsidR="00E748A7">
        <w:rPr>
          <w:rFonts w:ascii="Times New Roman" w:hAnsi="Times New Roman" w:cs="Times New Roman"/>
          <w:sz w:val="20"/>
          <w:szCs w:val="20"/>
        </w:rPr>
        <w:t>al.</w:t>
      </w:r>
      <w:r w:rsidR="00462E71" w:rsidRPr="0080521D">
        <w:rPr>
          <w:rFonts w:ascii="Times New Roman" w:hAnsi="Times New Roman" w:cs="Times New Roman"/>
          <w:sz w:val="20"/>
          <w:szCs w:val="20"/>
        </w:rPr>
        <w:t xml:space="preserve"> 2014).</w:t>
      </w:r>
    </w:p>
    <w:p w14:paraId="0276C9CC" w14:textId="6B0AA61E" w:rsidR="00462E71" w:rsidRPr="0080521D" w:rsidRDefault="00462E71" w:rsidP="00231AA2">
      <w:pPr>
        <w:spacing w:before="100" w:after="100" w:line="240" w:lineRule="auto"/>
        <w:jc w:val="both"/>
        <w:rPr>
          <w:rFonts w:ascii="Times New Roman" w:hAnsi="Times New Roman" w:cs="Times New Roman"/>
          <w:bCs/>
          <w:i/>
          <w:iCs/>
          <w:sz w:val="20"/>
          <w:szCs w:val="20"/>
          <w:shd w:val="clear" w:color="auto" w:fill="FFFFFF"/>
        </w:rPr>
      </w:pPr>
      <w:r w:rsidRPr="0080521D">
        <w:rPr>
          <w:rFonts w:ascii="Times New Roman" w:hAnsi="Times New Roman" w:cs="Times New Roman"/>
          <w:bCs/>
          <w:i/>
          <w:iCs/>
          <w:sz w:val="20"/>
          <w:szCs w:val="20"/>
          <w:shd w:val="clear" w:color="auto" w:fill="FFFFFF"/>
        </w:rPr>
        <w:t>Muscle sympathetic nerve activity (MSNA)</w:t>
      </w:r>
    </w:p>
    <w:p w14:paraId="2228480A" w14:textId="39890AFB" w:rsidR="00462E71" w:rsidRPr="0080521D" w:rsidRDefault="00462E71" w:rsidP="00231AA2">
      <w:pPr>
        <w:spacing w:after="0" w:line="240" w:lineRule="auto"/>
        <w:ind w:firstLine="720"/>
        <w:jc w:val="both"/>
        <w:rPr>
          <w:rFonts w:ascii="Times New Roman" w:hAnsi="Times New Roman" w:cs="Times New Roman"/>
          <w:sz w:val="20"/>
          <w:szCs w:val="20"/>
          <w:shd w:val="clear" w:color="auto" w:fill="FFFFFF"/>
        </w:rPr>
      </w:pPr>
      <w:r w:rsidRPr="0080521D">
        <w:rPr>
          <w:rFonts w:ascii="Times New Roman" w:hAnsi="Times New Roman" w:cs="Times New Roman"/>
          <w:sz w:val="20"/>
          <w:szCs w:val="20"/>
          <w:shd w:val="clear" w:color="auto" w:fill="FFFFFF"/>
        </w:rPr>
        <w:t xml:space="preserve">Microneurography is a direct measure of sympathetic nerve activity </w:t>
      </w:r>
      <w:r w:rsidRPr="0080521D">
        <w:rPr>
          <w:rFonts w:ascii="Times New Roman" w:hAnsi="Times New Roman" w:cs="Times New Roman"/>
          <w:sz w:val="20"/>
          <w:szCs w:val="20"/>
          <w:shd w:val="clear" w:color="auto" w:fill="FFFFFF"/>
        </w:rPr>
        <w:fldChar w:fldCharType="begin"/>
      </w:r>
      <w:r w:rsidRPr="0080521D">
        <w:rPr>
          <w:rFonts w:ascii="Times New Roman" w:hAnsi="Times New Roman" w:cs="Times New Roman"/>
          <w:sz w:val="20"/>
          <w:szCs w:val="20"/>
          <w:shd w:val="clear" w:color="auto" w:fill="FFFFFF"/>
        </w:rPr>
        <w:instrText xml:space="preserve"> ADDIN ZOTERO_ITEM CSL_CITATION {"citationID":"0Z7oS26h","properties":{"formattedCitation":"(Lansdown and Rees, 2012)","plainCitation":"(Lansdown and Rees, 2012)","noteIndex":0},"citationItems":[{"id":613,"uris":["http://zotero.org/users/local/DihOArka/items/NYMRAHIF"],"uri":["http://zotero.org/users/local/DihOArka/items/NYMRAHIF"],"itemData":{"id":613,"type":"article-journal","title":"The sympathetic nervous system in polycystic ovary syndrome: a novel therapeutic target?","container-title":"Clinical Endocrinology","page":"791–801","volume":"77","issue":"6","abstract":"Polycystic ovary syndrome () is a common endocrine condition associated with long‐term health risks, including type 2 diabetes and vascular dysfunction in addition to reproductive sequelae. Many of the common features of , such as central obesity, hyperinsulinaemia and obstructive sleep apnoea (), are associated with chronic sympathetic overactivity, suggesting that sympathoexcitation may be involved in the pathogenesis of this condition. Rodent models of polycystic ovaries have shown that ovarian sympathetic outflow may be increased, accompanied by elevated intra‐ovarian synthesis of nerve growth factor () which may be involved in initiation of ovarian pathology. Patients with have evidence of increased muscle sympathetic nerve activity (), altered heart rate variability and attenuated heart rate recovery postexercise, compared with age‐ and ‐matched controls, suggesting a generalized increase in sympathetic nerve activity. Active weight loss can reduce and whole body noradrenaline spillover, whereas low‐frequency electroacupuncture decreased in overweight women with . Treatment of with continuous positive airways pressure may reduce plasma noradrenaline levels and diastolic blood pressure and improve cardiac sympathovagal balance. Renal sympathetic denervation also reduced , noradrenaline spillover and blood pressure in two subjects with hypertension, accompanied by improved insulin sensitivity. The sympathetic nervous system may thus offer a new therapeutic target in but larger and longer‐term studies are needed before these treatments can be considered in clinical practice.","ISSN":"0300-0664","author":[{"family":"Lansdown","given":"Andrew"},{"family":"Rees","given":"D. Aled"}],"issued":{"date-parts":[["2012"]]}}}],"schema":"https://github.com/citation-style-language/schema/raw/master/csl-citation.json"} </w:instrText>
      </w:r>
      <w:r w:rsidRPr="0080521D">
        <w:rPr>
          <w:rFonts w:ascii="Times New Roman" w:hAnsi="Times New Roman" w:cs="Times New Roman"/>
          <w:sz w:val="20"/>
          <w:szCs w:val="20"/>
          <w:shd w:val="clear" w:color="auto" w:fill="FFFFFF"/>
        </w:rPr>
        <w:fldChar w:fldCharType="separate"/>
      </w:r>
      <w:r w:rsidRPr="0080521D">
        <w:rPr>
          <w:rFonts w:ascii="Times New Roman" w:hAnsi="Times New Roman" w:cs="Times New Roman"/>
          <w:sz w:val="20"/>
          <w:szCs w:val="20"/>
        </w:rPr>
        <w:t>(Lansdown and Rees 2012)</w:t>
      </w:r>
      <w:r w:rsidRPr="0080521D">
        <w:rPr>
          <w:rFonts w:ascii="Times New Roman" w:hAnsi="Times New Roman" w:cs="Times New Roman"/>
          <w:sz w:val="20"/>
          <w:szCs w:val="20"/>
          <w:shd w:val="clear" w:color="auto" w:fill="FFFFFF"/>
        </w:rPr>
        <w:fldChar w:fldCharType="end"/>
      </w:r>
      <w:r w:rsidRPr="0080521D">
        <w:rPr>
          <w:rFonts w:ascii="Times New Roman" w:hAnsi="Times New Roman" w:cs="Times New Roman"/>
          <w:sz w:val="20"/>
          <w:szCs w:val="20"/>
          <w:shd w:val="clear" w:color="auto" w:fill="FFFFFF"/>
        </w:rPr>
        <w:t>. By placing electrodes in the skeletal muscle or skin, sympathetic bursts of activity can be recorded from efferent or afferent nerve axons embedded in these tissues (Lansdown and Rees 2012). Accordingly</w:t>
      </w:r>
      <w:r w:rsidR="00F35B78">
        <w:rPr>
          <w:rFonts w:ascii="Times New Roman" w:hAnsi="Times New Roman" w:cs="Times New Roman"/>
          <w:sz w:val="20"/>
          <w:szCs w:val="20"/>
          <w:shd w:val="clear" w:color="auto" w:fill="FFFFFF"/>
        </w:rPr>
        <w:t>,</w:t>
      </w:r>
      <w:r w:rsidR="00B2437B" w:rsidRPr="0080521D">
        <w:rPr>
          <w:rFonts w:ascii="Times New Roman" w:hAnsi="Times New Roman" w:cs="Times New Roman"/>
          <w:sz w:val="20"/>
          <w:szCs w:val="20"/>
          <w:shd w:val="clear" w:color="auto" w:fill="FFFFFF"/>
        </w:rPr>
        <w:t xml:space="preserve"> </w:t>
      </w:r>
      <w:r w:rsidRPr="0080521D">
        <w:rPr>
          <w:rFonts w:ascii="Times New Roman" w:hAnsi="Times New Roman" w:cs="Times New Roman"/>
          <w:sz w:val="20"/>
          <w:szCs w:val="20"/>
          <w:shd w:val="clear" w:color="auto" w:fill="FFFFFF"/>
        </w:rPr>
        <w:t>when the activity is measured in the skeletal muscle</w:t>
      </w:r>
      <w:r w:rsidR="00F35B78">
        <w:rPr>
          <w:rFonts w:ascii="Times New Roman" w:hAnsi="Times New Roman" w:cs="Times New Roman"/>
          <w:sz w:val="20"/>
          <w:szCs w:val="20"/>
          <w:shd w:val="clear" w:color="auto" w:fill="FFFFFF"/>
        </w:rPr>
        <w:t>,</w:t>
      </w:r>
      <w:r w:rsidRPr="0080521D">
        <w:rPr>
          <w:rFonts w:ascii="Times New Roman" w:hAnsi="Times New Roman" w:cs="Times New Roman"/>
          <w:sz w:val="20"/>
          <w:szCs w:val="20"/>
          <w:shd w:val="clear" w:color="auto" w:fill="FFFFFF"/>
        </w:rPr>
        <w:t xml:space="preserve"> the term muscle sympathetic nerve activity (MSNA) is used and, when measured through the skin, the term skin sympathetic nerve activity (SSNA) applies (</w:t>
      </w:r>
      <w:r w:rsidRPr="0080521D">
        <w:rPr>
          <w:rFonts w:ascii="Times New Roman" w:hAnsi="Times New Roman" w:cs="Times New Roman"/>
          <w:bCs/>
          <w:sz w:val="20"/>
          <w:szCs w:val="20"/>
        </w:rPr>
        <w:t>Wallin &amp; Charkoudian 2007).</w:t>
      </w:r>
    </w:p>
    <w:p w14:paraId="7E60728F" w14:textId="7B10CA90" w:rsidR="00462E71" w:rsidRPr="0080521D" w:rsidRDefault="00462E71" w:rsidP="00231AA2">
      <w:pPr>
        <w:spacing w:before="100" w:after="0" w:line="240" w:lineRule="auto"/>
        <w:ind w:firstLine="720"/>
        <w:jc w:val="both"/>
        <w:rPr>
          <w:rFonts w:ascii="Times New Roman" w:hAnsi="Times New Roman" w:cs="Times New Roman"/>
          <w:sz w:val="20"/>
          <w:szCs w:val="20"/>
          <w:shd w:val="clear" w:color="auto" w:fill="FFFFFF"/>
        </w:rPr>
      </w:pPr>
      <w:r w:rsidRPr="0080521D">
        <w:rPr>
          <w:rFonts w:ascii="Times New Roman" w:hAnsi="Times New Roman" w:cs="Times New Roman"/>
          <w:sz w:val="20"/>
          <w:szCs w:val="20"/>
          <w:shd w:val="clear" w:color="auto" w:fill="FFFFFF"/>
        </w:rPr>
        <w:t xml:space="preserve">PCOS studies that have used microneurography have preferentially employed MSNA and, because of its accessibility, have used the peroneal nerve as a recording point, either the nerve itself or a muscle nerve fascicle connected to it (e.g., Lambert et </w:t>
      </w:r>
      <w:r w:rsidR="00E748A7">
        <w:rPr>
          <w:rFonts w:ascii="Times New Roman" w:hAnsi="Times New Roman" w:cs="Times New Roman"/>
          <w:sz w:val="20"/>
          <w:szCs w:val="20"/>
          <w:shd w:val="clear" w:color="auto" w:fill="FFFFFF"/>
        </w:rPr>
        <w:t>al.</w:t>
      </w:r>
      <w:r w:rsidRPr="0080521D">
        <w:rPr>
          <w:rFonts w:ascii="Times New Roman" w:hAnsi="Times New Roman" w:cs="Times New Roman"/>
          <w:sz w:val="20"/>
          <w:szCs w:val="20"/>
          <w:shd w:val="clear" w:color="auto" w:fill="FFFFFF"/>
        </w:rPr>
        <w:t xml:space="preserve"> 2015; Sverrisdo´ttir et </w:t>
      </w:r>
      <w:r w:rsidR="00E748A7">
        <w:rPr>
          <w:rFonts w:ascii="Times New Roman" w:hAnsi="Times New Roman" w:cs="Times New Roman"/>
          <w:sz w:val="20"/>
          <w:szCs w:val="20"/>
          <w:shd w:val="clear" w:color="auto" w:fill="FFFFFF"/>
        </w:rPr>
        <w:t>al.</w:t>
      </w:r>
      <w:r w:rsidRPr="0080521D">
        <w:rPr>
          <w:rFonts w:ascii="Times New Roman" w:hAnsi="Times New Roman" w:cs="Times New Roman"/>
          <w:sz w:val="20"/>
          <w:szCs w:val="20"/>
          <w:shd w:val="clear" w:color="auto" w:fill="FFFFFF"/>
        </w:rPr>
        <w:t xml:space="preserve"> 2008).</w:t>
      </w:r>
    </w:p>
    <w:p w14:paraId="5517E15E" w14:textId="3F52159A" w:rsidR="00462E71" w:rsidRPr="0080521D" w:rsidRDefault="001764EB" w:rsidP="00764220">
      <w:pPr>
        <w:spacing w:before="100" w:after="12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shd w:val="clear" w:color="auto" w:fill="FFFFFF"/>
        </w:rPr>
        <w:lastRenderedPageBreak/>
        <w:t xml:space="preserve">To date, </w:t>
      </w:r>
      <w:r w:rsidR="00494C32" w:rsidRPr="0080521D">
        <w:rPr>
          <w:rFonts w:ascii="Times New Roman" w:hAnsi="Times New Roman" w:cs="Times New Roman"/>
          <w:sz w:val="20"/>
          <w:szCs w:val="20"/>
          <w:shd w:val="clear" w:color="auto" w:fill="FFFFFF"/>
        </w:rPr>
        <w:t xml:space="preserve">multiple studies </w:t>
      </w:r>
      <w:r w:rsidR="00462E71" w:rsidRPr="0080521D">
        <w:rPr>
          <w:rFonts w:ascii="Times New Roman" w:hAnsi="Times New Roman" w:cs="Times New Roman"/>
          <w:sz w:val="20"/>
          <w:szCs w:val="20"/>
          <w:shd w:val="clear" w:color="auto" w:fill="FFFFFF"/>
        </w:rPr>
        <w:t xml:space="preserve">have examined </w:t>
      </w:r>
      <w:r w:rsidRPr="0080521D">
        <w:rPr>
          <w:rFonts w:ascii="Times New Roman" w:hAnsi="Times New Roman" w:cs="Times New Roman"/>
          <w:sz w:val="20"/>
          <w:szCs w:val="20"/>
          <w:shd w:val="clear" w:color="auto" w:fill="FFFFFF"/>
        </w:rPr>
        <w:t xml:space="preserve">MSNA </w:t>
      </w:r>
      <w:r w:rsidR="00494C32" w:rsidRPr="0080521D">
        <w:rPr>
          <w:rFonts w:ascii="Times New Roman" w:hAnsi="Times New Roman" w:cs="Times New Roman"/>
          <w:sz w:val="20"/>
          <w:szCs w:val="20"/>
          <w:shd w:val="clear" w:color="auto" w:fill="FFFFFF"/>
        </w:rPr>
        <w:t xml:space="preserve">in </w:t>
      </w:r>
      <w:r w:rsidR="00462E71" w:rsidRPr="0080521D">
        <w:rPr>
          <w:rFonts w:ascii="Times New Roman" w:hAnsi="Times New Roman" w:cs="Times New Roman"/>
          <w:sz w:val="20"/>
          <w:szCs w:val="20"/>
          <w:shd w:val="clear" w:color="auto" w:fill="FFFFFF"/>
        </w:rPr>
        <w:t xml:space="preserve">women with PCOS. Relative to age and weight-matched controls, </w:t>
      </w:r>
      <w:r w:rsidR="00494C32" w:rsidRPr="0080521D">
        <w:rPr>
          <w:rFonts w:ascii="Times New Roman" w:hAnsi="Times New Roman" w:cs="Times New Roman"/>
          <w:sz w:val="20"/>
          <w:szCs w:val="20"/>
          <w:shd w:val="clear" w:color="auto" w:fill="FFFFFF"/>
        </w:rPr>
        <w:t xml:space="preserve">PCOS women </w:t>
      </w:r>
      <w:r w:rsidR="00462E71" w:rsidRPr="0080521D">
        <w:rPr>
          <w:rFonts w:ascii="Times New Roman" w:hAnsi="Times New Roman" w:cs="Times New Roman"/>
          <w:sz w:val="20"/>
          <w:szCs w:val="20"/>
          <w:shd w:val="clear" w:color="auto" w:fill="FFFFFF"/>
        </w:rPr>
        <w:t xml:space="preserve">show a higher probability and frequency of sympathetic bursts relative to age and weight-matched controls </w:t>
      </w:r>
      <w:r w:rsidR="0091790C" w:rsidRPr="0091790C">
        <w:rPr>
          <w:rFonts w:ascii="Times New Roman" w:hAnsi="Times New Roman" w:cs="Times New Roman"/>
          <w:sz w:val="20"/>
          <w:szCs w:val="20"/>
          <w:shd w:val="clear" w:color="auto" w:fill="FFFFFF"/>
        </w:rPr>
        <w:t>(Lambert et al. 2015; Lansdown et al. 2019; Shorakae et al. 2018; Sverrisdo´ttir et al. 2008)</w:t>
      </w:r>
      <w:r w:rsidR="00462E71" w:rsidRPr="0080521D">
        <w:rPr>
          <w:rFonts w:ascii="Times New Roman" w:hAnsi="Times New Roman" w:cs="Times New Roman"/>
          <w:sz w:val="20"/>
          <w:szCs w:val="20"/>
        </w:rPr>
        <w:t>. Two of these studies (</w:t>
      </w:r>
      <w:r w:rsidR="0007534F" w:rsidRPr="0080521D">
        <w:rPr>
          <w:rFonts w:ascii="Times New Roman" w:hAnsi="Times New Roman" w:cs="Times New Roman"/>
          <w:sz w:val="20"/>
          <w:szCs w:val="20"/>
        </w:rPr>
        <w:fldChar w:fldCharType="begin"/>
      </w:r>
      <w:r w:rsidR="0007534F" w:rsidRPr="0080521D">
        <w:rPr>
          <w:rFonts w:ascii="Times New Roman" w:hAnsi="Times New Roman" w:cs="Times New Roman"/>
          <w:sz w:val="20"/>
          <w:szCs w:val="20"/>
        </w:rPr>
        <w:instrText xml:space="preserve"> ADDIN ZOTERO_ITEM CSL_CITATION {"citationID":"b155jfDp","properties":{"formattedCitation":"(Lambert et al., 2015)","plainCitation":"(Lambert et al., 2015)","dontUpdate":true,"noteIndex":0},"citationItems":[{"id":563,"uris":["http://zotero.org/users/local/DihOArka/items/T5IX87UN"],"uri":["http://zotero.org/users/local/DihOArka/items/T5IX87UN"],"itemData":{"id":563,"type":"article-journal","title":"Sympathetic activation and endothelial dysfunction in polycystic ovary syndrome are not explained by either obesity or insulin resistance","container-title":"Clinical Endocrinology","page":"812-819","volume":"83","issue":"6","abstract":"Summary Objective Polycystic ovary syndrome (PCOS) is a common endocrine condition underpinned by insulin resistance and associated with increased risk of obesity, type 2 diabetes and adverse cardiovascular risk profile. Previous data suggest autonomic imbalance [elevated sympathetic nervous system (SNS) activity and decreased heart rate variability (HRV)] as well as endothelial dysfunction in PCOS. However, it is not clear whether these abnormalities are driven by obesity and metabolic disturbance or whether they are independently related to PCOS. Participants and methods We examined multiunit and single-unit muscle SNS activity (by microneurography), HRV (time and frequency domain analysis) and endothelial function [ischaemic reactive hyperaemia index (RHI) using the EndoPAT device] in 19 overweight/obese women with PCOS (BMI: 31·3 ± 1·5 kg/m2, age: 31·3 ± 1·6 years) and compared them with 21 control overweight/obese women (BMI: 33·0 ± 1·4 kg/m2, age: 28·2 ± 1·6 years) presenting a similar metabolic profile (fasting total, HDL and LDL cholesterol, glucose, triglycerides, insulin sensitivity and blood pressure). Results Women with PCOS had elevated multiunit muscle SNS activity (41 ± 2 vs 33 ± 3 bursts per 100 heartbeats, P &lt; 0·05). Single-unit analysis showed that vasoconstrictor neurons were characterized by elevated firing rate and probability and incidence of multiple spikes (P &lt; 0·01 for all parameters). Women with PCOS also had impaired endothelial function (RHI: 1·77 ± 0·14 vs 2·18 ± 0·14, P &lt; 0·05). HRV did not differ between the groups. Conclusion Women with PCOS have increased sympathetic drive and impaired endothelial function independent of obesity and metabolic disturbances. Sympathetic activation and endothelial dysfunction may confer greater cardiovascular risk in women with PCOS.","DOI":"10.1111/cen.12803","ISSN":"0300-0664","journalAbbreviation":"Clinical Endocrinology","author":[{"family":"Lambert","given":"Elisabeth A."},{"family":"Teede","given":"Helena"},{"family":"Sari","given":"Carolina Ika"},{"family":"Jona","given":"Eveline"},{"family":"Shorakae","given":"Soulmaz"},{"family":"Woodington","given":"Kiri"},{"family":"Hemmes","given":"Robyn"},{"family":"Eikelis","given":"Nina"},{"family":"Straznicky","given":"Nora E."},{"family":"De Courten","given":"Barbora"},{"family":"Dixon","given":"John B."},{"family":"Schlaich","given":"Markus P."},{"family":"Lambert","given":"Gavin W."}],"issued":{"date-parts":[["2015",12,1]]}}}],"schema":"https://github.com/citation-style-language/schema/raw/master/csl-citation.json"} </w:instrText>
      </w:r>
      <w:r w:rsidR="0007534F" w:rsidRPr="0080521D">
        <w:rPr>
          <w:rFonts w:ascii="Times New Roman" w:hAnsi="Times New Roman" w:cs="Times New Roman"/>
          <w:sz w:val="20"/>
          <w:szCs w:val="20"/>
        </w:rPr>
        <w:fldChar w:fldCharType="separate"/>
      </w:r>
      <w:r w:rsidR="0007534F" w:rsidRPr="0080521D">
        <w:rPr>
          <w:rFonts w:ascii="Times New Roman" w:hAnsi="Times New Roman" w:cs="Times New Roman"/>
          <w:sz w:val="20"/>
          <w:szCs w:val="20"/>
        </w:rPr>
        <w:t xml:space="preserve">Lambert et </w:t>
      </w:r>
      <w:r w:rsidR="0007534F">
        <w:rPr>
          <w:rFonts w:ascii="Times New Roman" w:hAnsi="Times New Roman" w:cs="Times New Roman"/>
          <w:sz w:val="20"/>
          <w:szCs w:val="20"/>
        </w:rPr>
        <w:t>al.</w:t>
      </w:r>
      <w:r w:rsidR="0007534F" w:rsidRPr="0080521D">
        <w:rPr>
          <w:rFonts w:ascii="Times New Roman" w:hAnsi="Times New Roman" w:cs="Times New Roman"/>
          <w:sz w:val="20"/>
          <w:szCs w:val="20"/>
        </w:rPr>
        <w:t xml:space="preserve"> 2015</w:t>
      </w:r>
      <w:r w:rsidR="0007534F" w:rsidRPr="0080521D">
        <w:rPr>
          <w:rFonts w:ascii="Times New Roman" w:hAnsi="Times New Roman" w:cs="Times New Roman"/>
          <w:sz w:val="20"/>
          <w:szCs w:val="20"/>
        </w:rPr>
        <w:fldChar w:fldCharType="end"/>
      </w:r>
      <w:r w:rsidR="0007534F">
        <w:rPr>
          <w:rFonts w:ascii="Times New Roman" w:hAnsi="Times New Roman" w:cs="Times New Roman"/>
          <w:sz w:val="20"/>
          <w:szCs w:val="20"/>
        </w:rPr>
        <w:t xml:space="preserve">; </w:t>
      </w:r>
      <w:r w:rsidR="00B90DDC" w:rsidRPr="0080521D">
        <w:rPr>
          <w:rFonts w:ascii="Times New Roman" w:hAnsi="Times New Roman" w:cs="Times New Roman"/>
          <w:sz w:val="20"/>
          <w:szCs w:val="20"/>
          <w:shd w:val="clear" w:color="auto" w:fill="FFFFFF"/>
        </w:rPr>
        <w:t xml:space="preserve">Sverrisdo´ttir et </w:t>
      </w:r>
      <w:r w:rsidR="00E748A7">
        <w:rPr>
          <w:rFonts w:ascii="Times New Roman" w:hAnsi="Times New Roman" w:cs="Times New Roman"/>
          <w:sz w:val="20"/>
          <w:szCs w:val="20"/>
          <w:shd w:val="clear" w:color="auto" w:fill="FFFFFF"/>
        </w:rPr>
        <w:t>al.</w:t>
      </w:r>
      <w:r w:rsidR="00B90DDC" w:rsidRPr="0080521D">
        <w:rPr>
          <w:rFonts w:ascii="Times New Roman" w:hAnsi="Times New Roman" w:cs="Times New Roman"/>
          <w:sz w:val="20"/>
          <w:szCs w:val="20"/>
          <w:shd w:val="clear" w:color="auto" w:fill="FFFFFF"/>
        </w:rPr>
        <w:t xml:space="preserve"> 2008</w:t>
      </w:r>
      <w:r w:rsidR="00462E71" w:rsidRPr="0080521D">
        <w:rPr>
          <w:rFonts w:ascii="Times New Roman" w:hAnsi="Times New Roman" w:cs="Times New Roman"/>
          <w:sz w:val="20"/>
          <w:szCs w:val="20"/>
        </w:rPr>
        <w:t>) were part of a larger meta-analysis by Gui &amp; Wang (2017)</w:t>
      </w:r>
      <w:r w:rsidR="00D81CA0" w:rsidRPr="0080521D">
        <w:rPr>
          <w:rFonts w:ascii="Times New Roman" w:hAnsi="Times New Roman" w:cs="Times New Roman"/>
          <w:sz w:val="20"/>
          <w:szCs w:val="20"/>
          <w:vertAlign w:val="superscript"/>
        </w:rPr>
        <w:t>13</w:t>
      </w:r>
      <w:r w:rsidR="00462E71" w:rsidRPr="0080521D">
        <w:rPr>
          <w:rFonts w:ascii="Times New Roman" w:hAnsi="Times New Roman" w:cs="Times New Roman"/>
          <w:sz w:val="20"/>
          <w:szCs w:val="20"/>
        </w:rPr>
        <w:t xml:space="preserve">. The pooled ‘probability of sympathetic bursts’ data </w:t>
      </w:r>
      <w:r w:rsidR="00462E71" w:rsidRPr="0080521D">
        <w:rPr>
          <w:rFonts w:ascii="Times New Roman" w:hAnsi="Times New Roman" w:cs="Times New Roman"/>
          <w:sz w:val="20"/>
          <w:szCs w:val="20"/>
          <w:shd w:val="clear" w:color="auto" w:fill="FFFFFF"/>
        </w:rPr>
        <w:t>revealed a large and significant effect size (</w:t>
      </w:r>
      <w:r w:rsidR="00462E71" w:rsidRPr="0080521D">
        <w:rPr>
          <w:rFonts w:ascii="Times New Roman" w:hAnsi="Times New Roman" w:cs="Times New Roman"/>
          <w:sz w:val="20"/>
          <w:szCs w:val="20"/>
        </w:rPr>
        <w:t xml:space="preserve">Hedges’ g = 1.29, 95% CI 0.80 to 1.79, p &lt; 0.00001) as did the ‘frequency of firing’ data </w:t>
      </w:r>
      <w:r w:rsidR="00462E71" w:rsidRPr="0080521D">
        <w:rPr>
          <w:rFonts w:ascii="Times New Roman" w:hAnsi="Times New Roman" w:cs="Times New Roman"/>
          <w:sz w:val="20"/>
          <w:szCs w:val="20"/>
          <w:shd w:val="clear" w:color="auto" w:fill="FFFFFF"/>
        </w:rPr>
        <w:t>(</w:t>
      </w:r>
      <w:r w:rsidR="00462E71" w:rsidRPr="0080521D">
        <w:rPr>
          <w:rFonts w:ascii="Times New Roman" w:hAnsi="Times New Roman" w:cs="Times New Roman"/>
          <w:sz w:val="20"/>
          <w:szCs w:val="20"/>
        </w:rPr>
        <w:t>Hedges’ g = 1.06, 95% CI 0.58 to 1.53, p &lt; 0.0001).</w:t>
      </w:r>
    </w:p>
    <w:p w14:paraId="102DB216" w14:textId="774CE505" w:rsidR="00462E71" w:rsidRPr="0080521D" w:rsidRDefault="00462E71" w:rsidP="00764220">
      <w:pPr>
        <w:spacing w:after="120"/>
        <w:jc w:val="both"/>
        <w:rPr>
          <w:rFonts w:ascii="Times New Roman" w:hAnsi="Times New Roman" w:cs="Times New Roman"/>
          <w:bCs/>
          <w:i/>
          <w:iCs/>
          <w:sz w:val="20"/>
          <w:szCs w:val="20"/>
          <w:shd w:val="clear" w:color="auto" w:fill="FFFFFF"/>
        </w:rPr>
      </w:pPr>
      <w:r w:rsidRPr="0080521D">
        <w:rPr>
          <w:rFonts w:ascii="Times New Roman" w:hAnsi="Times New Roman" w:cs="Times New Roman"/>
          <w:bCs/>
          <w:i/>
          <w:iCs/>
          <w:sz w:val="20"/>
          <w:szCs w:val="20"/>
          <w:shd w:val="clear" w:color="auto" w:fill="FFFFFF"/>
        </w:rPr>
        <w:t xml:space="preserve">Heart </w:t>
      </w:r>
      <w:r w:rsidR="00F35B78">
        <w:rPr>
          <w:rFonts w:ascii="Times New Roman" w:hAnsi="Times New Roman" w:cs="Times New Roman"/>
          <w:bCs/>
          <w:i/>
          <w:iCs/>
          <w:sz w:val="20"/>
          <w:szCs w:val="20"/>
          <w:shd w:val="clear" w:color="auto" w:fill="FFFFFF"/>
        </w:rPr>
        <w:t>r</w:t>
      </w:r>
      <w:r w:rsidRPr="0080521D">
        <w:rPr>
          <w:rFonts w:ascii="Times New Roman" w:hAnsi="Times New Roman" w:cs="Times New Roman"/>
          <w:bCs/>
          <w:i/>
          <w:iCs/>
          <w:sz w:val="20"/>
          <w:szCs w:val="20"/>
          <w:shd w:val="clear" w:color="auto" w:fill="FFFFFF"/>
        </w:rPr>
        <w:t xml:space="preserve">ate </w:t>
      </w:r>
      <w:r w:rsidR="008236FA">
        <w:rPr>
          <w:rFonts w:ascii="Times New Roman" w:hAnsi="Times New Roman" w:cs="Times New Roman"/>
          <w:bCs/>
          <w:i/>
          <w:iCs/>
          <w:sz w:val="20"/>
          <w:szCs w:val="20"/>
          <w:shd w:val="clear" w:color="auto" w:fill="FFFFFF"/>
        </w:rPr>
        <w:t>v</w:t>
      </w:r>
      <w:r w:rsidRPr="0080521D">
        <w:rPr>
          <w:rFonts w:ascii="Times New Roman" w:hAnsi="Times New Roman" w:cs="Times New Roman"/>
          <w:bCs/>
          <w:i/>
          <w:iCs/>
          <w:sz w:val="20"/>
          <w:szCs w:val="20"/>
          <w:shd w:val="clear" w:color="auto" w:fill="FFFFFF"/>
        </w:rPr>
        <w:t>ariability (HRV)</w:t>
      </w:r>
    </w:p>
    <w:p w14:paraId="4415AECA" w14:textId="6B726CFE" w:rsidR="00462E71" w:rsidRPr="0080521D" w:rsidRDefault="00462E71" w:rsidP="00231AA2">
      <w:pPr>
        <w:spacing w:after="0" w:line="240" w:lineRule="auto"/>
        <w:ind w:firstLine="720"/>
        <w:jc w:val="both"/>
        <w:rPr>
          <w:rFonts w:ascii="Times New Roman" w:hAnsi="Times New Roman" w:cs="Times New Roman"/>
          <w:sz w:val="20"/>
          <w:szCs w:val="20"/>
          <w:shd w:val="clear" w:color="auto" w:fill="FFFFFF"/>
        </w:rPr>
      </w:pPr>
      <w:r w:rsidRPr="0080521D">
        <w:rPr>
          <w:rFonts w:ascii="Times New Roman" w:hAnsi="Times New Roman" w:cs="Times New Roman"/>
          <w:sz w:val="20"/>
          <w:szCs w:val="20"/>
          <w:shd w:val="clear" w:color="auto" w:fill="FFFFFF"/>
        </w:rPr>
        <w:t>HRV</w:t>
      </w:r>
      <w:r w:rsidR="00D81CA0" w:rsidRPr="0080521D">
        <w:rPr>
          <w:rFonts w:ascii="Times New Roman" w:hAnsi="Times New Roman" w:cs="Times New Roman"/>
          <w:sz w:val="20"/>
          <w:szCs w:val="20"/>
          <w:shd w:val="clear" w:color="auto" w:fill="FFFFFF"/>
          <w:vertAlign w:val="superscript"/>
        </w:rPr>
        <w:t>14</w:t>
      </w:r>
      <w:r w:rsidRPr="0080521D">
        <w:rPr>
          <w:rFonts w:ascii="Times New Roman" w:hAnsi="Times New Roman" w:cs="Times New Roman"/>
          <w:sz w:val="20"/>
          <w:szCs w:val="20"/>
          <w:shd w:val="clear" w:color="auto" w:fill="FFFFFF"/>
        </w:rPr>
        <w:t xml:space="preserve"> tends to be constricted in women with PCOS, </w:t>
      </w:r>
      <w:r w:rsidR="00C32F4B">
        <w:rPr>
          <w:rFonts w:ascii="Times New Roman" w:hAnsi="Times New Roman" w:cs="Times New Roman"/>
          <w:sz w:val="20"/>
          <w:szCs w:val="20"/>
          <w:shd w:val="clear" w:color="auto" w:fill="FFFFFF"/>
        </w:rPr>
        <w:t xml:space="preserve">and studies indicate </w:t>
      </w:r>
      <w:r w:rsidRPr="0080521D">
        <w:rPr>
          <w:rFonts w:ascii="Times New Roman" w:hAnsi="Times New Roman" w:cs="Times New Roman"/>
          <w:sz w:val="20"/>
          <w:szCs w:val="20"/>
          <w:shd w:val="clear" w:color="auto" w:fill="FFFFFF"/>
        </w:rPr>
        <w:t xml:space="preserve">there is less variation between heartbeat intervals </w:t>
      </w:r>
      <w:r w:rsidR="00C32F4B">
        <w:rPr>
          <w:rFonts w:ascii="Times New Roman" w:hAnsi="Times New Roman" w:cs="Times New Roman"/>
          <w:sz w:val="20"/>
          <w:szCs w:val="20"/>
          <w:shd w:val="clear" w:color="auto" w:fill="FFFFFF"/>
        </w:rPr>
        <w:t xml:space="preserve">when </w:t>
      </w:r>
      <w:r w:rsidR="005F13CF" w:rsidRPr="0080521D">
        <w:rPr>
          <w:rFonts w:ascii="Times New Roman" w:hAnsi="Times New Roman" w:cs="Times New Roman"/>
          <w:sz w:val="20"/>
          <w:szCs w:val="20"/>
          <w:shd w:val="clear" w:color="auto" w:fill="FFFFFF"/>
        </w:rPr>
        <w:t>compared to</w:t>
      </w:r>
      <w:r w:rsidRPr="0080521D">
        <w:rPr>
          <w:rFonts w:ascii="Times New Roman" w:hAnsi="Times New Roman" w:cs="Times New Roman"/>
          <w:sz w:val="20"/>
          <w:szCs w:val="20"/>
          <w:shd w:val="clear" w:color="auto" w:fill="FFFFFF"/>
        </w:rPr>
        <w:t xml:space="preserve"> controls</w:t>
      </w:r>
      <w:r w:rsidR="00C32F4B">
        <w:rPr>
          <w:rFonts w:ascii="Times New Roman" w:hAnsi="Times New Roman" w:cs="Times New Roman"/>
          <w:sz w:val="20"/>
          <w:szCs w:val="20"/>
          <w:shd w:val="clear" w:color="auto" w:fill="FFFFFF"/>
        </w:rPr>
        <w:t xml:space="preserve"> </w:t>
      </w:r>
      <w:r w:rsidR="00C32F4B" w:rsidRPr="0080521D">
        <w:rPr>
          <w:rFonts w:ascii="Times New Roman" w:hAnsi="Times New Roman" w:cs="Times New Roman"/>
          <w:sz w:val="20"/>
          <w:szCs w:val="20"/>
        </w:rPr>
        <w:t xml:space="preserve">(e.g., Hashim et </w:t>
      </w:r>
      <w:r w:rsidR="00C32F4B">
        <w:rPr>
          <w:rFonts w:ascii="Times New Roman" w:hAnsi="Times New Roman" w:cs="Times New Roman"/>
          <w:sz w:val="20"/>
          <w:szCs w:val="20"/>
        </w:rPr>
        <w:t>al.</w:t>
      </w:r>
      <w:r w:rsidR="00C32F4B" w:rsidRPr="0080521D">
        <w:rPr>
          <w:rFonts w:ascii="Times New Roman" w:hAnsi="Times New Roman" w:cs="Times New Roman"/>
          <w:sz w:val="20"/>
          <w:szCs w:val="20"/>
        </w:rPr>
        <w:t xml:space="preserve"> 2015; Lambert et </w:t>
      </w:r>
      <w:r w:rsidR="00C32F4B">
        <w:rPr>
          <w:rFonts w:ascii="Times New Roman" w:hAnsi="Times New Roman" w:cs="Times New Roman"/>
          <w:sz w:val="20"/>
          <w:szCs w:val="20"/>
        </w:rPr>
        <w:t>al.</w:t>
      </w:r>
      <w:r w:rsidR="00C32F4B" w:rsidRPr="0080521D">
        <w:rPr>
          <w:rFonts w:ascii="Times New Roman" w:hAnsi="Times New Roman" w:cs="Times New Roman"/>
          <w:sz w:val="20"/>
          <w:szCs w:val="20"/>
        </w:rPr>
        <w:t xml:space="preserve"> 2015; Saranya et </w:t>
      </w:r>
      <w:r w:rsidR="00C32F4B">
        <w:rPr>
          <w:rFonts w:ascii="Times New Roman" w:hAnsi="Times New Roman" w:cs="Times New Roman"/>
          <w:sz w:val="20"/>
          <w:szCs w:val="20"/>
        </w:rPr>
        <w:t>al.</w:t>
      </w:r>
      <w:r w:rsidR="00C32F4B" w:rsidRPr="0080521D">
        <w:rPr>
          <w:rFonts w:ascii="Times New Roman" w:hAnsi="Times New Roman" w:cs="Times New Roman"/>
          <w:sz w:val="20"/>
          <w:szCs w:val="20"/>
        </w:rPr>
        <w:t xml:space="preserve"> 2014)</w:t>
      </w:r>
      <w:r w:rsidRPr="0080521D">
        <w:rPr>
          <w:rFonts w:ascii="Times New Roman" w:hAnsi="Times New Roman" w:cs="Times New Roman"/>
          <w:sz w:val="20"/>
          <w:szCs w:val="20"/>
          <w:shd w:val="clear" w:color="auto" w:fill="FFFFFF"/>
        </w:rPr>
        <w:t xml:space="preserve">. This pattern manifests through two time-domain indices of HRV, </w:t>
      </w:r>
      <w:r w:rsidR="005E6449">
        <w:rPr>
          <w:rFonts w:ascii="Times New Roman" w:hAnsi="Times New Roman" w:cs="Times New Roman"/>
          <w:sz w:val="20"/>
          <w:szCs w:val="20"/>
          <w:shd w:val="clear" w:color="auto" w:fill="FFFFFF"/>
        </w:rPr>
        <w:t>SDNN</w:t>
      </w:r>
      <w:r w:rsidRPr="0080521D">
        <w:rPr>
          <w:rFonts w:ascii="Times New Roman" w:hAnsi="Times New Roman" w:cs="Times New Roman"/>
          <w:sz w:val="20"/>
          <w:szCs w:val="20"/>
          <w:shd w:val="clear" w:color="auto" w:fill="FFFFFF"/>
        </w:rPr>
        <w:t xml:space="preserve"> and pNN50</w:t>
      </w:r>
      <w:r w:rsidR="00595DAA" w:rsidRPr="0080521D">
        <w:rPr>
          <w:rFonts w:ascii="Times New Roman" w:hAnsi="Times New Roman" w:cs="Times New Roman"/>
          <w:sz w:val="20"/>
          <w:szCs w:val="20"/>
          <w:shd w:val="clear" w:color="auto" w:fill="FFFFFF"/>
          <w:vertAlign w:val="superscript"/>
        </w:rPr>
        <w:t>1</w:t>
      </w:r>
      <w:r w:rsidR="009F666F">
        <w:rPr>
          <w:rFonts w:ascii="Times New Roman" w:hAnsi="Times New Roman" w:cs="Times New Roman"/>
          <w:sz w:val="20"/>
          <w:szCs w:val="20"/>
          <w:shd w:val="clear" w:color="auto" w:fill="FFFFFF"/>
          <w:vertAlign w:val="superscript"/>
        </w:rPr>
        <w:t>5</w:t>
      </w:r>
      <w:r w:rsidR="00595DAA" w:rsidRPr="0080521D">
        <w:rPr>
          <w:rFonts w:ascii="Times New Roman" w:hAnsi="Times New Roman" w:cs="Times New Roman"/>
          <w:sz w:val="20"/>
          <w:szCs w:val="20"/>
          <w:shd w:val="clear" w:color="auto" w:fill="FFFFFF"/>
          <w:vertAlign w:val="superscript"/>
        </w:rPr>
        <w:t>,1</w:t>
      </w:r>
      <w:r w:rsidR="009F666F">
        <w:rPr>
          <w:rFonts w:ascii="Times New Roman" w:hAnsi="Times New Roman" w:cs="Times New Roman"/>
          <w:sz w:val="20"/>
          <w:szCs w:val="20"/>
          <w:shd w:val="clear" w:color="auto" w:fill="FFFFFF"/>
          <w:vertAlign w:val="superscript"/>
        </w:rPr>
        <w:t>6</w:t>
      </w:r>
      <w:r w:rsidR="0073342B" w:rsidRPr="0080521D">
        <w:rPr>
          <w:rFonts w:ascii="Times New Roman" w:hAnsi="Times New Roman" w:cs="Times New Roman"/>
          <w:sz w:val="20"/>
          <w:szCs w:val="20"/>
          <w:shd w:val="clear" w:color="auto" w:fill="FFFFFF"/>
        </w:rPr>
        <w:t>;</w:t>
      </w:r>
      <w:r w:rsidRPr="0080521D">
        <w:rPr>
          <w:rFonts w:ascii="Times New Roman" w:hAnsi="Times New Roman" w:cs="Times New Roman"/>
          <w:sz w:val="20"/>
          <w:szCs w:val="20"/>
          <w:shd w:val="clear" w:color="auto" w:fill="FFFFFF"/>
        </w:rPr>
        <w:t xml:space="preserve"> and through three frequency-domain parameters of HRV: low-frequency power (LF)</w:t>
      </w:r>
      <w:r w:rsidR="005E6F49" w:rsidRPr="0080521D">
        <w:rPr>
          <w:rFonts w:ascii="Times New Roman" w:hAnsi="Times New Roman" w:cs="Times New Roman"/>
          <w:sz w:val="20"/>
          <w:szCs w:val="20"/>
          <w:shd w:val="clear" w:color="auto" w:fill="FFFFFF"/>
          <w:vertAlign w:val="superscript"/>
        </w:rPr>
        <w:t>1</w:t>
      </w:r>
      <w:r w:rsidR="009F666F">
        <w:rPr>
          <w:rFonts w:ascii="Times New Roman" w:hAnsi="Times New Roman" w:cs="Times New Roman"/>
          <w:sz w:val="20"/>
          <w:szCs w:val="20"/>
          <w:shd w:val="clear" w:color="auto" w:fill="FFFFFF"/>
          <w:vertAlign w:val="superscript"/>
        </w:rPr>
        <w:t>7</w:t>
      </w:r>
      <w:r w:rsidRPr="0080521D">
        <w:rPr>
          <w:rFonts w:ascii="Times New Roman" w:hAnsi="Times New Roman" w:cs="Times New Roman"/>
          <w:sz w:val="20"/>
          <w:szCs w:val="20"/>
          <w:shd w:val="clear" w:color="auto" w:fill="FFFFFF"/>
        </w:rPr>
        <w:t>, high-frequency power (HF)</w:t>
      </w:r>
      <w:r w:rsidR="005E6F49" w:rsidRPr="0080521D">
        <w:rPr>
          <w:rFonts w:ascii="Times New Roman" w:hAnsi="Times New Roman" w:cs="Times New Roman"/>
          <w:sz w:val="20"/>
          <w:szCs w:val="20"/>
          <w:shd w:val="clear" w:color="auto" w:fill="FFFFFF"/>
          <w:vertAlign w:val="superscript"/>
        </w:rPr>
        <w:t>1</w:t>
      </w:r>
      <w:r w:rsidR="00F6504D">
        <w:rPr>
          <w:rFonts w:ascii="Times New Roman" w:hAnsi="Times New Roman" w:cs="Times New Roman"/>
          <w:sz w:val="20"/>
          <w:szCs w:val="20"/>
          <w:shd w:val="clear" w:color="auto" w:fill="FFFFFF"/>
          <w:vertAlign w:val="superscript"/>
        </w:rPr>
        <w:t>8</w:t>
      </w:r>
      <w:r w:rsidRPr="0080521D">
        <w:rPr>
          <w:rFonts w:ascii="Times New Roman" w:hAnsi="Times New Roman" w:cs="Times New Roman"/>
          <w:sz w:val="20"/>
          <w:szCs w:val="20"/>
          <w:shd w:val="clear" w:color="auto" w:fill="FFFFFF"/>
        </w:rPr>
        <w:t>, and total powers</w:t>
      </w:r>
      <w:r w:rsidR="00F6504D">
        <w:rPr>
          <w:rFonts w:ascii="Times New Roman" w:hAnsi="Times New Roman" w:cs="Times New Roman"/>
          <w:sz w:val="20"/>
          <w:szCs w:val="20"/>
          <w:shd w:val="clear" w:color="auto" w:fill="FFFFFF"/>
          <w:vertAlign w:val="superscript"/>
        </w:rPr>
        <w:t>19</w:t>
      </w:r>
      <w:r w:rsidRPr="0080521D">
        <w:rPr>
          <w:rFonts w:ascii="Times New Roman" w:hAnsi="Times New Roman" w:cs="Times New Roman"/>
          <w:sz w:val="20"/>
          <w:szCs w:val="20"/>
          <w:shd w:val="clear" w:color="auto" w:fill="FFFFFF"/>
        </w:rPr>
        <w:t xml:space="preserve"> (see Gui &amp; Wang (2017). Generally speaking, more variability in HRV indicates more parasympathetic dominance</w:t>
      </w:r>
      <w:r w:rsidR="00982A5B" w:rsidRPr="0080521D">
        <w:rPr>
          <w:rFonts w:ascii="Times New Roman" w:hAnsi="Times New Roman" w:cs="Times New Roman"/>
          <w:sz w:val="20"/>
          <w:szCs w:val="20"/>
          <w:shd w:val="clear" w:color="auto" w:fill="FFFFFF"/>
        </w:rPr>
        <w:t>,</w:t>
      </w:r>
      <w:r w:rsidRPr="0080521D">
        <w:rPr>
          <w:rFonts w:ascii="Times New Roman" w:hAnsi="Times New Roman" w:cs="Times New Roman"/>
          <w:sz w:val="20"/>
          <w:szCs w:val="20"/>
          <w:shd w:val="clear" w:color="auto" w:fill="FFFFFF"/>
        </w:rPr>
        <w:t xml:space="preserve"> while less variability indicates more sympathetic dominance </w:t>
      </w:r>
      <w:r w:rsidR="002A4A5E" w:rsidRPr="0080521D">
        <w:rPr>
          <w:rFonts w:ascii="Times New Roman" w:hAnsi="Times New Roman" w:cs="Times New Roman"/>
          <w:sz w:val="20"/>
          <w:szCs w:val="20"/>
          <w:shd w:val="clear" w:color="auto" w:fill="FFFFFF"/>
        </w:rPr>
        <w:t>(</w:t>
      </w:r>
      <w:r w:rsidR="00BE1B5D" w:rsidRPr="0080521D">
        <w:rPr>
          <w:rFonts w:ascii="Times New Roman" w:hAnsi="Times New Roman" w:cs="Times New Roman"/>
          <w:sz w:val="20"/>
          <w:szCs w:val="20"/>
          <w:shd w:val="clear" w:color="auto" w:fill="FFFFFF"/>
        </w:rPr>
        <w:t>ETF</w:t>
      </w:r>
      <w:r w:rsidRPr="0080521D">
        <w:rPr>
          <w:rFonts w:ascii="Times New Roman" w:hAnsi="Times New Roman" w:cs="Times New Roman"/>
          <w:sz w:val="20"/>
          <w:szCs w:val="20"/>
          <w:shd w:val="clear" w:color="auto" w:fill="FFFFFF"/>
        </w:rPr>
        <w:t xml:space="preserve"> 1996</w:t>
      </w:r>
      <w:r w:rsidR="00906838" w:rsidRPr="0080521D">
        <w:rPr>
          <w:rFonts w:ascii="Times New Roman" w:hAnsi="Times New Roman" w:cs="Times New Roman"/>
          <w:sz w:val="20"/>
          <w:szCs w:val="20"/>
          <w:shd w:val="clear" w:color="auto" w:fill="FFFFFF"/>
        </w:rPr>
        <w:t>).</w:t>
      </w:r>
    </w:p>
    <w:p w14:paraId="0EDF4916" w14:textId="138FB749" w:rsidR="00462E71" w:rsidRPr="0010670E" w:rsidRDefault="00462E71" w:rsidP="00231AA2">
      <w:pPr>
        <w:spacing w:before="100" w:after="100" w:line="240" w:lineRule="auto"/>
        <w:ind w:firstLine="706"/>
        <w:jc w:val="both"/>
        <w:rPr>
          <w:rFonts w:ascii="Times New Roman" w:hAnsi="Times New Roman" w:cs="Times New Roman"/>
          <w:bCs/>
          <w:i/>
          <w:iCs/>
          <w:sz w:val="20"/>
          <w:szCs w:val="20"/>
          <w:u w:val="single"/>
          <w:shd w:val="clear" w:color="auto" w:fill="FFFFFF"/>
        </w:rPr>
      </w:pPr>
      <w:r w:rsidRPr="0010670E">
        <w:rPr>
          <w:rFonts w:ascii="Times New Roman" w:hAnsi="Times New Roman" w:cs="Times New Roman"/>
          <w:bCs/>
          <w:i/>
          <w:iCs/>
          <w:sz w:val="20"/>
          <w:szCs w:val="20"/>
          <w:u w:val="single"/>
          <w:shd w:val="clear" w:color="auto" w:fill="FFFFFF"/>
        </w:rPr>
        <w:t>SDNN</w:t>
      </w:r>
      <w:r w:rsidR="00C32F4B" w:rsidRPr="0010670E">
        <w:rPr>
          <w:rFonts w:ascii="Times New Roman" w:hAnsi="Times New Roman" w:cs="Times New Roman"/>
          <w:bCs/>
          <w:i/>
          <w:iCs/>
          <w:sz w:val="20"/>
          <w:szCs w:val="20"/>
          <w:u w:val="single"/>
          <w:shd w:val="clear" w:color="auto" w:fill="FFFFFF"/>
        </w:rPr>
        <w:t xml:space="preserve"> </w:t>
      </w:r>
    </w:p>
    <w:p w14:paraId="27039255" w14:textId="791DB2D4" w:rsidR="00462E71" w:rsidRPr="0080521D" w:rsidRDefault="00462E71" w:rsidP="00231AA2">
      <w:pPr>
        <w:spacing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The HRV index, SDNN, correlates with the state of overall cardiac autonomic modulation </w:t>
      </w:r>
      <w:r w:rsidR="002A4A5E" w:rsidRPr="0080521D">
        <w:rPr>
          <w:rFonts w:ascii="Times New Roman" w:hAnsi="Times New Roman" w:cs="Times New Roman"/>
          <w:sz w:val="20"/>
          <w:szCs w:val="20"/>
        </w:rPr>
        <w:t>(</w:t>
      </w:r>
      <w:r w:rsidR="00BE1B5D" w:rsidRPr="0080521D">
        <w:rPr>
          <w:rFonts w:ascii="Times New Roman" w:hAnsi="Times New Roman" w:cs="Times New Roman"/>
          <w:sz w:val="20"/>
          <w:szCs w:val="20"/>
        </w:rPr>
        <w:t>ETF</w:t>
      </w:r>
      <w:r w:rsidRPr="0080521D">
        <w:rPr>
          <w:rFonts w:ascii="Times New Roman" w:hAnsi="Times New Roman" w:cs="Times New Roman"/>
          <w:sz w:val="20"/>
          <w:szCs w:val="20"/>
        </w:rPr>
        <w:t xml:space="preserve"> 1996). Lower SDNN values in PCOS women (e.g., </w:t>
      </w:r>
      <w:r w:rsidR="006726EB" w:rsidRPr="0080521D">
        <w:rPr>
          <w:rFonts w:ascii="Times New Roman" w:hAnsi="Times New Roman" w:cs="Times New Roman"/>
          <w:sz w:val="20"/>
          <w:szCs w:val="20"/>
        </w:rPr>
        <w:t xml:space="preserve">Ferezini de Sa et </w:t>
      </w:r>
      <w:r w:rsidR="006726EB">
        <w:rPr>
          <w:rFonts w:ascii="Times New Roman" w:hAnsi="Times New Roman" w:cs="Times New Roman"/>
          <w:sz w:val="20"/>
          <w:szCs w:val="20"/>
        </w:rPr>
        <w:t>al.</w:t>
      </w:r>
      <w:r w:rsidR="006726EB" w:rsidRPr="0080521D">
        <w:rPr>
          <w:rFonts w:ascii="Times New Roman" w:hAnsi="Times New Roman" w:cs="Times New Roman"/>
          <w:sz w:val="20"/>
          <w:szCs w:val="20"/>
        </w:rPr>
        <w:t xml:space="preserve"> 2011</w:t>
      </w:r>
      <w:r w:rsidR="006726EB">
        <w:rPr>
          <w:rFonts w:ascii="Times New Roman" w:hAnsi="Times New Roman" w:cs="Times New Roman"/>
          <w:sz w:val="20"/>
          <w:szCs w:val="20"/>
        </w:rPr>
        <w:t xml:space="preserve">; </w:t>
      </w:r>
      <w:r w:rsidRPr="0080521D">
        <w:rPr>
          <w:rFonts w:ascii="Times New Roman" w:hAnsi="Times New Roman" w:cs="Times New Roman"/>
          <w:sz w:val="20"/>
          <w:szCs w:val="20"/>
        </w:rPr>
        <w:t xml:space="preserve">Hashim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2015</w:t>
      </w:r>
      <w:r w:rsidR="00511F11" w:rsidRPr="0080521D">
        <w:rPr>
          <w:rFonts w:ascii="Times New Roman" w:hAnsi="Times New Roman" w:cs="Times New Roman"/>
          <w:sz w:val="20"/>
          <w:szCs w:val="20"/>
          <w:vertAlign w:val="superscript"/>
        </w:rPr>
        <w:t>2</w:t>
      </w:r>
      <w:r w:rsidR="00F6504D">
        <w:rPr>
          <w:rFonts w:ascii="Times New Roman" w:hAnsi="Times New Roman" w:cs="Times New Roman"/>
          <w:sz w:val="20"/>
          <w:szCs w:val="20"/>
          <w:vertAlign w:val="superscript"/>
        </w:rPr>
        <w:t>0</w:t>
      </w:r>
      <w:r w:rsidRPr="0080521D">
        <w:rPr>
          <w:rFonts w:ascii="Times New Roman" w:hAnsi="Times New Roman" w:cs="Times New Roman"/>
          <w:sz w:val="20"/>
          <w:szCs w:val="20"/>
        </w:rPr>
        <w:t xml:space="preserve">; Saranya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2014) ha</w:t>
      </w:r>
      <w:r w:rsidR="00982A5B" w:rsidRPr="0080521D">
        <w:rPr>
          <w:rFonts w:ascii="Times New Roman" w:hAnsi="Times New Roman" w:cs="Times New Roman"/>
          <w:sz w:val="20"/>
          <w:szCs w:val="20"/>
        </w:rPr>
        <w:t>ve</w:t>
      </w:r>
      <w:r w:rsidRPr="0080521D">
        <w:rPr>
          <w:rFonts w:ascii="Times New Roman" w:hAnsi="Times New Roman" w:cs="Times New Roman"/>
          <w:sz w:val="20"/>
          <w:szCs w:val="20"/>
        </w:rPr>
        <w:t xml:space="preserve"> been interpreted as a sign of increased sympathetic activity and decreased parasympathetic modulation of cardiac function.</w:t>
      </w:r>
    </w:p>
    <w:p w14:paraId="4F118957" w14:textId="5BD8E605" w:rsidR="00462E71" w:rsidRPr="0080521D" w:rsidRDefault="00462E71" w:rsidP="00231AA2">
      <w:pPr>
        <w:spacing w:before="100"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Not all studies </w:t>
      </w:r>
      <w:r w:rsidR="00B843CB" w:rsidRPr="0080521D">
        <w:rPr>
          <w:rFonts w:ascii="Times New Roman" w:hAnsi="Times New Roman" w:cs="Times New Roman"/>
          <w:sz w:val="20"/>
          <w:szCs w:val="20"/>
        </w:rPr>
        <w:t xml:space="preserve">evince </w:t>
      </w:r>
      <w:r w:rsidRPr="0080521D">
        <w:rPr>
          <w:rFonts w:ascii="Times New Roman" w:hAnsi="Times New Roman" w:cs="Times New Roman"/>
          <w:sz w:val="20"/>
          <w:szCs w:val="20"/>
        </w:rPr>
        <w:t xml:space="preserve">the finding (e.g., Ji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2018; Özkeçeci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2016), but Gui &amp; Wang’s (2017) meta-analysis reports the finding is consistent and sizeable. In a meta-analysis of 8 studies, women with PCOS had significantly lower SDNN than controls (Hedges’ g = −0.51, p = 0.03</w:t>
      </w:r>
      <w:r w:rsidR="00591FC0">
        <w:rPr>
          <w:rFonts w:ascii="Times New Roman" w:hAnsi="Times New Roman" w:cs="Times New Roman"/>
          <w:sz w:val="20"/>
          <w:szCs w:val="20"/>
        </w:rPr>
        <w:t>; 95% CI: -0.96 to -0.05</w:t>
      </w:r>
      <w:r w:rsidRPr="0080521D">
        <w:rPr>
          <w:rFonts w:ascii="Times New Roman" w:hAnsi="Times New Roman" w:cs="Times New Roman"/>
          <w:sz w:val="20"/>
          <w:szCs w:val="20"/>
        </w:rPr>
        <w:t xml:space="preserve">) </w:t>
      </w:r>
    </w:p>
    <w:p w14:paraId="6ECEACDD" w14:textId="77777777" w:rsidR="00462E71" w:rsidRPr="0010670E" w:rsidRDefault="00462E71" w:rsidP="00231AA2">
      <w:pPr>
        <w:spacing w:before="100" w:after="100" w:line="240" w:lineRule="auto"/>
        <w:ind w:firstLine="706"/>
        <w:jc w:val="both"/>
        <w:rPr>
          <w:rFonts w:ascii="Times New Roman" w:hAnsi="Times New Roman" w:cs="Times New Roman"/>
          <w:bCs/>
          <w:i/>
          <w:iCs/>
          <w:sz w:val="20"/>
          <w:szCs w:val="20"/>
          <w:u w:val="single"/>
        </w:rPr>
      </w:pPr>
      <w:r w:rsidRPr="0010670E">
        <w:rPr>
          <w:rFonts w:ascii="Times New Roman" w:hAnsi="Times New Roman" w:cs="Times New Roman"/>
          <w:bCs/>
          <w:i/>
          <w:iCs/>
          <w:sz w:val="20"/>
          <w:szCs w:val="20"/>
          <w:u w:val="single"/>
        </w:rPr>
        <w:t>pNN50</w:t>
      </w:r>
    </w:p>
    <w:p w14:paraId="09CA8776" w14:textId="76AF3846" w:rsidR="00462E71" w:rsidRPr="0080521D" w:rsidRDefault="00462E71" w:rsidP="00231AA2">
      <w:pPr>
        <w:spacing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As mentioned, lower </w:t>
      </w:r>
      <w:r w:rsidRPr="0080521D">
        <w:rPr>
          <w:rFonts w:ascii="Times New Roman" w:hAnsi="Times New Roman" w:cs="Times New Roman"/>
          <w:sz w:val="20"/>
          <w:szCs w:val="20"/>
          <w:shd w:val="clear" w:color="auto" w:fill="FFFFFF"/>
        </w:rPr>
        <w:t xml:space="preserve">pNN50 values have also been linked to PCOS women. Unlike SDNN, however, pNN50 correlates with decreased parasympathetic nervous activity (Shaffer &amp; Ginsberg 2017). Women with PCOS, in other words, </w:t>
      </w:r>
      <w:r w:rsidR="00011A73" w:rsidRPr="0080521D">
        <w:rPr>
          <w:rFonts w:ascii="Times New Roman" w:hAnsi="Times New Roman" w:cs="Times New Roman"/>
          <w:sz w:val="20"/>
          <w:szCs w:val="20"/>
        </w:rPr>
        <w:t>show</w:t>
      </w:r>
      <w:r w:rsidRPr="0080521D">
        <w:rPr>
          <w:rFonts w:ascii="Times New Roman" w:hAnsi="Times New Roman" w:cs="Times New Roman"/>
          <w:sz w:val="20"/>
          <w:szCs w:val="20"/>
        </w:rPr>
        <w:t xml:space="preserve"> significantly lower values </w:t>
      </w:r>
      <w:r w:rsidR="00D14D5F" w:rsidRPr="0080521D">
        <w:rPr>
          <w:rFonts w:ascii="Times New Roman" w:hAnsi="Times New Roman" w:cs="Times New Roman"/>
          <w:sz w:val="20"/>
          <w:szCs w:val="20"/>
        </w:rPr>
        <w:t>compared</w:t>
      </w:r>
      <w:r w:rsidRPr="0080521D">
        <w:rPr>
          <w:rFonts w:ascii="Times New Roman" w:hAnsi="Times New Roman" w:cs="Times New Roman"/>
          <w:sz w:val="20"/>
          <w:szCs w:val="20"/>
        </w:rPr>
        <w:t xml:space="preserve"> to controls</w:t>
      </w:r>
      <w:r w:rsidRPr="0080521D">
        <w:rPr>
          <w:rFonts w:ascii="Times New Roman" w:hAnsi="Times New Roman" w:cs="Times New Roman"/>
          <w:sz w:val="20"/>
          <w:szCs w:val="20"/>
          <w:shd w:val="clear" w:color="auto" w:fill="FFFFFF"/>
        </w:rPr>
        <w:t xml:space="preserve"> (e.g., Di Domenico et </w:t>
      </w:r>
      <w:r w:rsidR="00E748A7">
        <w:rPr>
          <w:rFonts w:ascii="Times New Roman" w:hAnsi="Times New Roman" w:cs="Times New Roman"/>
          <w:sz w:val="20"/>
          <w:szCs w:val="20"/>
          <w:shd w:val="clear" w:color="auto" w:fill="FFFFFF"/>
        </w:rPr>
        <w:t>al.</w:t>
      </w:r>
      <w:r w:rsidRPr="0080521D">
        <w:rPr>
          <w:rFonts w:ascii="Times New Roman" w:hAnsi="Times New Roman" w:cs="Times New Roman"/>
          <w:sz w:val="20"/>
          <w:szCs w:val="20"/>
          <w:shd w:val="clear" w:color="auto" w:fill="FFFFFF"/>
        </w:rPr>
        <w:t xml:space="preserve"> 2013; Hashim et </w:t>
      </w:r>
      <w:r w:rsidR="00E748A7">
        <w:rPr>
          <w:rFonts w:ascii="Times New Roman" w:hAnsi="Times New Roman" w:cs="Times New Roman"/>
          <w:sz w:val="20"/>
          <w:szCs w:val="20"/>
          <w:shd w:val="clear" w:color="auto" w:fill="FFFFFF"/>
        </w:rPr>
        <w:t>al.</w:t>
      </w:r>
      <w:r w:rsidRPr="0080521D">
        <w:rPr>
          <w:rFonts w:ascii="Times New Roman" w:hAnsi="Times New Roman" w:cs="Times New Roman"/>
          <w:sz w:val="20"/>
          <w:szCs w:val="20"/>
          <w:shd w:val="clear" w:color="auto" w:fill="FFFFFF"/>
        </w:rPr>
        <w:t xml:space="preserve"> 2015; Saranya et </w:t>
      </w:r>
      <w:r w:rsidR="00E748A7">
        <w:rPr>
          <w:rFonts w:ascii="Times New Roman" w:hAnsi="Times New Roman" w:cs="Times New Roman"/>
          <w:sz w:val="20"/>
          <w:szCs w:val="20"/>
          <w:shd w:val="clear" w:color="auto" w:fill="FFFFFF"/>
        </w:rPr>
        <w:t>al.</w:t>
      </w:r>
      <w:r w:rsidRPr="0080521D">
        <w:rPr>
          <w:rFonts w:ascii="Times New Roman" w:hAnsi="Times New Roman" w:cs="Times New Roman"/>
          <w:sz w:val="20"/>
          <w:szCs w:val="20"/>
          <w:shd w:val="clear" w:color="auto" w:fill="FFFFFF"/>
        </w:rPr>
        <w:t xml:space="preserve"> 2014). Gui &amp; Wang’s (2017) meta-analysis reveals that the effect size is large and the finding significant </w:t>
      </w:r>
      <w:r w:rsidRPr="0080521D">
        <w:rPr>
          <w:rFonts w:ascii="Times New Roman" w:hAnsi="Times New Roman" w:cs="Times New Roman"/>
          <w:sz w:val="20"/>
          <w:szCs w:val="20"/>
        </w:rPr>
        <w:t xml:space="preserve">(Hedges’ g = −1.04, </w:t>
      </w:r>
      <w:r w:rsidR="00591FC0" w:rsidRPr="0080521D">
        <w:rPr>
          <w:rFonts w:ascii="Times New Roman" w:hAnsi="Times New Roman" w:cs="Times New Roman"/>
          <w:sz w:val="20"/>
          <w:szCs w:val="20"/>
        </w:rPr>
        <w:t>p = 0.04</w:t>
      </w:r>
      <w:r w:rsidR="00591FC0">
        <w:rPr>
          <w:rFonts w:ascii="Times New Roman" w:hAnsi="Times New Roman" w:cs="Times New Roman"/>
          <w:sz w:val="20"/>
          <w:szCs w:val="20"/>
        </w:rPr>
        <w:t xml:space="preserve">; </w:t>
      </w:r>
      <w:r w:rsidRPr="0080521D">
        <w:rPr>
          <w:rFonts w:ascii="Times New Roman" w:hAnsi="Times New Roman" w:cs="Times New Roman"/>
          <w:sz w:val="20"/>
          <w:szCs w:val="20"/>
        </w:rPr>
        <w:t>95% CI</w:t>
      </w:r>
      <w:r w:rsidR="00591FC0">
        <w:rPr>
          <w:rFonts w:ascii="Times New Roman" w:hAnsi="Times New Roman" w:cs="Times New Roman"/>
          <w:sz w:val="20"/>
          <w:szCs w:val="20"/>
        </w:rPr>
        <w:t>:</w:t>
      </w:r>
      <w:r w:rsidRPr="0080521D">
        <w:rPr>
          <w:rFonts w:ascii="Times New Roman" w:hAnsi="Times New Roman" w:cs="Times New Roman"/>
          <w:sz w:val="20"/>
          <w:szCs w:val="20"/>
        </w:rPr>
        <w:t xml:space="preserve"> −2.01 to −0.06)</w:t>
      </w:r>
    </w:p>
    <w:p w14:paraId="39BB6002" w14:textId="77777777" w:rsidR="00462E71" w:rsidRPr="0010670E" w:rsidRDefault="00462E71" w:rsidP="00231AA2">
      <w:pPr>
        <w:spacing w:before="100" w:after="100" w:line="240" w:lineRule="auto"/>
        <w:jc w:val="both"/>
        <w:rPr>
          <w:rFonts w:ascii="Times New Roman" w:hAnsi="Times New Roman" w:cs="Times New Roman"/>
          <w:bCs/>
          <w:i/>
          <w:iCs/>
          <w:sz w:val="20"/>
          <w:szCs w:val="20"/>
        </w:rPr>
      </w:pPr>
      <w:r w:rsidRPr="0010670E">
        <w:rPr>
          <w:rFonts w:ascii="Times New Roman" w:hAnsi="Times New Roman" w:cs="Times New Roman"/>
          <w:bCs/>
          <w:i/>
          <w:iCs/>
          <w:sz w:val="20"/>
          <w:szCs w:val="20"/>
        </w:rPr>
        <w:t>LF or LF</w:t>
      </w:r>
      <w:r w:rsidRPr="0010670E">
        <w:rPr>
          <w:rFonts w:ascii="Times New Roman" w:hAnsi="Times New Roman" w:cs="Times New Roman"/>
          <w:bCs/>
          <w:i/>
          <w:iCs/>
          <w:sz w:val="20"/>
          <w:szCs w:val="20"/>
          <w:vertAlign w:val="subscript"/>
        </w:rPr>
        <w:t>nu</w:t>
      </w:r>
      <w:r w:rsidRPr="0010670E">
        <w:rPr>
          <w:rFonts w:ascii="Times New Roman" w:hAnsi="Times New Roman" w:cs="Times New Roman"/>
          <w:bCs/>
          <w:i/>
          <w:iCs/>
          <w:sz w:val="20"/>
          <w:szCs w:val="20"/>
        </w:rPr>
        <w:t xml:space="preserve"> power</w:t>
      </w:r>
    </w:p>
    <w:p w14:paraId="645EF1A9" w14:textId="37056BCC" w:rsidR="00462E71" w:rsidRPr="0080521D" w:rsidRDefault="00462E71" w:rsidP="00231AA2">
      <w:pPr>
        <w:spacing w:after="0" w:line="240" w:lineRule="auto"/>
        <w:ind w:firstLine="720"/>
        <w:jc w:val="both"/>
        <w:rPr>
          <w:rFonts w:ascii="Times New Roman" w:hAnsi="Times New Roman" w:cs="Times New Roman"/>
          <w:sz w:val="20"/>
          <w:szCs w:val="20"/>
          <w:shd w:val="clear" w:color="auto" w:fill="FFFFFF"/>
        </w:rPr>
      </w:pPr>
      <w:r w:rsidRPr="0080521D">
        <w:rPr>
          <w:rFonts w:ascii="Times New Roman" w:hAnsi="Times New Roman" w:cs="Times New Roman"/>
          <w:sz w:val="20"/>
          <w:szCs w:val="20"/>
        </w:rPr>
        <w:t>One of the HRV frequency parameters that correlate with sympathetic nerve activity is higher LF and/or LF</w:t>
      </w:r>
      <w:r w:rsidRPr="0080521D">
        <w:rPr>
          <w:rFonts w:ascii="Times New Roman" w:hAnsi="Times New Roman" w:cs="Times New Roman"/>
          <w:sz w:val="20"/>
          <w:szCs w:val="20"/>
          <w:vertAlign w:val="subscript"/>
        </w:rPr>
        <w:t>nu</w:t>
      </w:r>
      <w:r w:rsidR="002456F1" w:rsidRPr="004D202F">
        <w:rPr>
          <w:rFonts w:ascii="Times New Roman" w:hAnsi="Times New Roman" w:cs="Times New Roman"/>
          <w:sz w:val="20"/>
          <w:szCs w:val="20"/>
          <w:vertAlign w:val="superscript"/>
        </w:rPr>
        <w:t>2</w:t>
      </w:r>
      <w:r w:rsidR="004D202F" w:rsidRPr="004D202F">
        <w:rPr>
          <w:rFonts w:ascii="Times New Roman" w:hAnsi="Times New Roman" w:cs="Times New Roman"/>
          <w:sz w:val="20"/>
          <w:szCs w:val="20"/>
          <w:vertAlign w:val="superscript"/>
        </w:rPr>
        <w:t>1</w:t>
      </w:r>
      <w:r w:rsidR="003520DB" w:rsidRPr="0080521D">
        <w:rPr>
          <w:rFonts w:ascii="Times New Roman" w:hAnsi="Times New Roman" w:cs="Times New Roman"/>
          <w:sz w:val="20"/>
          <w:szCs w:val="20"/>
        </w:rPr>
        <w:t xml:space="preserve"> </w:t>
      </w:r>
      <w:r w:rsidRPr="0080521D">
        <w:rPr>
          <w:rFonts w:ascii="Times New Roman" w:hAnsi="Times New Roman" w:cs="Times New Roman"/>
          <w:sz w:val="20"/>
          <w:szCs w:val="20"/>
        </w:rPr>
        <w:t xml:space="preserve">power </w:t>
      </w:r>
      <w:r w:rsidR="002A4A5E" w:rsidRPr="0080521D">
        <w:rPr>
          <w:rFonts w:ascii="Times New Roman" w:hAnsi="Times New Roman" w:cs="Times New Roman"/>
          <w:sz w:val="20"/>
          <w:szCs w:val="20"/>
        </w:rPr>
        <w:t>(</w:t>
      </w:r>
      <w:r w:rsidR="00BE1B5D" w:rsidRPr="0080521D">
        <w:rPr>
          <w:rFonts w:ascii="Times New Roman" w:hAnsi="Times New Roman" w:cs="Times New Roman"/>
          <w:sz w:val="20"/>
          <w:szCs w:val="20"/>
        </w:rPr>
        <w:t>ETF</w:t>
      </w:r>
      <w:r w:rsidRPr="0080521D">
        <w:rPr>
          <w:rFonts w:ascii="Times New Roman" w:hAnsi="Times New Roman" w:cs="Times New Roman"/>
          <w:sz w:val="20"/>
          <w:szCs w:val="20"/>
        </w:rPr>
        <w:t xml:space="preserve"> 1996). Though </w:t>
      </w:r>
      <w:r w:rsidR="00BB61B5" w:rsidRPr="0080521D">
        <w:rPr>
          <w:rFonts w:ascii="Times New Roman" w:hAnsi="Times New Roman" w:cs="Times New Roman"/>
          <w:sz w:val="20"/>
          <w:szCs w:val="20"/>
        </w:rPr>
        <w:t>multiple</w:t>
      </w:r>
      <w:r w:rsidRPr="0080521D">
        <w:rPr>
          <w:rFonts w:ascii="Times New Roman" w:hAnsi="Times New Roman" w:cs="Times New Roman"/>
          <w:sz w:val="20"/>
          <w:szCs w:val="20"/>
        </w:rPr>
        <w:t xml:space="preserve"> studies </w:t>
      </w:r>
      <w:r w:rsidR="00011A73" w:rsidRPr="0080521D">
        <w:rPr>
          <w:rFonts w:ascii="Times New Roman" w:hAnsi="Times New Roman" w:cs="Times New Roman"/>
          <w:sz w:val="20"/>
          <w:szCs w:val="20"/>
        </w:rPr>
        <w:t>show</w:t>
      </w:r>
      <w:r w:rsidRPr="0080521D">
        <w:rPr>
          <w:rFonts w:ascii="Times New Roman" w:hAnsi="Times New Roman" w:cs="Times New Roman"/>
          <w:sz w:val="20"/>
          <w:szCs w:val="20"/>
        </w:rPr>
        <w:t xml:space="preserve"> significantly higher LF and/or LF</w:t>
      </w:r>
      <w:r w:rsidRPr="0080521D">
        <w:rPr>
          <w:rFonts w:ascii="Times New Roman" w:hAnsi="Times New Roman" w:cs="Times New Roman"/>
          <w:sz w:val="20"/>
          <w:szCs w:val="20"/>
          <w:vertAlign w:val="subscript"/>
        </w:rPr>
        <w:t xml:space="preserve">nu </w:t>
      </w:r>
      <w:r w:rsidRPr="0080521D">
        <w:rPr>
          <w:rFonts w:ascii="Times New Roman" w:hAnsi="Times New Roman" w:cs="Times New Roman"/>
          <w:sz w:val="20"/>
          <w:szCs w:val="20"/>
        </w:rPr>
        <w:t xml:space="preserve">powers in PCOS women </w:t>
      </w:r>
      <w:r w:rsidRPr="00053E80">
        <w:rPr>
          <w:rFonts w:ascii="Times New Roman" w:hAnsi="Times New Roman" w:cs="Times New Roman"/>
          <w:sz w:val="20"/>
          <w:szCs w:val="20"/>
        </w:rPr>
        <w:t xml:space="preserve">(Ji et </w:t>
      </w:r>
      <w:r w:rsidR="00E748A7" w:rsidRPr="00053E80">
        <w:rPr>
          <w:rFonts w:ascii="Times New Roman" w:hAnsi="Times New Roman" w:cs="Times New Roman"/>
          <w:sz w:val="20"/>
          <w:szCs w:val="20"/>
        </w:rPr>
        <w:t>al.</w:t>
      </w:r>
      <w:r w:rsidRPr="00053E80">
        <w:rPr>
          <w:rFonts w:ascii="Times New Roman" w:hAnsi="Times New Roman" w:cs="Times New Roman"/>
          <w:sz w:val="20"/>
          <w:szCs w:val="20"/>
        </w:rPr>
        <w:t xml:space="preserve"> 2018; </w:t>
      </w:r>
      <w:r w:rsidRPr="00053E80">
        <w:rPr>
          <w:rFonts w:ascii="Times New Roman" w:hAnsi="Times New Roman" w:cs="Times New Roman"/>
          <w:sz w:val="20"/>
          <w:szCs w:val="20"/>
          <w:shd w:val="clear" w:color="auto" w:fill="FFFFFF"/>
        </w:rPr>
        <w:t xml:space="preserve">Kuppusamy et </w:t>
      </w:r>
      <w:r w:rsidR="00E748A7" w:rsidRPr="00053E80">
        <w:rPr>
          <w:rFonts w:ascii="Times New Roman" w:hAnsi="Times New Roman" w:cs="Times New Roman"/>
          <w:sz w:val="20"/>
          <w:szCs w:val="20"/>
          <w:shd w:val="clear" w:color="auto" w:fill="FFFFFF"/>
        </w:rPr>
        <w:t>al.</w:t>
      </w:r>
      <w:r w:rsidRPr="00053E80">
        <w:rPr>
          <w:rFonts w:ascii="Times New Roman" w:hAnsi="Times New Roman" w:cs="Times New Roman"/>
          <w:sz w:val="20"/>
          <w:szCs w:val="20"/>
          <w:shd w:val="clear" w:color="auto" w:fill="FFFFFF"/>
        </w:rPr>
        <w:t xml:space="preserve"> 2015; Yildirir et </w:t>
      </w:r>
      <w:r w:rsidR="00E748A7" w:rsidRPr="00053E80">
        <w:rPr>
          <w:rFonts w:ascii="Times New Roman" w:hAnsi="Times New Roman" w:cs="Times New Roman"/>
          <w:sz w:val="20"/>
          <w:szCs w:val="20"/>
          <w:shd w:val="clear" w:color="auto" w:fill="FFFFFF"/>
        </w:rPr>
        <w:t>al.</w:t>
      </w:r>
      <w:r w:rsidRPr="00053E80">
        <w:rPr>
          <w:rFonts w:ascii="Times New Roman" w:hAnsi="Times New Roman" w:cs="Times New Roman"/>
          <w:sz w:val="20"/>
          <w:szCs w:val="20"/>
          <w:shd w:val="clear" w:color="auto" w:fill="FFFFFF"/>
        </w:rPr>
        <w:t xml:space="preserve"> 2006),</w:t>
      </w:r>
      <w:r w:rsidRPr="0080521D">
        <w:rPr>
          <w:rFonts w:ascii="Times New Roman" w:hAnsi="Times New Roman" w:cs="Times New Roman"/>
          <w:sz w:val="20"/>
          <w:szCs w:val="20"/>
          <w:shd w:val="clear" w:color="auto" w:fill="FFFFFF"/>
        </w:rPr>
        <w:t xml:space="preserve"> more consolidated studies do not</w:t>
      </w:r>
      <w:r w:rsidR="002A1028">
        <w:rPr>
          <w:rFonts w:ascii="Times New Roman" w:hAnsi="Times New Roman" w:cs="Times New Roman"/>
          <w:sz w:val="20"/>
          <w:szCs w:val="20"/>
          <w:shd w:val="clear" w:color="auto" w:fill="FFFFFF"/>
        </w:rPr>
        <w:t>.</w:t>
      </w:r>
    </w:p>
    <w:p w14:paraId="5FCD2137" w14:textId="0A3A1E08" w:rsidR="00D915D3" w:rsidRPr="00A44FF0" w:rsidRDefault="00462E71" w:rsidP="00231AA2">
      <w:pPr>
        <w:spacing w:before="100" w:after="0" w:line="240" w:lineRule="auto"/>
        <w:ind w:firstLine="720"/>
        <w:jc w:val="both"/>
        <w:rPr>
          <w:rFonts w:ascii="Times New Roman" w:hAnsi="Times New Roman" w:cs="Times New Roman"/>
          <w:sz w:val="20"/>
          <w:szCs w:val="20"/>
          <w:shd w:val="clear" w:color="auto" w:fill="FFFFFF"/>
        </w:rPr>
      </w:pPr>
      <w:r w:rsidRPr="0080521D">
        <w:rPr>
          <w:rFonts w:ascii="Times New Roman" w:hAnsi="Times New Roman" w:cs="Times New Roman"/>
          <w:sz w:val="20"/>
          <w:szCs w:val="20"/>
          <w:shd w:val="clear" w:color="auto" w:fill="FFFFFF"/>
        </w:rPr>
        <w:t>The difference was present in Gui &amp; Wang’s meta-analysis, (3 data sets: n</w:t>
      </w:r>
      <w:r w:rsidRPr="0080521D">
        <w:rPr>
          <w:rFonts w:ascii="Times New Roman" w:hAnsi="Times New Roman" w:cs="Times New Roman"/>
          <w:sz w:val="20"/>
          <w:szCs w:val="20"/>
          <w:shd w:val="clear" w:color="auto" w:fill="FFFFFF"/>
          <w:vertAlign w:val="superscript"/>
        </w:rPr>
        <w:t>PCOS</w:t>
      </w:r>
      <w:r w:rsidRPr="0080521D">
        <w:rPr>
          <w:rFonts w:ascii="Times New Roman" w:hAnsi="Times New Roman" w:cs="Times New Roman"/>
          <w:sz w:val="20"/>
          <w:szCs w:val="20"/>
          <w:shd w:val="clear" w:color="auto" w:fill="FFFFFF"/>
        </w:rPr>
        <w:t>=87; n</w:t>
      </w:r>
      <w:r w:rsidR="00A526A7">
        <w:rPr>
          <w:rFonts w:ascii="Times New Roman" w:hAnsi="Times New Roman" w:cs="Times New Roman"/>
          <w:sz w:val="20"/>
          <w:szCs w:val="20"/>
          <w:shd w:val="clear" w:color="auto" w:fill="FFFFFF"/>
          <w:vertAlign w:val="superscript"/>
        </w:rPr>
        <w:t>c</w:t>
      </w:r>
      <w:r w:rsidRPr="0080521D">
        <w:rPr>
          <w:rFonts w:ascii="Times New Roman" w:hAnsi="Times New Roman" w:cs="Times New Roman"/>
          <w:sz w:val="20"/>
          <w:szCs w:val="20"/>
          <w:shd w:val="clear" w:color="auto" w:fill="FFFFFF"/>
          <w:vertAlign w:val="superscript"/>
        </w:rPr>
        <w:t>ontrols</w:t>
      </w:r>
      <w:r w:rsidRPr="0080521D">
        <w:rPr>
          <w:rFonts w:ascii="Times New Roman" w:hAnsi="Times New Roman" w:cs="Times New Roman"/>
          <w:sz w:val="20"/>
          <w:szCs w:val="20"/>
          <w:shd w:val="clear" w:color="auto" w:fill="FFFFFF"/>
        </w:rPr>
        <w:t xml:space="preserve">=84) but the effect size was not significant (Hedges’ g = 0.49, 95% CI −0.05 to 1.03, p= NS) and the difference further only manifested with </w:t>
      </w:r>
      <w:r w:rsidRPr="0080521D">
        <w:rPr>
          <w:rFonts w:ascii="Times New Roman" w:hAnsi="Times New Roman" w:cs="Times New Roman"/>
          <w:sz w:val="20"/>
          <w:szCs w:val="20"/>
        </w:rPr>
        <w:t>LF</w:t>
      </w:r>
      <w:r w:rsidRPr="0080521D">
        <w:rPr>
          <w:rFonts w:ascii="Times New Roman" w:hAnsi="Times New Roman" w:cs="Times New Roman"/>
          <w:sz w:val="20"/>
          <w:szCs w:val="20"/>
          <w:vertAlign w:val="subscript"/>
        </w:rPr>
        <w:t xml:space="preserve">nu </w:t>
      </w:r>
      <w:r w:rsidRPr="0080521D">
        <w:rPr>
          <w:rFonts w:ascii="Times New Roman" w:hAnsi="Times New Roman" w:cs="Times New Roman"/>
          <w:sz w:val="20"/>
          <w:szCs w:val="20"/>
        </w:rPr>
        <w:t xml:space="preserve">power, not LF power </w:t>
      </w:r>
      <w:r w:rsidRPr="0080521D">
        <w:rPr>
          <w:rFonts w:ascii="Times New Roman" w:hAnsi="Times New Roman" w:cs="Times New Roman"/>
          <w:sz w:val="20"/>
          <w:szCs w:val="20"/>
          <w:shd w:val="clear" w:color="auto" w:fill="FFFFFF"/>
        </w:rPr>
        <w:t>(4 data sets: n</w:t>
      </w:r>
      <w:r w:rsidRPr="0080521D">
        <w:rPr>
          <w:rFonts w:ascii="Times New Roman" w:hAnsi="Times New Roman" w:cs="Times New Roman"/>
          <w:sz w:val="20"/>
          <w:szCs w:val="20"/>
          <w:shd w:val="clear" w:color="auto" w:fill="FFFFFF"/>
          <w:vertAlign w:val="superscript"/>
        </w:rPr>
        <w:t>PCOS</w:t>
      </w:r>
      <w:r w:rsidRPr="0080521D">
        <w:rPr>
          <w:rFonts w:ascii="Times New Roman" w:hAnsi="Times New Roman" w:cs="Times New Roman"/>
          <w:sz w:val="20"/>
          <w:szCs w:val="20"/>
          <w:shd w:val="clear" w:color="auto" w:fill="FFFFFF"/>
        </w:rPr>
        <w:t>=110; n</w:t>
      </w:r>
      <w:r w:rsidR="00862A8D">
        <w:rPr>
          <w:rFonts w:ascii="Times New Roman" w:hAnsi="Times New Roman" w:cs="Times New Roman"/>
          <w:sz w:val="20"/>
          <w:szCs w:val="20"/>
          <w:shd w:val="clear" w:color="auto" w:fill="FFFFFF"/>
          <w:vertAlign w:val="superscript"/>
        </w:rPr>
        <w:t>c</w:t>
      </w:r>
      <w:r w:rsidRPr="0080521D">
        <w:rPr>
          <w:rFonts w:ascii="Times New Roman" w:hAnsi="Times New Roman" w:cs="Times New Roman"/>
          <w:sz w:val="20"/>
          <w:szCs w:val="20"/>
          <w:shd w:val="clear" w:color="auto" w:fill="FFFFFF"/>
          <w:vertAlign w:val="superscript"/>
        </w:rPr>
        <w:t>ontrols</w:t>
      </w:r>
      <w:r w:rsidRPr="0080521D">
        <w:rPr>
          <w:rFonts w:ascii="Times New Roman" w:hAnsi="Times New Roman" w:cs="Times New Roman"/>
          <w:sz w:val="20"/>
          <w:szCs w:val="20"/>
          <w:shd w:val="clear" w:color="auto" w:fill="FFFFFF"/>
        </w:rPr>
        <w:t>=104)</w:t>
      </w:r>
      <w:r w:rsidR="002A1028">
        <w:rPr>
          <w:rFonts w:ascii="Times New Roman" w:hAnsi="Times New Roman" w:cs="Times New Roman"/>
          <w:sz w:val="20"/>
          <w:szCs w:val="20"/>
          <w:shd w:val="clear" w:color="auto" w:fill="FFFFFF"/>
        </w:rPr>
        <w:t>.</w:t>
      </w:r>
      <w:r w:rsidRPr="0080521D">
        <w:rPr>
          <w:rFonts w:ascii="Times New Roman" w:hAnsi="Times New Roman" w:cs="Times New Roman"/>
          <w:sz w:val="20"/>
          <w:szCs w:val="20"/>
          <w:shd w:val="clear" w:color="auto" w:fill="FFFFFF"/>
        </w:rPr>
        <w:t xml:space="preserve"> </w:t>
      </w:r>
      <w:r w:rsidR="002A1028">
        <w:rPr>
          <w:rFonts w:ascii="Times New Roman" w:hAnsi="Times New Roman" w:cs="Times New Roman"/>
          <w:sz w:val="20"/>
          <w:szCs w:val="20"/>
          <w:shd w:val="clear" w:color="auto" w:fill="FFFFFF"/>
        </w:rPr>
        <w:t xml:space="preserve">Ollila et al.'s (2019) megastudy comparing PCOS women and controls identified that differences in LF power actually manifested in the opposite direction </w:t>
      </w:r>
      <w:r w:rsidR="002A1028" w:rsidRPr="0080521D">
        <w:rPr>
          <w:rFonts w:ascii="Times New Roman" w:hAnsi="Times New Roman" w:cs="Times New Roman"/>
          <w:sz w:val="20"/>
          <w:szCs w:val="20"/>
          <w:shd w:val="clear" w:color="auto" w:fill="FFFFFF"/>
        </w:rPr>
        <w:t>(n=279</w:t>
      </w:r>
      <w:r w:rsidR="00591FC0">
        <w:rPr>
          <w:rFonts w:ascii="Times New Roman" w:hAnsi="Times New Roman" w:cs="Times New Roman"/>
          <w:sz w:val="20"/>
          <w:szCs w:val="20"/>
          <w:shd w:val="clear" w:color="auto" w:fill="FFFFFF"/>
        </w:rPr>
        <w:t xml:space="preserve"> (PCOS)</w:t>
      </w:r>
      <w:r w:rsidR="002A1028" w:rsidRPr="0080521D">
        <w:rPr>
          <w:rFonts w:ascii="Times New Roman" w:hAnsi="Times New Roman" w:cs="Times New Roman"/>
          <w:sz w:val="20"/>
          <w:szCs w:val="20"/>
          <w:shd w:val="clear" w:color="auto" w:fill="FFFFFF"/>
        </w:rPr>
        <w:t>; n=1577</w:t>
      </w:r>
      <w:r w:rsidR="00591FC0">
        <w:rPr>
          <w:rFonts w:ascii="Times New Roman" w:hAnsi="Times New Roman" w:cs="Times New Roman"/>
          <w:sz w:val="20"/>
          <w:szCs w:val="20"/>
          <w:shd w:val="clear" w:color="auto" w:fill="FFFFFF"/>
        </w:rPr>
        <w:t xml:space="preserve"> (controls)</w:t>
      </w:r>
      <w:r w:rsidR="002A1028">
        <w:rPr>
          <w:rFonts w:ascii="Times New Roman" w:hAnsi="Times New Roman" w:cs="Times New Roman"/>
          <w:sz w:val="20"/>
          <w:szCs w:val="20"/>
          <w:shd w:val="clear" w:color="auto" w:fill="FFFFFF"/>
        </w:rPr>
        <w:t>), p=0.044.</w:t>
      </w:r>
    </w:p>
    <w:p w14:paraId="58BB5A3A" w14:textId="496FC45E" w:rsidR="00462E71" w:rsidRPr="0010670E" w:rsidRDefault="00462E71" w:rsidP="00231AA2">
      <w:pPr>
        <w:spacing w:before="100" w:after="100" w:line="240" w:lineRule="auto"/>
        <w:ind w:firstLine="706"/>
        <w:jc w:val="both"/>
        <w:rPr>
          <w:rFonts w:ascii="Times New Roman" w:hAnsi="Times New Roman" w:cs="Times New Roman"/>
          <w:bCs/>
          <w:i/>
          <w:iCs/>
          <w:sz w:val="20"/>
          <w:szCs w:val="20"/>
          <w:u w:val="single"/>
        </w:rPr>
      </w:pPr>
      <w:r w:rsidRPr="0010670E">
        <w:rPr>
          <w:rFonts w:ascii="Times New Roman" w:hAnsi="Times New Roman" w:cs="Times New Roman"/>
          <w:bCs/>
          <w:i/>
          <w:iCs/>
          <w:sz w:val="20"/>
          <w:szCs w:val="20"/>
          <w:u w:val="single"/>
        </w:rPr>
        <w:t>HF or HF</w:t>
      </w:r>
      <w:r w:rsidRPr="0010670E">
        <w:rPr>
          <w:rFonts w:ascii="Times New Roman" w:hAnsi="Times New Roman" w:cs="Times New Roman"/>
          <w:bCs/>
          <w:i/>
          <w:iCs/>
          <w:sz w:val="20"/>
          <w:szCs w:val="20"/>
          <w:u w:val="single"/>
          <w:vertAlign w:val="subscript"/>
        </w:rPr>
        <w:t>nu</w:t>
      </w:r>
      <w:r w:rsidRPr="0010670E">
        <w:rPr>
          <w:rFonts w:ascii="Times New Roman" w:hAnsi="Times New Roman" w:cs="Times New Roman"/>
          <w:bCs/>
          <w:i/>
          <w:iCs/>
          <w:sz w:val="20"/>
          <w:szCs w:val="20"/>
          <w:u w:val="single"/>
        </w:rPr>
        <w:t xml:space="preserve"> power</w:t>
      </w:r>
    </w:p>
    <w:p w14:paraId="26813BDD" w14:textId="3A802764" w:rsidR="00462E71" w:rsidRPr="0080521D" w:rsidRDefault="00462E71" w:rsidP="00231AA2">
      <w:pPr>
        <w:spacing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shd w:val="clear" w:color="auto" w:fill="FFFFFF"/>
        </w:rPr>
        <w:t xml:space="preserve">Observations of HF </w:t>
      </w:r>
      <w:r w:rsidRPr="0080521D">
        <w:rPr>
          <w:rFonts w:ascii="Times New Roman" w:hAnsi="Times New Roman" w:cs="Times New Roman"/>
          <w:sz w:val="20"/>
          <w:szCs w:val="20"/>
        </w:rPr>
        <w:t>and/or HF</w:t>
      </w:r>
      <w:r w:rsidRPr="0080521D">
        <w:rPr>
          <w:rFonts w:ascii="Times New Roman" w:hAnsi="Times New Roman" w:cs="Times New Roman"/>
          <w:sz w:val="20"/>
          <w:szCs w:val="20"/>
          <w:vertAlign w:val="subscript"/>
        </w:rPr>
        <w:t>nu</w:t>
      </w:r>
      <w:r w:rsidRPr="0080521D">
        <w:rPr>
          <w:rFonts w:ascii="Times New Roman" w:hAnsi="Times New Roman" w:cs="Times New Roman"/>
          <w:sz w:val="20"/>
          <w:szCs w:val="20"/>
          <w:shd w:val="clear" w:color="auto" w:fill="FFFFFF"/>
        </w:rPr>
        <w:t xml:space="preserve"> power have been somewhat mixed as well. Some studies </w:t>
      </w:r>
      <w:r w:rsidR="00011A73" w:rsidRPr="0080521D">
        <w:rPr>
          <w:rFonts w:ascii="Times New Roman" w:hAnsi="Times New Roman" w:cs="Times New Roman"/>
          <w:sz w:val="20"/>
          <w:szCs w:val="20"/>
          <w:shd w:val="clear" w:color="auto" w:fill="FFFFFF"/>
        </w:rPr>
        <w:t>show</w:t>
      </w:r>
      <w:r w:rsidRPr="0080521D">
        <w:rPr>
          <w:rFonts w:ascii="Times New Roman" w:hAnsi="Times New Roman" w:cs="Times New Roman"/>
          <w:sz w:val="20"/>
          <w:szCs w:val="20"/>
          <w:shd w:val="clear" w:color="auto" w:fill="FFFFFF"/>
        </w:rPr>
        <w:t xml:space="preserve"> significantly lower HF or </w:t>
      </w:r>
      <w:r w:rsidRPr="0080521D">
        <w:rPr>
          <w:rFonts w:ascii="Times New Roman" w:hAnsi="Times New Roman" w:cs="Times New Roman"/>
          <w:sz w:val="20"/>
          <w:szCs w:val="20"/>
        </w:rPr>
        <w:t>HF</w:t>
      </w:r>
      <w:r w:rsidRPr="0080521D">
        <w:rPr>
          <w:rFonts w:ascii="Times New Roman" w:hAnsi="Times New Roman" w:cs="Times New Roman"/>
          <w:sz w:val="20"/>
          <w:szCs w:val="20"/>
          <w:vertAlign w:val="subscript"/>
        </w:rPr>
        <w:t>nu</w:t>
      </w:r>
      <w:r w:rsidRPr="0080521D">
        <w:rPr>
          <w:rFonts w:ascii="Times New Roman" w:hAnsi="Times New Roman" w:cs="Times New Roman"/>
          <w:sz w:val="20"/>
          <w:szCs w:val="20"/>
          <w:shd w:val="clear" w:color="auto" w:fill="FFFFFF"/>
        </w:rPr>
        <w:t xml:space="preserve"> power in PCOS women than controls (</w:t>
      </w:r>
      <w:r w:rsidR="00231B28" w:rsidRPr="0080521D">
        <w:rPr>
          <w:rFonts w:ascii="Times New Roman" w:hAnsi="Times New Roman" w:cs="Times New Roman"/>
          <w:sz w:val="20"/>
          <w:szCs w:val="20"/>
        </w:rPr>
        <w:t xml:space="preserve">Ji et </w:t>
      </w:r>
      <w:r w:rsidR="00231B28">
        <w:rPr>
          <w:rFonts w:ascii="Times New Roman" w:hAnsi="Times New Roman" w:cs="Times New Roman"/>
          <w:sz w:val="20"/>
          <w:szCs w:val="20"/>
        </w:rPr>
        <w:t>al.</w:t>
      </w:r>
      <w:r w:rsidR="00231B28" w:rsidRPr="0080521D">
        <w:rPr>
          <w:rFonts w:ascii="Times New Roman" w:hAnsi="Times New Roman" w:cs="Times New Roman"/>
          <w:sz w:val="20"/>
          <w:szCs w:val="20"/>
        </w:rPr>
        <w:t xml:space="preserve"> 2018</w:t>
      </w:r>
      <w:r w:rsidR="00231B28" w:rsidRPr="0080521D">
        <w:rPr>
          <w:rFonts w:ascii="Times New Roman" w:hAnsi="Times New Roman" w:cs="Times New Roman"/>
          <w:sz w:val="20"/>
          <w:szCs w:val="20"/>
          <w:vertAlign w:val="superscript"/>
        </w:rPr>
        <w:t>2</w:t>
      </w:r>
      <w:r w:rsidR="009A5283">
        <w:rPr>
          <w:rFonts w:ascii="Times New Roman" w:hAnsi="Times New Roman" w:cs="Times New Roman"/>
          <w:sz w:val="20"/>
          <w:szCs w:val="20"/>
          <w:vertAlign w:val="superscript"/>
        </w:rPr>
        <w:t>2</w:t>
      </w:r>
      <w:r w:rsidR="003422F1">
        <w:rPr>
          <w:rFonts w:ascii="Times New Roman" w:hAnsi="Times New Roman" w:cs="Times New Roman"/>
          <w:sz w:val="20"/>
          <w:szCs w:val="20"/>
          <w:shd w:val="clear" w:color="auto" w:fill="FFFFFF"/>
        </w:rPr>
        <w:t xml:space="preserve">; </w:t>
      </w:r>
      <w:r w:rsidR="003422F1" w:rsidRPr="0080521D">
        <w:rPr>
          <w:rFonts w:ascii="Times New Roman" w:hAnsi="Times New Roman" w:cs="Times New Roman"/>
          <w:sz w:val="20"/>
          <w:szCs w:val="20"/>
        </w:rPr>
        <w:t xml:space="preserve">Kuppusamy et </w:t>
      </w:r>
      <w:r w:rsidR="003422F1">
        <w:rPr>
          <w:rFonts w:ascii="Times New Roman" w:hAnsi="Times New Roman" w:cs="Times New Roman"/>
          <w:sz w:val="20"/>
          <w:szCs w:val="20"/>
        </w:rPr>
        <w:t>al.</w:t>
      </w:r>
      <w:r w:rsidR="003422F1" w:rsidRPr="0080521D">
        <w:rPr>
          <w:rFonts w:ascii="Times New Roman" w:hAnsi="Times New Roman" w:cs="Times New Roman"/>
          <w:sz w:val="20"/>
          <w:szCs w:val="20"/>
        </w:rPr>
        <w:t xml:space="preserve"> 2015</w:t>
      </w:r>
      <w:r w:rsidR="003422F1">
        <w:rPr>
          <w:rFonts w:ascii="Times New Roman" w:hAnsi="Times New Roman" w:cs="Times New Roman"/>
          <w:sz w:val="20"/>
          <w:szCs w:val="20"/>
        </w:rPr>
        <w:t xml:space="preserve">; </w:t>
      </w:r>
      <w:r w:rsidR="003422F1">
        <w:rPr>
          <w:rFonts w:ascii="Times New Roman" w:hAnsi="Times New Roman" w:cs="Times New Roman"/>
          <w:sz w:val="20"/>
          <w:szCs w:val="20"/>
          <w:shd w:val="clear" w:color="auto" w:fill="FFFFFF"/>
        </w:rPr>
        <w:t>Y</w:t>
      </w:r>
      <w:r w:rsidRPr="0080521D">
        <w:rPr>
          <w:rFonts w:ascii="Times New Roman" w:hAnsi="Times New Roman" w:cs="Times New Roman"/>
          <w:sz w:val="20"/>
          <w:szCs w:val="20"/>
          <w:shd w:val="clear" w:color="auto" w:fill="FFFFFF"/>
        </w:rPr>
        <w:t xml:space="preserve">ildirir et </w:t>
      </w:r>
      <w:r w:rsidR="00E748A7">
        <w:rPr>
          <w:rFonts w:ascii="Times New Roman" w:hAnsi="Times New Roman" w:cs="Times New Roman"/>
          <w:sz w:val="20"/>
          <w:szCs w:val="20"/>
          <w:shd w:val="clear" w:color="auto" w:fill="FFFFFF"/>
        </w:rPr>
        <w:t>al.</w:t>
      </w:r>
      <w:r w:rsidRPr="0080521D">
        <w:rPr>
          <w:rFonts w:ascii="Times New Roman" w:hAnsi="Times New Roman" w:cs="Times New Roman"/>
          <w:sz w:val="20"/>
          <w:szCs w:val="20"/>
          <w:shd w:val="clear" w:color="auto" w:fill="FFFFFF"/>
        </w:rPr>
        <w:t xml:space="preserve"> 2</w:t>
      </w:r>
      <w:r w:rsidR="00871A7D" w:rsidRPr="0080521D">
        <w:rPr>
          <w:rFonts w:ascii="Times New Roman" w:hAnsi="Times New Roman" w:cs="Times New Roman"/>
          <w:sz w:val="20"/>
          <w:szCs w:val="20"/>
          <w:shd w:val="clear" w:color="auto" w:fill="FFFFFF"/>
        </w:rPr>
        <w:t>006</w:t>
      </w:r>
      <w:r w:rsidRPr="0080521D">
        <w:rPr>
          <w:rFonts w:ascii="Times New Roman" w:hAnsi="Times New Roman" w:cs="Times New Roman"/>
          <w:sz w:val="20"/>
          <w:szCs w:val="20"/>
        </w:rPr>
        <w:t>)</w:t>
      </w:r>
      <w:r w:rsidR="00300380" w:rsidRPr="0080521D">
        <w:rPr>
          <w:rFonts w:ascii="Times New Roman" w:hAnsi="Times New Roman" w:cs="Times New Roman"/>
          <w:sz w:val="20"/>
          <w:szCs w:val="20"/>
        </w:rPr>
        <w:t>,</w:t>
      </w:r>
      <w:r w:rsidRPr="0080521D">
        <w:rPr>
          <w:rFonts w:ascii="Times New Roman" w:hAnsi="Times New Roman" w:cs="Times New Roman"/>
          <w:sz w:val="20"/>
          <w:szCs w:val="20"/>
        </w:rPr>
        <w:t xml:space="preserve"> while other</w:t>
      </w:r>
      <w:r w:rsidR="00CB7B1B" w:rsidRPr="0080521D">
        <w:rPr>
          <w:rFonts w:ascii="Times New Roman" w:hAnsi="Times New Roman" w:cs="Times New Roman"/>
          <w:sz w:val="20"/>
          <w:szCs w:val="20"/>
        </w:rPr>
        <w:t>s</w:t>
      </w:r>
      <w:r w:rsidRPr="0080521D">
        <w:rPr>
          <w:rFonts w:ascii="Times New Roman" w:hAnsi="Times New Roman" w:cs="Times New Roman"/>
          <w:sz w:val="20"/>
          <w:szCs w:val="20"/>
        </w:rPr>
        <w:t xml:space="preserve"> do not </w:t>
      </w:r>
      <w:r w:rsidRPr="0080521D">
        <w:rPr>
          <w:rFonts w:ascii="Times New Roman" w:hAnsi="Times New Roman" w:cs="Times New Roman"/>
          <w:sz w:val="20"/>
          <w:szCs w:val="20"/>
          <w:shd w:val="clear" w:color="auto" w:fill="FFFFFF"/>
        </w:rPr>
        <w:t xml:space="preserve">(Ferezini de Sa et </w:t>
      </w:r>
      <w:r w:rsidR="00E748A7">
        <w:rPr>
          <w:rFonts w:ascii="Times New Roman" w:hAnsi="Times New Roman" w:cs="Times New Roman"/>
          <w:sz w:val="20"/>
          <w:szCs w:val="20"/>
          <w:shd w:val="clear" w:color="auto" w:fill="FFFFFF"/>
        </w:rPr>
        <w:t>al.</w:t>
      </w:r>
      <w:r w:rsidRPr="0080521D">
        <w:rPr>
          <w:rFonts w:ascii="Times New Roman" w:hAnsi="Times New Roman" w:cs="Times New Roman"/>
          <w:sz w:val="20"/>
          <w:szCs w:val="20"/>
          <w:shd w:val="clear" w:color="auto" w:fill="FFFFFF"/>
        </w:rPr>
        <w:t xml:space="preserve"> 2011; Lambert et </w:t>
      </w:r>
      <w:r w:rsidR="00E748A7">
        <w:rPr>
          <w:rFonts w:ascii="Times New Roman" w:hAnsi="Times New Roman" w:cs="Times New Roman"/>
          <w:sz w:val="20"/>
          <w:szCs w:val="20"/>
          <w:shd w:val="clear" w:color="auto" w:fill="FFFFFF"/>
        </w:rPr>
        <w:t>al.</w:t>
      </w:r>
      <w:r w:rsidRPr="0080521D">
        <w:rPr>
          <w:rFonts w:ascii="Times New Roman" w:hAnsi="Times New Roman" w:cs="Times New Roman"/>
          <w:sz w:val="20"/>
          <w:szCs w:val="20"/>
          <w:shd w:val="clear" w:color="auto" w:fill="FFFFFF"/>
        </w:rPr>
        <w:t xml:space="preserve"> 2015</w:t>
      </w:r>
      <w:r w:rsidR="00D54808" w:rsidRPr="0080521D">
        <w:rPr>
          <w:rFonts w:ascii="Times New Roman" w:hAnsi="Times New Roman" w:cs="Times New Roman"/>
          <w:sz w:val="20"/>
          <w:szCs w:val="20"/>
          <w:shd w:val="clear" w:color="auto" w:fill="FFFFFF"/>
        </w:rPr>
        <w:t>). Ollila</w:t>
      </w:r>
      <w:r w:rsidRPr="0080521D">
        <w:rPr>
          <w:rFonts w:ascii="Times New Roman" w:hAnsi="Times New Roman" w:cs="Times New Roman"/>
          <w:sz w:val="20"/>
          <w:szCs w:val="20"/>
          <w:shd w:val="clear" w:color="auto" w:fill="FFFFFF"/>
        </w:rPr>
        <w:t xml:space="preserve"> et al.’s (2019) megastudy however seems to point to a clear difference (n=279</w:t>
      </w:r>
      <w:r w:rsidR="00DB01CB">
        <w:rPr>
          <w:rFonts w:ascii="Times New Roman" w:hAnsi="Times New Roman" w:cs="Times New Roman"/>
          <w:sz w:val="20"/>
          <w:szCs w:val="20"/>
          <w:shd w:val="clear" w:color="auto" w:fill="FFFFFF"/>
        </w:rPr>
        <w:t xml:space="preserve"> (PCOS)</w:t>
      </w:r>
      <w:r w:rsidRPr="0080521D">
        <w:rPr>
          <w:rFonts w:ascii="Times New Roman" w:hAnsi="Times New Roman" w:cs="Times New Roman"/>
          <w:sz w:val="20"/>
          <w:szCs w:val="20"/>
          <w:shd w:val="clear" w:color="auto" w:fill="FFFFFF"/>
        </w:rPr>
        <w:t>; n=1577</w:t>
      </w:r>
      <w:r w:rsidR="00DB01CB">
        <w:rPr>
          <w:rFonts w:ascii="Times New Roman" w:hAnsi="Times New Roman" w:cs="Times New Roman"/>
          <w:sz w:val="20"/>
          <w:szCs w:val="20"/>
          <w:shd w:val="clear" w:color="auto" w:fill="FFFFFF"/>
        </w:rPr>
        <w:t xml:space="preserve"> (controls)</w:t>
      </w:r>
      <w:r w:rsidRPr="0080521D">
        <w:rPr>
          <w:rFonts w:ascii="Times New Roman" w:hAnsi="Times New Roman" w:cs="Times New Roman"/>
          <w:sz w:val="20"/>
          <w:szCs w:val="20"/>
          <w:shd w:val="clear" w:color="auto" w:fill="FFFFFF"/>
        </w:rPr>
        <w:t>). The PCOS sample had a significantly lower HF power than controls, HF: ms</w:t>
      </w:r>
      <w:r w:rsidRPr="0080521D">
        <w:rPr>
          <w:rFonts w:ascii="Times New Roman" w:hAnsi="Times New Roman" w:cs="Times New Roman"/>
          <w:sz w:val="20"/>
          <w:szCs w:val="20"/>
          <w:shd w:val="clear" w:color="auto" w:fill="FFFFFF"/>
          <w:vertAlign w:val="superscript"/>
        </w:rPr>
        <w:t>2</w:t>
      </w:r>
      <w:r w:rsidRPr="0080521D">
        <w:rPr>
          <w:rFonts w:ascii="Times New Roman" w:hAnsi="Times New Roman" w:cs="Times New Roman"/>
          <w:sz w:val="20"/>
          <w:szCs w:val="20"/>
          <w:shd w:val="clear" w:color="auto" w:fill="FFFFFF"/>
        </w:rPr>
        <w:t>=172 (25Q: 75; 75Q: 399) vs ms</w:t>
      </w:r>
      <w:r w:rsidRPr="0080521D">
        <w:rPr>
          <w:rFonts w:ascii="Times New Roman" w:hAnsi="Times New Roman" w:cs="Times New Roman"/>
          <w:sz w:val="20"/>
          <w:szCs w:val="20"/>
          <w:shd w:val="clear" w:color="auto" w:fill="FFFFFF"/>
          <w:vertAlign w:val="superscript"/>
        </w:rPr>
        <w:t>2</w:t>
      </w:r>
      <w:r w:rsidRPr="0080521D">
        <w:rPr>
          <w:rFonts w:ascii="Times New Roman" w:hAnsi="Times New Roman" w:cs="Times New Roman"/>
          <w:sz w:val="20"/>
          <w:szCs w:val="20"/>
          <w:shd w:val="clear" w:color="auto" w:fill="FFFFFF"/>
        </w:rPr>
        <w:t>=261 (25Q: 112; 75Q: 565)</w:t>
      </w:r>
      <w:r w:rsidR="00591FC0">
        <w:rPr>
          <w:rFonts w:ascii="Times New Roman" w:hAnsi="Times New Roman" w:cs="Times New Roman"/>
          <w:sz w:val="20"/>
          <w:szCs w:val="20"/>
          <w:shd w:val="clear" w:color="auto" w:fill="FFFFFF"/>
        </w:rPr>
        <w:t>;</w:t>
      </w:r>
      <w:r w:rsidRPr="0080521D">
        <w:rPr>
          <w:rFonts w:ascii="Times New Roman" w:hAnsi="Times New Roman" w:cs="Times New Roman"/>
          <w:sz w:val="20"/>
          <w:szCs w:val="20"/>
          <w:shd w:val="clear" w:color="auto" w:fill="FFFFFF"/>
        </w:rPr>
        <w:t xml:space="preserve"> </w:t>
      </w:r>
      <w:r w:rsidRPr="0080521D">
        <w:rPr>
          <w:rFonts w:ascii="Times New Roman" w:hAnsi="Times New Roman" w:cs="Times New Roman"/>
          <w:i/>
          <w:iCs/>
          <w:sz w:val="20"/>
          <w:szCs w:val="20"/>
          <w:shd w:val="clear" w:color="auto" w:fill="FFFFFF"/>
        </w:rPr>
        <w:t>p</w:t>
      </w:r>
      <w:r w:rsidRPr="0080521D">
        <w:rPr>
          <w:rFonts w:ascii="Times New Roman" w:hAnsi="Times New Roman" w:cs="Times New Roman"/>
          <w:sz w:val="20"/>
          <w:szCs w:val="20"/>
          <w:shd w:val="clear" w:color="auto" w:fill="FFFFFF"/>
        </w:rPr>
        <w:t>=0.002.</w:t>
      </w:r>
    </w:p>
    <w:p w14:paraId="46E24A20" w14:textId="397A8A83" w:rsidR="00462E71" w:rsidRPr="0080521D" w:rsidRDefault="00462E71" w:rsidP="00231AA2">
      <w:pPr>
        <w:spacing w:before="100"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shd w:val="clear" w:color="auto" w:fill="FFFFFF"/>
        </w:rPr>
        <w:t xml:space="preserve">Lower HF and </w:t>
      </w:r>
      <w:r w:rsidRPr="0080521D">
        <w:rPr>
          <w:rFonts w:ascii="Times New Roman" w:hAnsi="Times New Roman" w:cs="Times New Roman"/>
          <w:sz w:val="20"/>
          <w:szCs w:val="20"/>
        </w:rPr>
        <w:t>HF</w:t>
      </w:r>
      <w:r w:rsidRPr="0080521D">
        <w:rPr>
          <w:rFonts w:ascii="Times New Roman" w:hAnsi="Times New Roman" w:cs="Times New Roman"/>
          <w:sz w:val="20"/>
          <w:szCs w:val="20"/>
          <w:vertAlign w:val="subscript"/>
        </w:rPr>
        <w:t>nu</w:t>
      </w:r>
      <w:r w:rsidRPr="0080521D">
        <w:rPr>
          <w:rFonts w:ascii="Times New Roman" w:hAnsi="Times New Roman" w:cs="Times New Roman"/>
          <w:sz w:val="20"/>
          <w:szCs w:val="20"/>
          <w:shd w:val="clear" w:color="auto" w:fill="FFFFFF"/>
        </w:rPr>
        <w:t xml:space="preserve"> power correlate with decreased cardio-vagal</w:t>
      </w:r>
      <w:r w:rsidR="00D63A12" w:rsidRPr="0080521D">
        <w:rPr>
          <w:rFonts w:ascii="Times New Roman" w:hAnsi="Times New Roman" w:cs="Times New Roman"/>
          <w:sz w:val="20"/>
          <w:szCs w:val="20"/>
          <w:shd w:val="clear" w:color="auto" w:fill="FFFFFF"/>
          <w:vertAlign w:val="superscript"/>
        </w:rPr>
        <w:t>2</w:t>
      </w:r>
      <w:r w:rsidR="009A5283">
        <w:rPr>
          <w:rFonts w:ascii="Times New Roman" w:hAnsi="Times New Roman" w:cs="Times New Roman"/>
          <w:sz w:val="20"/>
          <w:szCs w:val="20"/>
          <w:shd w:val="clear" w:color="auto" w:fill="FFFFFF"/>
          <w:vertAlign w:val="superscript"/>
        </w:rPr>
        <w:t>3</w:t>
      </w:r>
      <w:r w:rsidR="003520DB" w:rsidRPr="0080521D">
        <w:rPr>
          <w:rFonts w:ascii="Times New Roman" w:hAnsi="Times New Roman" w:cs="Times New Roman"/>
          <w:sz w:val="20"/>
          <w:szCs w:val="20"/>
          <w:shd w:val="clear" w:color="auto" w:fill="FFFFFF"/>
        </w:rPr>
        <w:t xml:space="preserve"> </w:t>
      </w:r>
      <w:r w:rsidRPr="0080521D">
        <w:rPr>
          <w:rFonts w:ascii="Times New Roman" w:hAnsi="Times New Roman" w:cs="Times New Roman"/>
          <w:sz w:val="20"/>
          <w:szCs w:val="20"/>
          <w:shd w:val="clear" w:color="auto" w:fill="FFFFFF"/>
        </w:rPr>
        <w:t>(parasympathetic) activity (</w:t>
      </w:r>
      <w:r w:rsidR="00B50E44" w:rsidRPr="0080521D">
        <w:rPr>
          <w:rFonts w:ascii="Times New Roman" w:hAnsi="Times New Roman" w:cs="Times New Roman"/>
          <w:sz w:val="20"/>
          <w:szCs w:val="20"/>
          <w:shd w:val="clear" w:color="auto" w:fill="FFFFFF"/>
        </w:rPr>
        <w:t>ETF 1996</w:t>
      </w:r>
      <w:r w:rsidR="00B50E44">
        <w:rPr>
          <w:rFonts w:ascii="Times New Roman" w:hAnsi="Times New Roman" w:cs="Times New Roman"/>
          <w:sz w:val="20"/>
          <w:szCs w:val="20"/>
          <w:shd w:val="clear" w:color="auto" w:fill="FFFFFF"/>
        </w:rPr>
        <w:t xml:space="preserve">; </w:t>
      </w:r>
      <w:r w:rsidRPr="0080521D">
        <w:rPr>
          <w:rFonts w:ascii="Times New Roman" w:hAnsi="Times New Roman" w:cs="Times New Roman"/>
          <w:sz w:val="20"/>
          <w:szCs w:val="20"/>
          <w:shd w:val="clear" w:color="auto" w:fill="FFFFFF"/>
        </w:rPr>
        <w:t>Shaffer &amp; Ginsberg 2017). This mixed picture appears in Gui &amp; Wang’s (2017) meta-analysis as well. Though</w:t>
      </w:r>
      <w:r w:rsidR="008236FA">
        <w:rPr>
          <w:rFonts w:ascii="Times New Roman" w:hAnsi="Times New Roman" w:cs="Times New Roman"/>
          <w:sz w:val="20"/>
          <w:szCs w:val="20"/>
          <w:shd w:val="clear" w:color="auto" w:fill="FFFFFF"/>
        </w:rPr>
        <w:t>,</w:t>
      </w:r>
      <w:r w:rsidRPr="0080521D">
        <w:rPr>
          <w:rFonts w:ascii="Times New Roman" w:hAnsi="Times New Roman" w:cs="Times New Roman"/>
          <w:sz w:val="20"/>
          <w:szCs w:val="20"/>
          <w:shd w:val="clear" w:color="auto" w:fill="FFFFFF"/>
        </w:rPr>
        <w:t xml:space="preserve"> compared to controls</w:t>
      </w:r>
      <w:r w:rsidR="008236FA">
        <w:rPr>
          <w:rFonts w:ascii="Times New Roman" w:hAnsi="Times New Roman" w:cs="Times New Roman"/>
          <w:sz w:val="20"/>
          <w:szCs w:val="20"/>
          <w:shd w:val="clear" w:color="auto" w:fill="FFFFFF"/>
        </w:rPr>
        <w:t>,</w:t>
      </w:r>
      <w:r w:rsidRPr="0080521D">
        <w:rPr>
          <w:rFonts w:ascii="Times New Roman" w:hAnsi="Times New Roman" w:cs="Times New Roman"/>
          <w:sz w:val="20"/>
          <w:szCs w:val="20"/>
          <w:shd w:val="clear" w:color="auto" w:fill="FFFFFF"/>
        </w:rPr>
        <w:t xml:space="preserve"> differences were in the expected direction</w:t>
      </w:r>
      <w:r w:rsidR="008236FA">
        <w:rPr>
          <w:rFonts w:ascii="Times New Roman" w:hAnsi="Times New Roman" w:cs="Times New Roman"/>
          <w:sz w:val="20"/>
          <w:szCs w:val="20"/>
          <w:shd w:val="clear" w:color="auto" w:fill="FFFFFF"/>
        </w:rPr>
        <w:t xml:space="preserve"> and</w:t>
      </w:r>
      <w:r w:rsidRPr="0080521D">
        <w:rPr>
          <w:rFonts w:ascii="Times New Roman" w:hAnsi="Times New Roman" w:cs="Times New Roman"/>
          <w:sz w:val="20"/>
          <w:szCs w:val="20"/>
          <w:shd w:val="clear" w:color="auto" w:fill="FFFFFF"/>
        </w:rPr>
        <w:t xml:space="preserve"> </w:t>
      </w:r>
      <w:r w:rsidR="00D06893" w:rsidRPr="0080521D">
        <w:rPr>
          <w:rFonts w:ascii="Times New Roman" w:hAnsi="Times New Roman" w:cs="Times New Roman"/>
          <w:sz w:val="20"/>
          <w:szCs w:val="20"/>
          <w:shd w:val="clear" w:color="auto" w:fill="FFFFFF"/>
        </w:rPr>
        <w:t xml:space="preserve">the </w:t>
      </w:r>
      <w:r w:rsidRPr="0080521D">
        <w:rPr>
          <w:rFonts w:ascii="Times New Roman" w:hAnsi="Times New Roman" w:cs="Times New Roman"/>
          <w:sz w:val="20"/>
          <w:szCs w:val="20"/>
          <w:shd w:val="clear" w:color="auto" w:fill="FFFFFF"/>
        </w:rPr>
        <w:t xml:space="preserve">HF and </w:t>
      </w:r>
      <w:r w:rsidRPr="0080521D">
        <w:rPr>
          <w:rFonts w:ascii="Times New Roman" w:hAnsi="Times New Roman" w:cs="Times New Roman"/>
          <w:sz w:val="20"/>
          <w:szCs w:val="20"/>
        </w:rPr>
        <w:t>HF</w:t>
      </w:r>
      <w:r w:rsidRPr="0080521D">
        <w:rPr>
          <w:rFonts w:ascii="Times New Roman" w:hAnsi="Times New Roman" w:cs="Times New Roman"/>
          <w:sz w:val="20"/>
          <w:szCs w:val="20"/>
          <w:vertAlign w:val="subscript"/>
        </w:rPr>
        <w:t xml:space="preserve">nu </w:t>
      </w:r>
      <w:r w:rsidRPr="0080521D">
        <w:rPr>
          <w:rFonts w:ascii="Times New Roman" w:hAnsi="Times New Roman" w:cs="Times New Roman"/>
          <w:sz w:val="20"/>
          <w:szCs w:val="20"/>
        </w:rPr>
        <w:t>findings</w:t>
      </w:r>
      <w:r w:rsidRPr="0080521D">
        <w:rPr>
          <w:rFonts w:ascii="Times New Roman" w:hAnsi="Times New Roman" w:cs="Times New Roman"/>
          <w:sz w:val="20"/>
          <w:szCs w:val="20"/>
          <w:vertAlign w:val="subscript"/>
        </w:rPr>
        <w:t xml:space="preserve"> </w:t>
      </w:r>
      <w:r w:rsidRPr="0080521D">
        <w:rPr>
          <w:rFonts w:ascii="Times New Roman" w:hAnsi="Times New Roman" w:cs="Times New Roman"/>
          <w:sz w:val="20"/>
          <w:szCs w:val="20"/>
        </w:rPr>
        <w:t>were not</w:t>
      </w:r>
      <w:r w:rsidRPr="0080521D">
        <w:rPr>
          <w:rFonts w:ascii="Times New Roman" w:hAnsi="Times New Roman" w:cs="Times New Roman"/>
          <w:sz w:val="20"/>
          <w:szCs w:val="20"/>
          <w:vertAlign w:val="subscript"/>
        </w:rPr>
        <w:t xml:space="preserve"> </w:t>
      </w:r>
      <w:r w:rsidRPr="0080521D">
        <w:rPr>
          <w:rFonts w:ascii="Times New Roman" w:hAnsi="Times New Roman" w:cs="Times New Roman"/>
          <w:sz w:val="20"/>
          <w:szCs w:val="20"/>
        </w:rPr>
        <w:t xml:space="preserve">significant (HF: Hedges’ g = −2.14, </w:t>
      </w:r>
      <w:r w:rsidR="00591FC0" w:rsidRPr="0080521D">
        <w:rPr>
          <w:rFonts w:ascii="Times New Roman" w:hAnsi="Times New Roman" w:cs="Times New Roman"/>
          <w:sz w:val="20"/>
          <w:szCs w:val="20"/>
        </w:rPr>
        <w:t>p=NS;</w:t>
      </w:r>
      <w:r w:rsidR="00591FC0">
        <w:rPr>
          <w:rFonts w:ascii="Times New Roman" w:hAnsi="Times New Roman" w:cs="Times New Roman"/>
          <w:sz w:val="20"/>
          <w:szCs w:val="20"/>
        </w:rPr>
        <w:t xml:space="preserve"> </w:t>
      </w:r>
      <w:r w:rsidRPr="0080521D">
        <w:rPr>
          <w:rFonts w:ascii="Times New Roman" w:hAnsi="Times New Roman" w:cs="Times New Roman"/>
          <w:sz w:val="20"/>
          <w:szCs w:val="20"/>
        </w:rPr>
        <w:t>95% CI</w:t>
      </w:r>
      <w:r w:rsidR="00591FC0">
        <w:rPr>
          <w:rFonts w:ascii="Times New Roman" w:hAnsi="Times New Roman" w:cs="Times New Roman"/>
          <w:sz w:val="20"/>
          <w:szCs w:val="20"/>
        </w:rPr>
        <w:t>:</w:t>
      </w:r>
      <w:r w:rsidRPr="0080521D">
        <w:rPr>
          <w:rFonts w:ascii="Times New Roman" w:hAnsi="Times New Roman" w:cs="Times New Roman"/>
          <w:sz w:val="20"/>
          <w:szCs w:val="20"/>
        </w:rPr>
        <w:t xml:space="preserve"> −4.54 to 0.26, </w:t>
      </w:r>
      <w:r w:rsidRPr="0080521D">
        <w:rPr>
          <w:rFonts w:ascii="Times New Roman" w:hAnsi="Times New Roman" w:cs="Times New Roman"/>
          <w:sz w:val="20"/>
          <w:szCs w:val="20"/>
          <w:shd w:val="clear" w:color="auto" w:fill="FFFFFF"/>
        </w:rPr>
        <w:t>n=87</w:t>
      </w:r>
      <w:r w:rsidR="00591FC0">
        <w:rPr>
          <w:rFonts w:ascii="Times New Roman" w:hAnsi="Times New Roman" w:cs="Times New Roman"/>
          <w:sz w:val="20"/>
          <w:szCs w:val="20"/>
          <w:shd w:val="clear" w:color="auto" w:fill="FFFFFF"/>
        </w:rPr>
        <w:t xml:space="preserve"> (PCOS)</w:t>
      </w:r>
      <w:r w:rsidRPr="0080521D">
        <w:rPr>
          <w:rFonts w:ascii="Times New Roman" w:hAnsi="Times New Roman" w:cs="Times New Roman"/>
          <w:sz w:val="20"/>
          <w:szCs w:val="20"/>
          <w:shd w:val="clear" w:color="auto" w:fill="FFFFFF"/>
        </w:rPr>
        <w:t>; n=84</w:t>
      </w:r>
      <w:r w:rsidR="00591FC0">
        <w:rPr>
          <w:rFonts w:ascii="Times New Roman" w:hAnsi="Times New Roman" w:cs="Times New Roman"/>
          <w:sz w:val="20"/>
          <w:szCs w:val="20"/>
          <w:shd w:val="clear" w:color="auto" w:fill="FFFFFF"/>
        </w:rPr>
        <w:t xml:space="preserve"> (controls)</w:t>
      </w:r>
      <w:r w:rsidRPr="0080521D">
        <w:rPr>
          <w:rFonts w:ascii="Times New Roman" w:hAnsi="Times New Roman" w:cs="Times New Roman"/>
          <w:sz w:val="20"/>
          <w:szCs w:val="20"/>
        </w:rPr>
        <w:t>) (</w:t>
      </w:r>
      <w:r w:rsidR="00F8011D" w:rsidRPr="0080521D">
        <w:rPr>
          <w:rFonts w:ascii="Times New Roman" w:hAnsi="Times New Roman" w:cs="Times New Roman"/>
          <w:sz w:val="20"/>
          <w:szCs w:val="20"/>
        </w:rPr>
        <w:t>HF</w:t>
      </w:r>
      <w:r w:rsidR="00F8011D" w:rsidRPr="0080521D">
        <w:rPr>
          <w:rFonts w:ascii="Times New Roman" w:hAnsi="Times New Roman" w:cs="Times New Roman"/>
          <w:sz w:val="20"/>
          <w:szCs w:val="20"/>
          <w:vertAlign w:val="subscript"/>
        </w:rPr>
        <w:t>nu:</w:t>
      </w:r>
      <w:r w:rsidRPr="0080521D">
        <w:rPr>
          <w:rFonts w:ascii="Times New Roman" w:hAnsi="Times New Roman" w:cs="Times New Roman"/>
          <w:sz w:val="20"/>
          <w:szCs w:val="20"/>
        </w:rPr>
        <w:t xml:space="preserve"> Hedges’ g = −0.43, </w:t>
      </w:r>
      <w:r w:rsidR="00591FC0" w:rsidRPr="0080521D">
        <w:rPr>
          <w:rFonts w:ascii="Times New Roman" w:hAnsi="Times New Roman" w:cs="Times New Roman"/>
          <w:sz w:val="20"/>
          <w:szCs w:val="20"/>
        </w:rPr>
        <w:t>p=NS;</w:t>
      </w:r>
      <w:r w:rsidR="00591FC0">
        <w:rPr>
          <w:rFonts w:ascii="Times New Roman" w:hAnsi="Times New Roman" w:cs="Times New Roman"/>
          <w:sz w:val="20"/>
          <w:szCs w:val="20"/>
        </w:rPr>
        <w:t xml:space="preserve"> </w:t>
      </w:r>
      <w:r w:rsidRPr="0080521D">
        <w:rPr>
          <w:rFonts w:ascii="Times New Roman" w:hAnsi="Times New Roman" w:cs="Times New Roman"/>
          <w:sz w:val="20"/>
          <w:szCs w:val="20"/>
        </w:rPr>
        <w:t>95% CI</w:t>
      </w:r>
      <w:r w:rsidR="00591FC0">
        <w:rPr>
          <w:rFonts w:ascii="Times New Roman" w:hAnsi="Times New Roman" w:cs="Times New Roman"/>
          <w:sz w:val="20"/>
          <w:szCs w:val="20"/>
        </w:rPr>
        <w:t>:</w:t>
      </w:r>
      <w:r w:rsidRPr="0080521D">
        <w:rPr>
          <w:rFonts w:ascii="Times New Roman" w:hAnsi="Times New Roman" w:cs="Times New Roman"/>
          <w:sz w:val="20"/>
          <w:szCs w:val="20"/>
        </w:rPr>
        <w:t xml:space="preserve"> −1.09 to 0.22, </w:t>
      </w:r>
      <w:r w:rsidRPr="0080521D">
        <w:rPr>
          <w:rFonts w:ascii="Times New Roman" w:hAnsi="Times New Roman" w:cs="Times New Roman"/>
          <w:sz w:val="20"/>
          <w:szCs w:val="20"/>
          <w:shd w:val="clear" w:color="auto" w:fill="FFFFFF"/>
        </w:rPr>
        <w:t>n=80</w:t>
      </w:r>
      <w:r w:rsidR="00591FC0">
        <w:rPr>
          <w:rFonts w:ascii="Times New Roman" w:hAnsi="Times New Roman" w:cs="Times New Roman"/>
          <w:sz w:val="20"/>
          <w:szCs w:val="20"/>
          <w:shd w:val="clear" w:color="auto" w:fill="FFFFFF"/>
        </w:rPr>
        <w:t xml:space="preserve"> (PCOS)</w:t>
      </w:r>
      <w:r w:rsidRPr="0080521D">
        <w:rPr>
          <w:rFonts w:ascii="Times New Roman" w:hAnsi="Times New Roman" w:cs="Times New Roman"/>
          <w:sz w:val="20"/>
          <w:szCs w:val="20"/>
          <w:shd w:val="clear" w:color="auto" w:fill="FFFFFF"/>
        </w:rPr>
        <w:t>; n=74</w:t>
      </w:r>
      <w:r w:rsidR="00591FC0">
        <w:rPr>
          <w:rFonts w:ascii="Times New Roman" w:hAnsi="Times New Roman" w:cs="Times New Roman"/>
          <w:sz w:val="20"/>
          <w:szCs w:val="20"/>
          <w:shd w:val="clear" w:color="auto" w:fill="FFFFFF"/>
        </w:rPr>
        <w:t xml:space="preserve"> (controls)</w:t>
      </w:r>
      <w:r w:rsidRPr="0080521D">
        <w:rPr>
          <w:rFonts w:ascii="Times New Roman" w:hAnsi="Times New Roman" w:cs="Times New Roman"/>
          <w:sz w:val="20"/>
          <w:szCs w:val="20"/>
        </w:rPr>
        <w:t>).</w:t>
      </w:r>
    </w:p>
    <w:p w14:paraId="72429A58" w14:textId="22F6C8E9" w:rsidR="00462E71" w:rsidRPr="0010670E" w:rsidRDefault="00462E71" w:rsidP="00231AA2">
      <w:pPr>
        <w:spacing w:before="100" w:after="100" w:line="240" w:lineRule="auto"/>
        <w:ind w:firstLine="706"/>
        <w:jc w:val="both"/>
        <w:rPr>
          <w:rFonts w:ascii="Times New Roman" w:hAnsi="Times New Roman" w:cs="Times New Roman"/>
          <w:bCs/>
          <w:i/>
          <w:iCs/>
          <w:sz w:val="20"/>
          <w:szCs w:val="20"/>
          <w:u w:val="single"/>
        </w:rPr>
      </w:pPr>
      <w:r w:rsidRPr="0010670E">
        <w:rPr>
          <w:rFonts w:ascii="Times New Roman" w:hAnsi="Times New Roman" w:cs="Times New Roman"/>
          <w:bCs/>
          <w:i/>
          <w:iCs/>
          <w:sz w:val="20"/>
          <w:szCs w:val="20"/>
          <w:u w:val="single"/>
        </w:rPr>
        <w:t>LF/HF or LF</w:t>
      </w:r>
      <w:r w:rsidRPr="0010670E">
        <w:rPr>
          <w:rFonts w:ascii="Times New Roman" w:hAnsi="Times New Roman" w:cs="Times New Roman"/>
          <w:bCs/>
          <w:i/>
          <w:iCs/>
          <w:sz w:val="20"/>
          <w:szCs w:val="20"/>
          <w:u w:val="single"/>
          <w:vertAlign w:val="subscript"/>
        </w:rPr>
        <w:t>nu</w:t>
      </w:r>
      <w:r w:rsidRPr="0010670E">
        <w:rPr>
          <w:rFonts w:ascii="Times New Roman" w:hAnsi="Times New Roman" w:cs="Times New Roman"/>
          <w:bCs/>
          <w:i/>
          <w:iCs/>
          <w:sz w:val="20"/>
          <w:szCs w:val="20"/>
          <w:u w:val="single"/>
        </w:rPr>
        <w:t>/HF</w:t>
      </w:r>
      <w:r w:rsidRPr="0010670E">
        <w:rPr>
          <w:rFonts w:ascii="Times New Roman" w:hAnsi="Times New Roman" w:cs="Times New Roman"/>
          <w:bCs/>
          <w:i/>
          <w:iCs/>
          <w:sz w:val="20"/>
          <w:szCs w:val="20"/>
          <w:u w:val="single"/>
          <w:vertAlign w:val="subscript"/>
        </w:rPr>
        <w:t>nu</w:t>
      </w:r>
      <w:r w:rsidRPr="0010670E">
        <w:rPr>
          <w:rFonts w:ascii="Times New Roman" w:hAnsi="Times New Roman" w:cs="Times New Roman"/>
          <w:bCs/>
          <w:i/>
          <w:iCs/>
          <w:sz w:val="20"/>
          <w:szCs w:val="20"/>
          <w:u w:val="single"/>
        </w:rPr>
        <w:t xml:space="preserve"> power ratio</w:t>
      </w:r>
    </w:p>
    <w:p w14:paraId="00281151" w14:textId="49A77703" w:rsidR="00462E71" w:rsidRPr="0080521D" w:rsidRDefault="00462E71" w:rsidP="00231AA2">
      <w:pPr>
        <w:spacing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lastRenderedPageBreak/>
        <w:t>LF/HF or LF</w:t>
      </w:r>
      <w:r w:rsidRPr="0080521D">
        <w:rPr>
          <w:rFonts w:ascii="Times New Roman" w:hAnsi="Times New Roman" w:cs="Times New Roman"/>
          <w:sz w:val="20"/>
          <w:szCs w:val="20"/>
          <w:vertAlign w:val="subscript"/>
        </w:rPr>
        <w:t>nu</w:t>
      </w:r>
      <w:r w:rsidRPr="0080521D">
        <w:rPr>
          <w:rFonts w:ascii="Times New Roman" w:hAnsi="Times New Roman" w:cs="Times New Roman"/>
          <w:sz w:val="20"/>
          <w:szCs w:val="20"/>
        </w:rPr>
        <w:t xml:space="preserve"> /HF</w:t>
      </w:r>
      <w:r w:rsidRPr="0080521D">
        <w:rPr>
          <w:rFonts w:ascii="Times New Roman" w:hAnsi="Times New Roman" w:cs="Times New Roman"/>
          <w:sz w:val="20"/>
          <w:szCs w:val="20"/>
          <w:vertAlign w:val="subscript"/>
        </w:rPr>
        <w:t>nu</w:t>
      </w:r>
      <w:r w:rsidRPr="0080521D">
        <w:rPr>
          <w:rFonts w:ascii="Times New Roman" w:hAnsi="Times New Roman" w:cs="Times New Roman"/>
          <w:sz w:val="20"/>
          <w:szCs w:val="20"/>
        </w:rPr>
        <w:t xml:space="preserve"> ratio differences also did not reach significance in </w:t>
      </w:r>
      <w:r w:rsidRPr="0080521D">
        <w:rPr>
          <w:rFonts w:ascii="Times New Roman" w:hAnsi="Times New Roman" w:cs="Times New Roman"/>
          <w:sz w:val="20"/>
          <w:szCs w:val="20"/>
          <w:shd w:val="clear" w:color="auto" w:fill="FFFFFF"/>
        </w:rPr>
        <w:t xml:space="preserve">Gui &amp; Wang’s meta-analysis </w:t>
      </w:r>
      <w:r w:rsidRPr="0080521D">
        <w:rPr>
          <w:rFonts w:ascii="Times New Roman" w:hAnsi="Times New Roman" w:cs="Times New Roman"/>
          <w:sz w:val="20"/>
          <w:szCs w:val="20"/>
        </w:rPr>
        <w:t xml:space="preserve">(Hedges’ g = 0.47, </w:t>
      </w:r>
      <w:r w:rsidR="00DB01CB" w:rsidRPr="0080521D">
        <w:rPr>
          <w:rFonts w:ascii="Times New Roman" w:hAnsi="Times New Roman" w:cs="Times New Roman"/>
          <w:sz w:val="20"/>
          <w:szCs w:val="20"/>
        </w:rPr>
        <w:t>p=NS</w:t>
      </w:r>
      <w:r w:rsidR="00DB01CB">
        <w:rPr>
          <w:rFonts w:ascii="Times New Roman" w:hAnsi="Times New Roman" w:cs="Times New Roman"/>
          <w:sz w:val="20"/>
          <w:szCs w:val="20"/>
        </w:rPr>
        <w:t>;</w:t>
      </w:r>
      <w:r w:rsidR="00DB01CB" w:rsidRPr="0080521D">
        <w:rPr>
          <w:rFonts w:ascii="Times New Roman" w:hAnsi="Times New Roman" w:cs="Times New Roman"/>
          <w:sz w:val="20"/>
          <w:szCs w:val="20"/>
        </w:rPr>
        <w:t xml:space="preserve"> </w:t>
      </w:r>
      <w:r w:rsidRPr="0080521D">
        <w:rPr>
          <w:rFonts w:ascii="Times New Roman" w:hAnsi="Times New Roman" w:cs="Times New Roman"/>
          <w:sz w:val="20"/>
          <w:szCs w:val="20"/>
        </w:rPr>
        <w:t>95% CI</w:t>
      </w:r>
      <w:r w:rsidR="00DB01CB">
        <w:rPr>
          <w:rFonts w:ascii="Times New Roman" w:hAnsi="Times New Roman" w:cs="Times New Roman"/>
          <w:sz w:val="20"/>
          <w:szCs w:val="20"/>
        </w:rPr>
        <w:t>:</w:t>
      </w:r>
      <w:r w:rsidRPr="0080521D">
        <w:rPr>
          <w:rFonts w:ascii="Times New Roman" w:hAnsi="Times New Roman" w:cs="Times New Roman"/>
          <w:sz w:val="20"/>
          <w:szCs w:val="20"/>
        </w:rPr>
        <w:t xml:space="preserve"> −0.10 to 1.03). The LF/HF ratio is considered an index of the autonomic balance between the sympathetic and parasympathetic systems (sympathovagal balance) </w:t>
      </w:r>
      <w:r w:rsidR="002A4A5E" w:rsidRPr="0080521D">
        <w:rPr>
          <w:rFonts w:ascii="Times New Roman" w:hAnsi="Times New Roman" w:cs="Times New Roman"/>
          <w:sz w:val="20"/>
          <w:szCs w:val="20"/>
        </w:rPr>
        <w:t>(</w:t>
      </w:r>
      <w:r w:rsidR="00BE1B5D" w:rsidRPr="0080521D">
        <w:rPr>
          <w:rFonts w:ascii="Times New Roman" w:hAnsi="Times New Roman" w:cs="Times New Roman"/>
          <w:sz w:val="20"/>
          <w:szCs w:val="20"/>
        </w:rPr>
        <w:t>ETF</w:t>
      </w:r>
      <w:r w:rsidRPr="0080521D">
        <w:rPr>
          <w:rFonts w:ascii="Times New Roman" w:hAnsi="Times New Roman" w:cs="Times New Roman"/>
          <w:sz w:val="20"/>
          <w:szCs w:val="20"/>
        </w:rPr>
        <w:t xml:space="preserve"> 1996; Shaffer &amp; Ginsberg 2017). A high LF/HF ratio (e.g., LF &gt; HF (von Rosenberg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2017)) correlates with more dominant sympathetic nervous activity and a low ratio (e.g., LF &lt; HF), with more dominant parasympathetic nervous activity (Shaffer &amp; Ginsberg 2017). Four studies support a sympatho-dominant presentation (Ji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2018; </w:t>
      </w:r>
      <w:r w:rsidRPr="0080521D">
        <w:rPr>
          <w:rFonts w:ascii="Times New Roman" w:hAnsi="Times New Roman" w:cs="Times New Roman"/>
          <w:sz w:val="20"/>
          <w:szCs w:val="20"/>
          <w:shd w:val="clear" w:color="auto" w:fill="FFFFFF"/>
        </w:rPr>
        <w:t xml:space="preserve">Kuppusamy et </w:t>
      </w:r>
      <w:r w:rsidR="00E748A7">
        <w:rPr>
          <w:rFonts w:ascii="Times New Roman" w:hAnsi="Times New Roman" w:cs="Times New Roman"/>
          <w:sz w:val="20"/>
          <w:szCs w:val="20"/>
          <w:shd w:val="clear" w:color="auto" w:fill="FFFFFF"/>
        </w:rPr>
        <w:t>al.</w:t>
      </w:r>
      <w:r w:rsidRPr="0080521D">
        <w:rPr>
          <w:rFonts w:ascii="Times New Roman" w:hAnsi="Times New Roman" w:cs="Times New Roman"/>
          <w:sz w:val="20"/>
          <w:szCs w:val="20"/>
          <w:shd w:val="clear" w:color="auto" w:fill="FFFFFF"/>
        </w:rPr>
        <w:t xml:space="preserve"> 2015; </w:t>
      </w:r>
      <w:r w:rsidRPr="0080521D">
        <w:rPr>
          <w:rFonts w:ascii="Times New Roman" w:hAnsi="Times New Roman" w:cs="Times New Roman"/>
          <w:sz w:val="20"/>
          <w:szCs w:val="20"/>
        </w:rPr>
        <w:t xml:space="preserve">Saranya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2014</w:t>
      </w:r>
      <w:r w:rsidR="00DC1633">
        <w:rPr>
          <w:rFonts w:ascii="Times New Roman" w:hAnsi="Times New Roman" w:cs="Times New Roman"/>
          <w:sz w:val="20"/>
          <w:szCs w:val="20"/>
        </w:rPr>
        <w:t xml:space="preserve">; </w:t>
      </w:r>
      <w:r w:rsidR="00DC1633" w:rsidRPr="0080521D">
        <w:rPr>
          <w:rFonts w:ascii="Times New Roman" w:hAnsi="Times New Roman" w:cs="Times New Roman"/>
          <w:sz w:val="20"/>
          <w:szCs w:val="20"/>
          <w:shd w:val="clear" w:color="auto" w:fill="FFFFFF"/>
        </w:rPr>
        <w:t xml:space="preserve">Yildirir et </w:t>
      </w:r>
      <w:r w:rsidR="00DC1633">
        <w:rPr>
          <w:rFonts w:ascii="Times New Roman" w:hAnsi="Times New Roman" w:cs="Times New Roman"/>
          <w:sz w:val="20"/>
          <w:szCs w:val="20"/>
          <w:shd w:val="clear" w:color="auto" w:fill="FFFFFF"/>
        </w:rPr>
        <w:t>al.</w:t>
      </w:r>
      <w:r w:rsidR="00DC1633" w:rsidRPr="0080521D">
        <w:rPr>
          <w:rFonts w:ascii="Times New Roman" w:hAnsi="Times New Roman" w:cs="Times New Roman"/>
          <w:sz w:val="20"/>
          <w:szCs w:val="20"/>
          <w:shd w:val="clear" w:color="auto" w:fill="FFFFFF"/>
        </w:rPr>
        <w:t xml:space="preserve"> 2006</w:t>
      </w:r>
      <w:r w:rsidRPr="0080521D">
        <w:rPr>
          <w:rFonts w:ascii="Times New Roman" w:hAnsi="Times New Roman" w:cs="Times New Roman"/>
          <w:sz w:val="20"/>
          <w:szCs w:val="20"/>
        </w:rPr>
        <w:t xml:space="preserve">) and two do not (Di Domenico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2013; Lambert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2015). </w:t>
      </w:r>
    </w:p>
    <w:p w14:paraId="1C2D00E8" w14:textId="09D98382" w:rsidR="00462E71" w:rsidRPr="0080521D" w:rsidRDefault="00462E71" w:rsidP="00231AA2">
      <w:pPr>
        <w:spacing w:before="100" w:after="100" w:line="240" w:lineRule="auto"/>
        <w:jc w:val="both"/>
        <w:rPr>
          <w:rFonts w:ascii="Times New Roman" w:hAnsi="Times New Roman" w:cs="Times New Roman"/>
          <w:bCs/>
          <w:i/>
          <w:iCs/>
          <w:sz w:val="20"/>
          <w:szCs w:val="20"/>
          <w:shd w:val="clear" w:color="auto" w:fill="FFFFFF"/>
        </w:rPr>
      </w:pPr>
      <w:r w:rsidRPr="0080521D">
        <w:rPr>
          <w:rFonts w:ascii="Times New Roman" w:hAnsi="Times New Roman" w:cs="Times New Roman"/>
          <w:bCs/>
          <w:i/>
          <w:iCs/>
          <w:sz w:val="20"/>
          <w:szCs w:val="20"/>
          <w:shd w:val="clear" w:color="auto" w:fill="FFFFFF"/>
        </w:rPr>
        <w:t xml:space="preserve">Sympathetic </w:t>
      </w:r>
      <w:r w:rsidR="008236FA">
        <w:rPr>
          <w:rFonts w:ascii="Times New Roman" w:hAnsi="Times New Roman" w:cs="Times New Roman"/>
          <w:bCs/>
          <w:i/>
          <w:iCs/>
          <w:sz w:val="20"/>
          <w:szCs w:val="20"/>
          <w:shd w:val="clear" w:color="auto" w:fill="FFFFFF"/>
        </w:rPr>
        <w:t>s</w:t>
      </w:r>
      <w:r w:rsidRPr="0080521D">
        <w:rPr>
          <w:rFonts w:ascii="Times New Roman" w:hAnsi="Times New Roman" w:cs="Times New Roman"/>
          <w:bCs/>
          <w:i/>
          <w:iCs/>
          <w:sz w:val="20"/>
          <w:szCs w:val="20"/>
          <w:shd w:val="clear" w:color="auto" w:fill="FFFFFF"/>
        </w:rPr>
        <w:t xml:space="preserve">kin </w:t>
      </w:r>
      <w:r w:rsidR="008236FA">
        <w:rPr>
          <w:rFonts w:ascii="Times New Roman" w:hAnsi="Times New Roman" w:cs="Times New Roman"/>
          <w:bCs/>
          <w:i/>
          <w:iCs/>
          <w:sz w:val="20"/>
          <w:szCs w:val="20"/>
          <w:shd w:val="clear" w:color="auto" w:fill="FFFFFF"/>
        </w:rPr>
        <w:t>r</w:t>
      </w:r>
      <w:r w:rsidRPr="0080521D">
        <w:rPr>
          <w:rFonts w:ascii="Times New Roman" w:hAnsi="Times New Roman" w:cs="Times New Roman"/>
          <w:bCs/>
          <w:i/>
          <w:iCs/>
          <w:sz w:val="20"/>
          <w:szCs w:val="20"/>
          <w:shd w:val="clear" w:color="auto" w:fill="FFFFFF"/>
        </w:rPr>
        <w:t xml:space="preserve">esponse (SSR) </w:t>
      </w:r>
    </w:p>
    <w:p w14:paraId="05888BC5" w14:textId="0E3D0083" w:rsidR="00462E71" w:rsidRPr="0080521D" w:rsidRDefault="00462E71" w:rsidP="00231AA2">
      <w:pPr>
        <w:spacing w:after="0" w:line="240" w:lineRule="auto"/>
        <w:ind w:firstLine="720"/>
        <w:jc w:val="both"/>
        <w:rPr>
          <w:rFonts w:ascii="Times New Roman" w:hAnsi="Times New Roman" w:cs="Times New Roman"/>
          <w:sz w:val="20"/>
          <w:szCs w:val="20"/>
          <w:shd w:val="clear" w:color="auto" w:fill="FFFFFF"/>
        </w:rPr>
      </w:pPr>
      <w:r w:rsidRPr="0080521D">
        <w:rPr>
          <w:rFonts w:ascii="Times New Roman" w:hAnsi="Times New Roman" w:cs="Times New Roman"/>
          <w:sz w:val="20"/>
          <w:szCs w:val="20"/>
          <w:shd w:val="clear" w:color="auto" w:fill="FFFFFF"/>
        </w:rPr>
        <w:t xml:space="preserve">SSR reflects the sympathetic activation of sweat glands by recording </w:t>
      </w:r>
      <w:r w:rsidR="00BA0373" w:rsidRPr="0080521D">
        <w:rPr>
          <w:rFonts w:ascii="Times New Roman" w:hAnsi="Times New Roman" w:cs="Times New Roman"/>
          <w:sz w:val="20"/>
          <w:szCs w:val="20"/>
          <w:shd w:val="clear" w:color="auto" w:fill="FFFFFF"/>
        </w:rPr>
        <w:t>electrical potential changes on the skin's surface</w:t>
      </w:r>
      <w:r w:rsidRPr="0080521D">
        <w:rPr>
          <w:rFonts w:ascii="Times New Roman" w:hAnsi="Times New Roman" w:cs="Times New Roman"/>
          <w:sz w:val="20"/>
          <w:szCs w:val="20"/>
          <w:shd w:val="clear" w:color="auto" w:fill="FFFFFF"/>
        </w:rPr>
        <w:t xml:space="preserve"> (Kucera et </w:t>
      </w:r>
      <w:r w:rsidR="00E748A7">
        <w:rPr>
          <w:rFonts w:ascii="Times New Roman" w:hAnsi="Times New Roman" w:cs="Times New Roman"/>
          <w:sz w:val="20"/>
          <w:szCs w:val="20"/>
          <w:shd w:val="clear" w:color="auto" w:fill="FFFFFF"/>
        </w:rPr>
        <w:t>al.</w:t>
      </w:r>
      <w:r w:rsidRPr="0080521D">
        <w:rPr>
          <w:rFonts w:ascii="Times New Roman" w:hAnsi="Times New Roman" w:cs="Times New Roman"/>
          <w:sz w:val="20"/>
          <w:szCs w:val="20"/>
          <w:shd w:val="clear" w:color="auto" w:fill="FFFFFF"/>
        </w:rPr>
        <w:t xml:space="preserve"> 2004). This efferent activation is part of a polysynaptic reflex arch originating from myelinated sympathetic neuron fibers from the intermediolateral nucleus</w:t>
      </w:r>
      <w:r w:rsidR="002F7018" w:rsidRPr="0080521D">
        <w:rPr>
          <w:rFonts w:ascii="Times New Roman" w:hAnsi="Times New Roman" w:cs="Times New Roman"/>
          <w:sz w:val="20"/>
          <w:szCs w:val="20"/>
          <w:shd w:val="clear" w:color="auto" w:fill="FFFFFF"/>
        </w:rPr>
        <w:t>,</w:t>
      </w:r>
      <w:r w:rsidRPr="0080521D">
        <w:rPr>
          <w:rFonts w:ascii="Times New Roman" w:hAnsi="Times New Roman" w:cs="Times New Roman"/>
          <w:sz w:val="20"/>
          <w:szCs w:val="20"/>
          <w:shd w:val="clear" w:color="auto" w:fill="FFFFFF"/>
        </w:rPr>
        <w:t xml:space="preserve"> between thoracic vertebra 1 (TH1) and lumbar vertebra 2 (L2). This change in potential is typically evoked </w:t>
      </w:r>
      <w:r w:rsidR="002F7018" w:rsidRPr="0080521D">
        <w:rPr>
          <w:rFonts w:ascii="Times New Roman" w:hAnsi="Times New Roman" w:cs="Times New Roman"/>
          <w:sz w:val="20"/>
          <w:szCs w:val="20"/>
          <w:shd w:val="clear" w:color="auto" w:fill="FFFFFF"/>
        </w:rPr>
        <w:t>by stimulating</w:t>
      </w:r>
      <w:r w:rsidRPr="0080521D">
        <w:rPr>
          <w:rFonts w:ascii="Times New Roman" w:hAnsi="Times New Roman" w:cs="Times New Roman"/>
          <w:sz w:val="20"/>
          <w:szCs w:val="20"/>
          <w:shd w:val="clear" w:color="auto" w:fill="FFFFFF"/>
        </w:rPr>
        <w:t xml:space="preserve"> a peripheral nerve in an extremity. The stimulation triggers the afferent part of the reflex </w:t>
      </w:r>
      <w:r w:rsidR="004750FF" w:rsidRPr="0080521D">
        <w:rPr>
          <w:rFonts w:ascii="Times New Roman" w:hAnsi="Times New Roman" w:cs="Times New Roman"/>
          <w:sz w:val="20"/>
          <w:szCs w:val="20"/>
          <w:shd w:val="clear" w:color="auto" w:fill="FFFFFF"/>
        </w:rPr>
        <w:t>by activating</w:t>
      </w:r>
      <w:r w:rsidRPr="0080521D">
        <w:rPr>
          <w:rFonts w:ascii="Times New Roman" w:hAnsi="Times New Roman" w:cs="Times New Roman"/>
          <w:sz w:val="20"/>
          <w:szCs w:val="20"/>
          <w:shd w:val="clear" w:color="auto" w:fill="FFFFFF"/>
        </w:rPr>
        <w:t xml:space="preserve"> myelinated sensory fibers (Kucera et </w:t>
      </w:r>
      <w:r w:rsidR="00E748A7">
        <w:rPr>
          <w:rFonts w:ascii="Times New Roman" w:hAnsi="Times New Roman" w:cs="Times New Roman"/>
          <w:sz w:val="20"/>
          <w:szCs w:val="20"/>
          <w:shd w:val="clear" w:color="auto" w:fill="FFFFFF"/>
        </w:rPr>
        <w:t>al.</w:t>
      </w:r>
      <w:r w:rsidRPr="0080521D">
        <w:rPr>
          <w:rFonts w:ascii="Times New Roman" w:hAnsi="Times New Roman" w:cs="Times New Roman"/>
          <w:sz w:val="20"/>
          <w:szCs w:val="20"/>
          <w:shd w:val="clear" w:color="auto" w:fill="FFFFFF"/>
        </w:rPr>
        <w:t xml:space="preserve"> 2004).</w:t>
      </w:r>
    </w:p>
    <w:p w14:paraId="6266AB01" w14:textId="7CD7A83D" w:rsidR="00462E71" w:rsidRPr="0080521D" w:rsidRDefault="00462E71" w:rsidP="00231AA2">
      <w:pPr>
        <w:spacing w:before="100" w:after="0" w:line="240" w:lineRule="auto"/>
        <w:ind w:firstLine="720"/>
        <w:jc w:val="both"/>
        <w:rPr>
          <w:rFonts w:ascii="Times New Roman" w:hAnsi="Times New Roman" w:cs="Times New Roman"/>
          <w:sz w:val="20"/>
          <w:szCs w:val="20"/>
          <w:shd w:val="clear" w:color="auto" w:fill="FFFFFF"/>
        </w:rPr>
      </w:pPr>
      <w:r w:rsidRPr="0080521D">
        <w:rPr>
          <w:rFonts w:ascii="Times New Roman" w:hAnsi="Times New Roman" w:cs="Times New Roman"/>
          <w:sz w:val="20"/>
          <w:szCs w:val="20"/>
          <w:shd w:val="clear" w:color="auto" w:fill="FFFFFF"/>
        </w:rPr>
        <w:t>Two studies to date have examined SSR in women with PCOS with inconsistent results (</w:t>
      </w:r>
      <w:r w:rsidR="0054137E" w:rsidRPr="0080521D">
        <w:rPr>
          <w:rFonts w:ascii="Times New Roman" w:hAnsi="Times New Roman" w:cs="Times New Roman"/>
          <w:sz w:val="20"/>
          <w:szCs w:val="20"/>
          <w:shd w:val="clear" w:color="auto" w:fill="FFFFFF"/>
        </w:rPr>
        <w:t xml:space="preserve">Dag et </w:t>
      </w:r>
      <w:r w:rsidR="0054137E">
        <w:rPr>
          <w:rFonts w:ascii="Times New Roman" w:hAnsi="Times New Roman" w:cs="Times New Roman"/>
          <w:sz w:val="20"/>
          <w:szCs w:val="20"/>
          <w:shd w:val="clear" w:color="auto" w:fill="FFFFFF"/>
        </w:rPr>
        <w:t>al.</w:t>
      </w:r>
      <w:r w:rsidR="0054137E" w:rsidRPr="0080521D">
        <w:rPr>
          <w:rFonts w:ascii="Times New Roman" w:hAnsi="Times New Roman" w:cs="Times New Roman"/>
          <w:sz w:val="20"/>
          <w:szCs w:val="20"/>
          <w:shd w:val="clear" w:color="auto" w:fill="FFFFFF"/>
        </w:rPr>
        <w:t xml:space="preserve"> 2015</w:t>
      </w:r>
      <w:r w:rsidR="0054137E">
        <w:rPr>
          <w:rFonts w:ascii="Times New Roman" w:hAnsi="Times New Roman" w:cs="Times New Roman"/>
          <w:sz w:val="20"/>
          <w:szCs w:val="20"/>
          <w:shd w:val="clear" w:color="auto" w:fill="FFFFFF"/>
        </w:rPr>
        <w:t xml:space="preserve">; </w:t>
      </w:r>
      <w:r w:rsidRPr="0080521D">
        <w:rPr>
          <w:rFonts w:ascii="Times New Roman" w:hAnsi="Times New Roman" w:cs="Times New Roman"/>
          <w:sz w:val="20"/>
          <w:szCs w:val="20"/>
          <w:shd w:val="clear" w:color="auto" w:fill="FFFFFF"/>
        </w:rPr>
        <w:t xml:space="preserve">Hashim et </w:t>
      </w:r>
      <w:r w:rsidR="00E748A7">
        <w:rPr>
          <w:rFonts w:ascii="Times New Roman" w:hAnsi="Times New Roman" w:cs="Times New Roman"/>
          <w:sz w:val="20"/>
          <w:szCs w:val="20"/>
          <w:shd w:val="clear" w:color="auto" w:fill="FFFFFF"/>
        </w:rPr>
        <w:t>al.</w:t>
      </w:r>
      <w:r w:rsidRPr="0080521D">
        <w:rPr>
          <w:rFonts w:ascii="Times New Roman" w:hAnsi="Times New Roman" w:cs="Times New Roman"/>
          <w:sz w:val="20"/>
          <w:szCs w:val="20"/>
          <w:shd w:val="clear" w:color="auto" w:fill="FFFFFF"/>
        </w:rPr>
        <w:t xml:space="preserve"> 2015). Relative to controls, Hachim et al. (2015)</w:t>
      </w:r>
      <w:r w:rsidR="00D63A12" w:rsidRPr="0080521D">
        <w:rPr>
          <w:rFonts w:ascii="Times New Roman" w:hAnsi="Times New Roman" w:cs="Times New Roman"/>
          <w:sz w:val="20"/>
          <w:szCs w:val="20"/>
          <w:shd w:val="clear" w:color="auto" w:fill="FFFFFF"/>
          <w:vertAlign w:val="superscript"/>
        </w:rPr>
        <w:t>2</w:t>
      </w:r>
      <w:r w:rsidR="007F2074">
        <w:rPr>
          <w:rFonts w:ascii="Times New Roman" w:hAnsi="Times New Roman" w:cs="Times New Roman"/>
          <w:sz w:val="20"/>
          <w:szCs w:val="20"/>
          <w:shd w:val="clear" w:color="auto" w:fill="FFFFFF"/>
          <w:vertAlign w:val="superscript"/>
        </w:rPr>
        <w:t>4</w:t>
      </w:r>
      <w:r w:rsidRPr="0080521D">
        <w:rPr>
          <w:rFonts w:ascii="Times New Roman" w:hAnsi="Times New Roman" w:cs="Times New Roman"/>
          <w:sz w:val="20"/>
          <w:szCs w:val="20"/>
          <w:shd w:val="clear" w:color="auto" w:fill="FFFFFF"/>
        </w:rPr>
        <w:t xml:space="preserve"> observed significantly reduced latencies and higher amplitudes of palmar SSR (p&lt;0.001, p=0.031, respectively) in PCOS women</w:t>
      </w:r>
      <w:r w:rsidR="004750FF" w:rsidRPr="0080521D">
        <w:rPr>
          <w:rFonts w:ascii="Times New Roman" w:hAnsi="Times New Roman" w:cs="Times New Roman"/>
          <w:sz w:val="20"/>
          <w:szCs w:val="20"/>
          <w:shd w:val="clear" w:color="auto" w:fill="FFFFFF"/>
        </w:rPr>
        <w:t>,</w:t>
      </w:r>
      <w:r w:rsidRPr="0080521D">
        <w:rPr>
          <w:rFonts w:ascii="Times New Roman" w:hAnsi="Times New Roman" w:cs="Times New Roman"/>
          <w:sz w:val="20"/>
          <w:szCs w:val="20"/>
          <w:shd w:val="clear" w:color="auto" w:fill="FFFFFF"/>
        </w:rPr>
        <w:t xml:space="preserve"> while Dag et al. (2015) </w:t>
      </w:r>
      <w:r w:rsidR="00BA2D36" w:rsidRPr="0080521D">
        <w:rPr>
          <w:rFonts w:ascii="Times New Roman" w:hAnsi="Times New Roman" w:cs="Times New Roman"/>
          <w:sz w:val="20"/>
          <w:szCs w:val="20"/>
          <w:shd w:val="clear" w:color="auto" w:fill="FFFFFF"/>
        </w:rPr>
        <w:t>showed</w:t>
      </w:r>
      <w:r w:rsidRPr="0080521D">
        <w:rPr>
          <w:rFonts w:ascii="Times New Roman" w:hAnsi="Times New Roman" w:cs="Times New Roman"/>
          <w:sz w:val="20"/>
          <w:szCs w:val="20"/>
          <w:shd w:val="clear" w:color="auto" w:fill="FFFFFF"/>
        </w:rPr>
        <w:t xml:space="preserve"> significantly increased latencies and lower amplitudes of palmar SSR (</w:t>
      </w:r>
      <w:r w:rsidRPr="0080521D">
        <w:rPr>
          <w:rFonts w:ascii="Times New Roman" w:hAnsi="Times New Roman" w:cs="Times New Roman"/>
          <w:i/>
          <w:iCs/>
          <w:sz w:val="20"/>
          <w:szCs w:val="20"/>
          <w:shd w:val="clear" w:color="auto" w:fill="FFFFFF"/>
        </w:rPr>
        <w:t>p</w:t>
      </w:r>
      <w:r w:rsidRPr="0080521D">
        <w:rPr>
          <w:rFonts w:ascii="Times New Roman" w:hAnsi="Times New Roman" w:cs="Times New Roman"/>
          <w:sz w:val="20"/>
          <w:szCs w:val="20"/>
          <w:shd w:val="clear" w:color="auto" w:fill="FFFFFF"/>
        </w:rPr>
        <w:t xml:space="preserve">&lt;0.001, </w:t>
      </w:r>
      <w:r w:rsidRPr="0080521D">
        <w:rPr>
          <w:rFonts w:ascii="Times New Roman" w:hAnsi="Times New Roman" w:cs="Times New Roman"/>
          <w:i/>
          <w:iCs/>
          <w:sz w:val="20"/>
          <w:szCs w:val="20"/>
          <w:shd w:val="clear" w:color="auto" w:fill="FFFFFF"/>
        </w:rPr>
        <w:t>p</w:t>
      </w:r>
      <w:r w:rsidRPr="0080521D">
        <w:rPr>
          <w:rFonts w:ascii="Times New Roman" w:hAnsi="Times New Roman" w:cs="Times New Roman"/>
          <w:sz w:val="20"/>
          <w:szCs w:val="20"/>
          <w:shd w:val="clear" w:color="auto" w:fill="FFFFFF"/>
        </w:rPr>
        <w:t xml:space="preserve">&lt; 0.01, respectively). </w:t>
      </w:r>
    </w:p>
    <w:p w14:paraId="1B8A0C77" w14:textId="6D68C3CC" w:rsidR="000E53F6" w:rsidRPr="0080521D" w:rsidRDefault="000E53F6" w:rsidP="00231AA2">
      <w:pPr>
        <w:spacing w:before="100" w:after="100" w:line="240" w:lineRule="auto"/>
        <w:jc w:val="both"/>
        <w:rPr>
          <w:rFonts w:ascii="Times New Roman" w:hAnsi="Times New Roman" w:cs="Times New Roman"/>
          <w:bCs/>
          <w:i/>
          <w:iCs/>
          <w:sz w:val="20"/>
          <w:szCs w:val="20"/>
          <w:shd w:val="clear" w:color="auto" w:fill="FFFFFF"/>
        </w:rPr>
      </w:pPr>
      <w:r w:rsidRPr="0080521D">
        <w:rPr>
          <w:rFonts w:ascii="Times New Roman" w:hAnsi="Times New Roman" w:cs="Times New Roman"/>
          <w:bCs/>
          <w:i/>
          <w:iCs/>
          <w:sz w:val="20"/>
          <w:szCs w:val="20"/>
        </w:rPr>
        <w:t xml:space="preserve">Heart </w:t>
      </w:r>
      <w:r w:rsidR="008236FA">
        <w:rPr>
          <w:rFonts w:ascii="Times New Roman" w:hAnsi="Times New Roman" w:cs="Times New Roman"/>
          <w:bCs/>
          <w:i/>
          <w:iCs/>
          <w:sz w:val="20"/>
          <w:szCs w:val="20"/>
        </w:rPr>
        <w:t>r</w:t>
      </w:r>
      <w:r w:rsidRPr="0080521D">
        <w:rPr>
          <w:rFonts w:ascii="Times New Roman" w:hAnsi="Times New Roman" w:cs="Times New Roman"/>
          <w:bCs/>
          <w:i/>
          <w:iCs/>
          <w:sz w:val="20"/>
          <w:szCs w:val="20"/>
        </w:rPr>
        <w:t xml:space="preserve">ate </w:t>
      </w:r>
      <w:r w:rsidR="008236FA">
        <w:rPr>
          <w:rFonts w:ascii="Times New Roman" w:hAnsi="Times New Roman" w:cs="Times New Roman"/>
          <w:bCs/>
          <w:i/>
          <w:iCs/>
          <w:sz w:val="20"/>
          <w:szCs w:val="20"/>
        </w:rPr>
        <w:t>r</w:t>
      </w:r>
      <w:r w:rsidRPr="0080521D">
        <w:rPr>
          <w:rFonts w:ascii="Times New Roman" w:hAnsi="Times New Roman" w:cs="Times New Roman"/>
          <w:bCs/>
          <w:i/>
          <w:iCs/>
          <w:sz w:val="20"/>
          <w:szCs w:val="20"/>
        </w:rPr>
        <w:t>ecovery (HRR)</w:t>
      </w:r>
    </w:p>
    <w:p w14:paraId="1A0CE502" w14:textId="76A3206A" w:rsidR="000E53F6" w:rsidRPr="0080521D" w:rsidRDefault="008236FA" w:rsidP="00231AA2">
      <w:pPr>
        <w:autoSpaceDE w:val="0"/>
        <w:autoSpaceDN w:val="0"/>
        <w:adjustRightInd w:val="0"/>
        <w:spacing w:after="0" w:line="240" w:lineRule="auto"/>
        <w:ind w:firstLine="720"/>
        <w:jc w:val="both"/>
        <w:rPr>
          <w:rFonts w:ascii="Times New Roman" w:hAnsi="Times New Roman" w:cs="Times New Roman"/>
          <w:sz w:val="20"/>
          <w:szCs w:val="20"/>
        </w:rPr>
      </w:pPr>
      <w:r>
        <w:rPr>
          <w:rFonts w:ascii="Times New Roman" w:hAnsi="Times New Roman" w:cs="Times New Roman"/>
          <w:sz w:val="20"/>
          <w:szCs w:val="20"/>
        </w:rPr>
        <w:t xml:space="preserve">HHR </w:t>
      </w:r>
      <w:r w:rsidR="000E53F6" w:rsidRPr="0080521D">
        <w:rPr>
          <w:rFonts w:ascii="Times New Roman" w:hAnsi="Times New Roman" w:cs="Times New Roman"/>
          <w:sz w:val="20"/>
          <w:szCs w:val="20"/>
        </w:rPr>
        <w:t xml:space="preserve">post-exercise is a marker of parasympathetic nerve activity (Imai et </w:t>
      </w:r>
      <w:r w:rsidR="00E748A7">
        <w:rPr>
          <w:rFonts w:ascii="Times New Roman" w:hAnsi="Times New Roman" w:cs="Times New Roman"/>
          <w:sz w:val="20"/>
          <w:szCs w:val="20"/>
        </w:rPr>
        <w:t>al.</w:t>
      </w:r>
      <w:r w:rsidR="000E53F6" w:rsidRPr="0080521D">
        <w:rPr>
          <w:rFonts w:ascii="Times New Roman" w:hAnsi="Times New Roman" w:cs="Times New Roman"/>
          <w:sz w:val="20"/>
          <w:szCs w:val="20"/>
        </w:rPr>
        <w:t xml:space="preserve"> 1994). </w:t>
      </w:r>
      <w:r w:rsidR="000E53F6" w:rsidRPr="0080521D">
        <w:rPr>
          <w:rFonts w:ascii="Times New Roman" w:hAnsi="Times New Roman" w:cs="Times New Roman"/>
          <w:sz w:val="20"/>
          <w:szCs w:val="20"/>
          <w:shd w:val="clear" w:color="auto" w:fill="FFFFFF"/>
        </w:rPr>
        <w:t xml:space="preserve">PCOS women have significantly lower HRR values 1 minute after exercise than controls (Tekin et </w:t>
      </w:r>
      <w:r w:rsidR="00E748A7">
        <w:rPr>
          <w:rFonts w:ascii="Times New Roman" w:hAnsi="Times New Roman" w:cs="Times New Roman"/>
          <w:sz w:val="20"/>
          <w:szCs w:val="20"/>
          <w:shd w:val="clear" w:color="auto" w:fill="FFFFFF"/>
        </w:rPr>
        <w:t>al.</w:t>
      </w:r>
      <w:r w:rsidR="000E53F6" w:rsidRPr="0080521D">
        <w:rPr>
          <w:rFonts w:ascii="Times New Roman" w:hAnsi="Times New Roman" w:cs="Times New Roman"/>
          <w:sz w:val="20"/>
          <w:szCs w:val="20"/>
          <w:shd w:val="clear" w:color="auto" w:fill="FFFFFF"/>
        </w:rPr>
        <w:t xml:space="preserve"> 2008). That is, they </w:t>
      </w:r>
      <w:r w:rsidR="005548B8" w:rsidRPr="0080521D">
        <w:rPr>
          <w:rFonts w:ascii="Times New Roman" w:hAnsi="Times New Roman" w:cs="Times New Roman"/>
          <w:sz w:val="20"/>
          <w:szCs w:val="20"/>
          <w:shd w:val="clear" w:color="auto" w:fill="FFFFFF"/>
        </w:rPr>
        <w:t>manifest</w:t>
      </w:r>
      <w:r w:rsidR="000E53F6" w:rsidRPr="0080521D">
        <w:rPr>
          <w:rFonts w:ascii="Times New Roman" w:hAnsi="Times New Roman" w:cs="Times New Roman"/>
          <w:sz w:val="20"/>
          <w:szCs w:val="20"/>
          <w:shd w:val="clear" w:color="auto" w:fill="FFFFFF"/>
        </w:rPr>
        <w:t xml:space="preserve"> significantly smaller heart rate changes post-exercise </w:t>
      </w:r>
      <w:r w:rsidR="000E53F6" w:rsidRPr="0080521D">
        <w:rPr>
          <w:rFonts w:ascii="Times New Roman" w:hAnsi="Times New Roman" w:cs="Times New Roman"/>
          <w:sz w:val="20"/>
          <w:szCs w:val="20"/>
        </w:rPr>
        <w:t>(28 ± 8 bpm vs</w:t>
      </w:r>
      <w:r w:rsidR="0004228F" w:rsidRPr="0080521D">
        <w:rPr>
          <w:rFonts w:ascii="Times New Roman" w:hAnsi="Times New Roman" w:cs="Times New Roman"/>
          <w:sz w:val="20"/>
          <w:szCs w:val="20"/>
        </w:rPr>
        <w:t>.</w:t>
      </w:r>
      <w:r w:rsidR="000E53F6" w:rsidRPr="0080521D">
        <w:rPr>
          <w:rFonts w:ascii="Times New Roman" w:hAnsi="Times New Roman" w:cs="Times New Roman"/>
          <w:sz w:val="20"/>
          <w:szCs w:val="20"/>
        </w:rPr>
        <w:t xml:space="preserve"> 20 ± 4, p&lt; 0.0001). Further, their systolic blood pressure (SBP) values</w:t>
      </w:r>
      <w:r w:rsidR="00BD1E58" w:rsidRPr="0080521D">
        <w:rPr>
          <w:rFonts w:ascii="Times New Roman" w:hAnsi="Times New Roman" w:cs="Times New Roman"/>
          <w:sz w:val="20"/>
          <w:szCs w:val="20"/>
        </w:rPr>
        <w:t xml:space="preserve">, </w:t>
      </w:r>
      <w:r w:rsidR="000E53F6" w:rsidRPr="0080521D">
        <w:rPr>
          <w:rFonts w:ascii="Times New Roman" w:hAnsi="Times New Roman" w:cs="Times New Roman"/>
          <w:sz w:val="20"/>
          <w:szCs w:val="20"/>
        </w:rPr>
        <w:t>though similar at rest</w:t>
      </w:r>
      <w:r w:rsidR="00BD1E58" w:rsidRPr="0080521D">
        <w:rPr>
          <w:rFonts w:ascii="Times New Roman" w:hAnsi="Times New Roman" w:cs="Times New Roman"/>
          <w:sz w:val="20"/>
          <w:szCs w:val="20"/>
        </w:rPr>
        <w:t>,</w:t>
      </w:r>
      <w:r w:rsidR="000E53F6" w:rsidRPr="0080521D">
        <w:rPr>
          <w:rFonts w:ascii="Times New Roman" w:hAnsi="Times New Roman" w:cs="Times New Roman"/>
          <w:sz w:val="20"/>
          <w:szCs w:val="20"/>
        </w:rPr>
        <w:t xml:space="preserve"> remained more elevated during exercise 172 ± 12 vs</w:t>
      </w:r>
      <w:r w:rsidR="00BD1E58" w:rsidRPr="0080521D">
        <w:rPr>
          <w:rFonts w:ascii="Times New Roman" w:hAnsi="Times New Roman" w:cs="Times New Roman"/>
          <w:sz w:val="20"/>
          <w:szCs w:val="20"/>
        </w:rPr>
        <w:t>.</w:t>
      </w:r>
      <w:r w:rsidR="000E53F6" w:rsidRPr="0080521D">
        <w:rPr>
          <w:rFonts w:ascii="Times New Roman" w:hAnsi="Times New Roman" w:cs="Times New Roman"/>
          <w:sz w:val="20"/>
          <w:szCs w:val="20"/>
        </w:rPr>
        <w:t xml:space="preserve"> 156 ± 14 mmHg, </w:t>
      </w:r>
      <w:r w:rsidR="000E53F6" w:rsidRPr="0080521D">
        <w:rPr>
          <w:rFonts w:ascii="Times New Roman" w:hAnsi="Times New Roman" w:cs="Times New Roman"/>
          <w:i/>
          <w:iCs/>
          <w:sz w:val="20"/>
          <w:szCs w:val="20"/>
        </w:rPr>
        <w:t>p</w:t>
      </w:r>
      <w:r w:rsidR="00C51B56">
        <w:rPr>
          <w:rFonts w:ascii="Times New Roman" w:hAnsi="Times New Roman" w:cs="Times New Roman"/>
          <w:i/>
          <w:iCs/>
          <w:sz w:val="20"/>
          <w:szCs w:val="20"/>
        </w:rPr>
        <w:t xml:space="preserve"> </w:t>
      </w:r>
      <w:r w:rsidR="000E53F6" w:rsidRPr="0080521D">
        <w:rPr>
          <w:rFonts w:ascii="Times New Roman" w:hAnsi="Times New Roman" w:cs="Times New Roman"/>
          <w:sz w:val="20"/>
          <w:szCs w:val="20"/>
        </w:rPr>
        <w:t xml:space="preserve">&lt;0.0001) and more elevated 1, 2, and 3 minutes after </w:t>
      </w:r>
      <w:r w:rsidR="0006701B" w:rsidRPr="0080521D">
        <w:rPr>
          <w:rFonts w:ascii="Times New Roman" w:hAnsi="Times New Roman" w:cs="Times New Roman"/>
          <w:sz w:val="20"/>
          <w:szCs w:val="20"/>
        </w:rPr>
        <w:t>exercise (</w:t>
      </w:r>
      <w:r w:rsidR="000E53F6" w:rsidRPr="0080521D">
        <w:rPr>
          <w:rFonts w:ascii="Times New Roman" w:hAnsi="Times New Roman" w:cs="Times New Roman"/>
          <w:sz w:val="20"/>
          <w:szCs w:val="20"/>
        </w:rPr>
        <w:t>168 ± 13 vs</w:t>
      </w:r>
      <w:r w:rsidR="00BD1E58" w:rsidRPr="0080521D">
        <w:rPr>
          <w:rFonts w:ascii="Times New Roman" w:hAnsi="Times New Roman" w:cs="Times New Roman"/>
          <w:sz w:val="20"/>
          <w:szCs w:val="20"/>
        </w:rPr>
        <w:t>.</w:t>
      </w:r>
      <w:r w:rsidR="000E53F6" w:rsidRPr="0080521D">
        <w:rPr>
          <w:rFonts w:ascii="Times New Roman" w:hAnsi="Times New Roman" w:cs="Times New Roman"/>
          <w:sz w:val="20"/>
          <w:szCs w:val="20"/>
        </w:rPr>
        <w:t xml:space="preserve"> 148 ±</w:t>
      </w:r>
      <w:r w:rsidR="000E53F6" w:rsidRPr="0080521D">
        <w:rPr>
          <w:rFonts w:ascii="Times New Roman" w:hAnsi="Times New Roman" w:cs="Times New Roman"/>
          <w:sz w:val="20"/>
          <w:szCs w:val="20"/>
          <w:shd w:val="clear" w:color="auto" w:fill="FFFFFF"/>
        </w:rPr>
        <w:t xml:space="preserve"> </w:t>
      </w:r>
      <w:r w:rsidR="000E53F6" w:rsidRPr="0080521D">
        <w:rPr>
          <w:rFonts w:ascii="Times New Roman" w:hAnsi="Times New Roman" w:cs="Times New Roman"/>
          <w:sz w:val="20"/>
          <w:szCs w:val="20"/>
        </w:rPr>
        <w:t>5 mmHg, 162 ± 13 vs</w:t>
      </w:r>
      <w:r w:rsidR="00BD1E58" w:rsidRPr="0080521D">
        <w:rPr>
          <w:rFonts w:ascii="Times New Roman" w:hAnsi="Times New Roman" w:cs="Times New Roman"/>
          <w:sz w:val="20"/>
          <w:szCs w:val="20"/>
        </w:rPr>
        <w:t>.</w:t>
      </w:r>
      <w:r w:rsidR="000E53F6" w:rsidRPr="0080521D">
        <w:rPr>
          <w:rFonts w:ascii="Times New Roman" w:hAnsi="Times New Roman" w:cs="Times New Roman"/>
          <w:sz w:val="20"/>
          <w:szCs w:val="20"/>
        </w:rPr>
        <w:t xml:space="preserve"> 136 ± 16 mmHg, 152 ± 17 vs</w:t>
      </w:r>
      <w:r w:rsidR="00BD1E58" w:rsidRPr="0080521D">
        <w:rPr>
          <w:rFonts w:ascii="Times New Roman" w:hAnsi="Times New Roman" w:cs="Times New Roman"/>
          <w:sz w:val="20"/>
          <w:szCs w:val="20"/>
        </w:rPr>
        <w:t>.</w:t>
      </w:r>
      <w:r w:rsidR="000E53F6" w:rsidRPr="0080521D">
        <w:rPr>
          <w:rFonts w:ascii="Times New Roman" w:hAnsi="Times New Roman" w:cs="Times New Roman"/>
          <w:sz w:val="20"/>
          <w:szCs w:val="20"/>
        </w:rPr>
        <w:t xml:space="preserve"> 127 ± 15 mmHg, respectively, </w:t>
      </w:r>
      <w:r w:rsidR="000E53F6" w:rsidRPr="0080521D">
        <w:rPr>
          <w:rFonts w:ascii="Times New Roman" w:hAnsi="Times New Roman" w:cs="Times New Roman"/>
          <w:i/>
          <w:iCs/>
          <w:sz w:val="20"/>
          <w:szCs w:val="20"/>
        </w:rPr>
        <w:t xml:space="preserve">p </w:t>
      </w:r>
      <w:r w:rsidR="000E53F6" w:rsidRPr="0080521D">
        <w:rPr>
          <w:rFonts w:ascii="Times New Roman" w:hAnsi="Times New Roman" w:cs="Times New Roman"/>
          <w:sz w:val="20"/>
          <w:szCs w:val="20"/>
        </w:rPr>
        <w:t>&lt;0.0001</w:t>
      </w:r>
      <w:r>
        <w:rPr>
          <w:rFonts w:ascii="Times New Roman" w:hAnsi="Times New Roman" w:cs="Times New Roman"/>
          <w:sz w:val="20"/>
          <w:szCs w:val="20"/>
        </w:rPr>
        <w:t>)</w:t>
      </w:r>
      <w:r w:rsidR="000E53F6" w:rsidRPr="0080521D">
        <w:rPr>
          <w:rFonts w:ascii="Times New Roman" w:hAnsi="Times New Roman" w:cs="Times New Roman"/>
          <w:sz w:val="20"/>
          <w:szCs w:val="20"/>
        </w:rPr>
        <w:t>.</w:t>
      </w:r>
    </w:p>
    <w:p w14:paraId="7929E888" w14:textId="51FEE8E3" w:rsidR="00462E71" w:rsidRPr="0080521D" w:rsidRDefault="00462E71" w:rsidP="00231AA2">
      <w:pPr>
        <w:spacing w:before="100" w:after="100" w:line="240" w:lineRule="auto"/>
        <w:jc w:val="both"/>
        <w:rPr>
          <w:rFonts w:ascii="Times New Roman" w:hAnsi="Times New Roman" w:cs="Times New Roman"/>
          <w:bCs/>
          <w:i/>
          <w:iCs/>
          <w:sz w:val="20"/>
          <w:szCs w:val="20"/>
          <w:shd w:val="clear" w:color="auto" w:fill="FFFFFF"/>
        </w:rPr>
      </w:pPr>
      <w:r w:rsidRPr="0080521D">
        <w:rPr>
          <w:rFonts w:ascii="Times New Roman" w:hAnsi="Times New Roman" w:cs="Times New Roman"/>
          <w:bCs/>
          <w:i/>
          <w:iCs/>
          <w:sz w:val="20"/>
          <w:szCs w:val="20"/>
          <w:shd w:val="clear" w:color="auto" w:fill="FFFFFF"/>
        </w:rPr>
        <w:t xml:space="preserve">Basal </w:t>
      </w:r>
      <w:r w:rsidR="008236FA">
        <w:rPr>
          <w:rFonts w:ascii="Times New Roman" w:hAnsi="Times New Roman" w:cs="Times New Roman"/>
          <w:bCs/>
          <w:i/>
          <w:iCs/>
          <w:sz w:val="20"/>
          <w:szCs w:val="20"/>
          <w:shd w:val="clear" w:color="auto" w:fill="FFFFFF"/>
        </w:rPr>
        <w:t>h</w:t>
      </w:r>
      <w:r w:rsidRPr="0080521D">
        <w:rPr>
          <w:rFonts w:ascii="Times New Roman" w:hAnsi="Times New Roman" w:cs="Times New Roman"/>
          <w:bCs/>
          <w:i/>
          <w:iCs/>
          <w:sz w:val="20"/>
          <w:szCs w:val="20"/>
          <w:shd w:val="clear" w:color="auto" w:fill="FFFFFF"/>
        </w:rPr>
        <w:t xml:space="preserve">eart </w:t>
      </w:r>
      <w:r w:rsidR="008236FA">
        <w:rPr>
          <w:rFonts w:ascii="Times New Roman" w:hAnsi="Times New Roman" w:cs="Times New Roman"/>
          <w:bCs/>
          <w:i/>
          <w:iCs/>
          <w:sz w:val="20"/>
          <w:szCs w:val="20"/>
          <w:shd w:val="clear" w:color="auto" w:fill="FFFFFF"/>
        </w:rPr>
        <w:t>r</w:t>
      </w:r>
      <w:r w:rsidRPr="0080521D">
        <w:rPr>
          <w:rFonts w:ascii="Times New Roman" w:hAnsi="Times New Roman" w:cs="Times New Roman"/>
          <w:bCs/>
          <w:i/>
          <w:iCs/>
          <w:sz w:val="20"/>
          <w:szCs w:val="20"/>
          <w:shd w:val="clear" w:color="auto" w:fill="FFFFFF"/>
        </w:rPr>
        <w:t>ate (BHR)</w:t>
      </w:r>
    </w:p>
    <w:p w14:paraId="57CA9A79" w14:textId="69CC3D40" w:rsidR="00462E71" w:rsidRPr="0080521D" w:rsidRDefault="00462E71" w:rsidP="00231AA2">
      <w:pPr>
        <w:spacing w:after="0" w:line="240" w:lineRule="auto"/>
        <w:ind w:firstLine="720"/>
        <w:jc w:val="both"/>
        <w:rPr>
          <w:rFonts w:ascii="Times New Roman" w:hAnsi="Times New Roman" w:cs="Times New Roman"/>
          <w:sz w:val="20"/>
          <w:szCs w:val="20"/>
          <w:shd w:val="clear" w:color="auto" w:fill="FFFFFF"/>
        </w:rPr>
      </w:pPr>
      <w:r w:rsidRPr="0080521D">
        <w:rPr>
          <w:rFonts w:ascii="Times New Roman" w:hAnsi="Times New Roman" w:cs="Times New Roman"/>
          <w:sz w:val="20"/>
          <w:szCs w:val="20"/>
          <w:shd w:val="clear" w:color="auto" w:fill="FFFFFF"/>
        </w:rPr>
        <w:t xml:space="preserve">Significant </w:t>
      </w:r>
      <w:r w:rsidR="008236FA">
        <w:rPr>
          <w:rFonts w:ascii="Times New Roman" w:hAnsi="Times New Roman" w:cs="Times New Roman"/>
          <w:sz w:val="20"/>
          <w:szCs w:val="20"/>
          <w:shd w:val="clear" w:color="auto" w:fill="FFFFFF"/>
        </w:rPr>
        <w:t xml:space="preserve">BHR </w:t>
      </w:r>
      <w:r w:rsidRPr="0080521D">
        <w:rPr>
          <w:rFonts w:ascii="Times New Roman" w:hAnsi="Times New Roman" w:cs="Times New Roman"/>
          <w:sz w:val="20"/>
          <w:szCs w:val="20"/>
          <w:shd w:val="clear" w:color="auto" w:fill="FFFFFF"/>
        </w:rPr>
        <w:t xml:space="preserve">differences between PCOS women and controls are not a consistent finding. Gui &amp; Wang (2017) </w:t>
      </w:r>
      <w:r w:rsidR="000D6C90" w:rsidRPr="0080521D">
        <w:rPr>
          <w:rFonts w:ascii="Times New Roman" w:hAnsi="Times New Roman" w:cs="Times New Roman"/>
          <w:sz w:val="20"/>
          <w:szCs w:val="20"/>
          <w:shd w:val="clear" w:color="auto" w:fill="FFFFFF"/>
        </w:rPr>
        <w:t>revealed</w:t>
      </w:r>
      <w:r w:rsidRPr="0080521D">
        <w:rPr>
          <w:rFonts w:ascii="Times New Roman" w:hAnsi="Times New Roman" w:cs="Times New Roman"/>
          <w:sz w:val="20"/>
          <w:szCs w:val="20"/>
          <w:shd w:val="clear" w:color="auto" w:fill="FFFFFF"/>
        </w:rPr>
        <w:t xml:space="preserve"> a </w:t>
      </w:r>
      <w:r w:rsidR="008236FA">
        <w:rPr>
          <w:rFonts w:ascii="Times New Roman" w:hAnsi="Times New Roman" w:cs="Times New Roman"/>
          <w:sz w:val="20"/>
          <w:szCs w:val="20"/>
          <w:shd w:val="clear" w:color="auto" w:fill="FFFFFF"/>
        </w:rPr>
        <w:t xml:space="preserve">non-significant </w:t>
      </w:r>
      <w:r w:rsidRPr="0080521D">
        <w:rPr>
          <w:rFonts w:ascii="Times New Roman" w:hAnsi="Times New Roman" w:cs="Times New Roman"/>
          <w:sz w:val="20"/>
          <w:szCs w:val="20"/>
          <w:shd w:val="clear" w:color="auto" w:fill="FFFFFF"/>
        </w:rPr>
        <w:t xml:space="preserve">trend in the direction of higher BHR’s in PCOS women. Five out of eight studies from the meta-analysis </w:t>
      </w:r>
      <w:r w:rsidR="00AA0C65" w:rsidRPr="0080521D">
        <w:rPr>
          <w:rFonts w:ascii="Times New Roman" w:hAnsi="Times New Roman" w:cs="Times New Roman"/>
          <w:sz w:val="20"/>
          <w:szCs w:val="20"/>
          <w:shd w:val="clear" w:color="auto" w:fill="FFFFFF"/>
        </w:rPr>
        <w:t>evidenced</w:t>
      </w:r>
      <w:r w:rsidRPr="0080521D">
        <w:rPr>
          <w:rFonts w:ascii="Times New Roman" w:hAnsi="Times New Roman" w:cs="Times New Roman"/>
          <w:sz w:val="20"/>
          <w:szCs w:val="20"/>
          <w:shd w:val="clear" w:color="auto" w:fill="FFFFFF"/>
        </w:rPr>
        <w:t xml:space="preserve"> the positive trend </w:t>
      </w:r>
      <w:r w:rsidRPr="0080521D">
        <w:rPr>
          <w:rFonts w:ascii="Times New Roman" w:hAnsi="Times New Roman" w:cs="Times New Roman"/>
          <w:sz w:val="20"/>
          <w:szCs w:val="20"/>
        </w:rPr>
        <w:t xml:space="preserve">(Hedges’ g = 0.42, </w:t>
      </w:r>
      <w:r w:rsidR="00DB01CB" w:rsidRPr="0080521D">
        <w:rPr>
          <w:rFonts w:ascii="Times New Roman" w:hAnsi="Times New Roman" w:cs="Times New Roman"/>
          <w:sz w:val="20"/>
          <w:szCs w:val="20"/>
        </w:rPr>
        <w:t>p=NS</w:t>
      </w:r>
      <w:r w:rsidR="00DB01CB">
        <w:rPr>
          <w:rFonts w:ascii="Times New Roman" w:hAnsi="Times New Roman" w:cs="Times New Roman"/>
          <w:sz w:val="20"/>
          <w:szCs w:val="20"/>
        </w:rPr>
        <w:t>;</w:t>
      </w:r>
      <w:r w:rsidR="00DB01CB" w:rsidRPr="0080521D">
        <w:rPr>
          <w:rFonts w:ascii="Times New Roman" w:hAnsi="Times New Roman" w:cs="Times New Roman"/>
          <w:sz w:val="20"/>
          <w:szCs w:val="20"/>
        </w:rPr>
        <w:t xml:space="preserve"> </w:t>
      </w:r>
      <w:r w:rsidRPr="0080521D">
        <w:rPr>
          <w:rFonts w:ascii="Times New Roman" w:hAnsi="Times New Roman" w:cs="Times New Roman"/>
          <w:sz w:val="20"/>
          <w:szCs w:val="20"/>
        </w:rPr>
        <w:t>95% CI</w:t>
      </w:r>
      <w:r w:rsidR="00DB01CB">
        <w:rPr>
          <w:rFonts w:ascii="Times New Roman" w:hAnsi="Times New Roman" w:cs="Times New Roman"/>
          <w:sz w:val="20"/>
          <w:szCs w:val="20"/>
        </w:rPr>
        <w:t>:</w:t>
      </w:r>
      <w:r w:rsidRPr="0080521D">
        <w:rPr>
          <w:rFonts w:ascii="Times New Roman" w:hAnsi="Times New Roman" w:cs="Times New Roman"/>
          <w:sz w:val="20"/>
          <w:szCs w:val="20"/>
        </w:rPr>
        <w:t xml:space="preserve"> −0.04 to 0.87). </w:t>
      </w:r>
      <w:r w:rsidRPr="0080521D">
        <w:rPr>
          <w:rFonts w:ascii="Times New Roman" w:hAnsi="Times New Roman" w:cs="Times New Roman"/>
          <w:sz w:val="20"/>
          <w:szCs w:val="20"/>
          <w:shd w:val="clear" w:color="auto" w:fill="FFFFFF"/>
        </w:rPr>
        <w:t xml:space="preserve">The resting or basal heart rate is regulated by both parasympathetic and sympathetic nerve activity (Lahiri et </w:t>
      </w:r>
      <w:r w:rsidR="00E748A7">
        <w:rPr>
          <w:rFonts w:ascii="Times New Roman" w:hAnsi="Times New Roman" w:cs="Times New Roman"/>
          <w:sz w:val="20"/>
          <w:szCs w:val="20"/>
          <w:shd w:val="clear" w:color="auto" w:fill="FFFFFF"/>
        </w:rPr>
        <w:t>al.</w:t>
      </w:r>
      <w:r w:rsidRPr="0080521D">
        <w:rPr>
          <w:rFonts w:ascii="Times New Roman" w:hAnsi="Times New Roman" w:cs="Times New Roman"/>
          <w:sz w:val="20"/>
          <w:szCs w:val="20"/>
          <w:shd w:val="clear" w:color="auto" w:fill="FFFFFF"/>
        </w:rPr>
        <w:t xml:space="preserve"> 2008).</w:t>
      </w:r>
    </w:p>
    <w:p w14:paraId="3220C8D8" w14:textId="62F0E403" w:rsidR="00462E71" w:rsidRPr="0080521D" w:rsidRDefault="001A1A26" w:rsidP="00231AA2">
      <w:pPr>
        <w:spacing w:before="100" w:after="100" w:line="240" w:lineRule="auto"/>
        <w:jc w:val="both"/>
        <w:rPr>
          <w:rFonts w:ascii="Times New Roman" w:hAnsi="Times New Roman" w:cs="Times New Roman"/>
          <w:bCs/>
          <w:i/>
          <w:iCs/>
          <w:sz w:val="20"/>
          <w:szCs w:val="20"/>
        </w:rPr>
      </w:pPr>
      <w:r w:rsidRPr="0080521D">
        <w:rPr>
          <w:rFonts w:ascii="Times New Roman" w:hAnsi="Times New Roman" w:cs="Times New Roman"/>
          <w:bCs/>
          <w:i/>
          <w:iCs/>
          <w:sz w:val="20"/>
          <w:szCs w:val="20"/>
        </w:rPr>
        <w:t>P</w:t>
      </w:r>
      <w:r w:rsidR="00740ABC" w:rsidRPr="0080521D">
        <w:rPr>
          <w:rFonts w:ascii="Times New Roman" w:hAnsi="Times New Roman" w:cs="Times New Roman"/>
          <w:bCs/>
          <w:i/>
          <w:iCs/>
          <w:sz w:val="20"/>
          <w:szCs w:val="20"/>
        </w:rPr>
        <w:t>arameter correlations</w:t>
      </w:r>
    </w:p>
    <w:p w14:paraId="2EC5E57B" w14:textId="7B149282" w:rsidR="00462E71" w:rsidRPr="0010670E" w:rsidRDefault="00DB01CB" w:rsidP="00231AA2">
      <w:pPr>
        <w:spacing w:before="100" w:after="100" w:line="240" w:lineRule="auto"/>
        <w:ind w:firstLine="360"/>
        <w:jc w:val="both"/>
        <w:rPr>
          <w:rFonts w:ascii="Times New Roman" w:hAnsi="Times New Roman" w:cs="Times New Roman"/>
          <w:bCs/>
          <w:i/>
          <w:iCs/>
          <w:sz w:val="20"/>
          <w:szCs w:val="20"/>
          <w:u w:val="single"/>
        </w:rPr>
      </w:pPr>
      <w:r w:rsidRPr="0080521D">
        <w:rPr>
          <w:rFonts w:ascii="Times New Roman" w:hAnsi="Times New Roman" w:cs="Times New Roman"/>
          <w:bCs/>
          <w:i/>
          <w:iCs/>
          <w:sz w:val="20"/>
          <w:szCs w:val="20"/>
          <w:shd w:val="clear" w:color="auto" w:fill="FFFFFF"/>
        </w:rPr>
        <w:t xml:space="preserve">Muscle sympathetic nerve activity </w:t>
      </w:r>
      <w:r>
        <w:rPr>
          <w:rFonts w:ascii="Times New Roman" w:hAnsi="Times New Roman" w:cs="Times New Roman"/>
          <w:bCs/>
          <w:i/>
          <w:iCs/>
          <w:sz w:val="20"/>
          <w:szCs w:val="20"/>
          <w:shd w:val="clear" w:color="auto" w:fill="FFFFFF"/>
        </w:rPr>
        <w:t>(</w:t>
      </w:r>
      <w:r w:rsidR="00462E71" w:rsidRPr="0010670E">
        <w:rPr>
          <w:rFonts w:ascii="Times New Roman" w:hAnsi="Times New Roman" w:cs="Times New Roman"/>
          <w:bCs/>
          <w:i/>
          <w:iCs/>
          <w:sz w:val="20"/>
          <w:szCs w:val="20"/>
          <w:u w:val="single"/>
        </w:rPr>
        <w:t>MSNA</w:t>
      </w:r>
      <w:r>
        <w:rPr>
          <w:rFonts w:ascii="Times New Roman" w:hAnsi="Times New Roman" w:cs="Times New Roman"/>
          <w:bCs/>
          <w:i/>
          <w:iCs/>
          <w:sz w:val="20"/>
          <w:szCs w:val="20"/>
          <w:u w:val="single"/>
        </w:rPr>
        <w:t>)</w:t>
      </w:r>
    </w:p>
    <w:p w14:paraId="79015F72" w14:textId="03455401" w:rsidR="00462E71" w:rsidRPr="0080521D" w:rsidRDefault="00462E71" w:rsidP="00231AA2">
      <w:pPr>
        <w:autoSpaceDE w:val="0"/>
        <w:autoSpaceDN w:val="0"/>
        <w:adjustRightInd w:val="0"/>
        <w:spacing w:after="0" w:line="240" w:lineRule="auto"/>
        <w:ind w:firstLine="720"/>
        <w:jc w:val="both"/>
        <w:rPr>
          <w:rFonts w:ascii="Times New Roman" w:hAnsi="Times New Roman" w:cs="Times New Roman"/>
          <w:bCs/>
          <w:sz w:val="20"/>
          <w:szCs w:val="20"/>
        </w:rPr>
      </w:pPr>
      <w:r w:rsidRPr="0080521D">
        <w:rPr>
          <w:rFonts w:ascii="Times New Roman" w:hAnsi="Times New Roman" w:cs="Times New Roman"/>
          <w:sz w:val="20"/>
          <w:szCs w:val="20"/>
          <w:shd w:val="clear" w:color="auto" w:fill="FFFFFF"/>
        </w:rPr>
        <w:t xml:space="preserve">In PCOS women, </w:t>
      </w:r>
      <w:r w:rsidRPr="0080521D">
        <w:rPr>
          <w:rFonts w:ascii="Times New Roman" w:hAnsi="Times New Roman" w:cs="Times New Roman"/>
          <w:sz w:val="20"/>
          <w:szCs w:val="20"/>
        </w:rPr>
        <w:t>MSNA was directly related to total testosterone (TT) (</w:t>
      </w:r>
      <w:r w:rsidRPr="0080521D">
        <w:rPr>
          <w:rFonts w:ascii="Times New Roman" w:hAnsi="Times New Roman" w:cs="Times New Roman"/>
          <w:i/>
          <w:iCs/>
          <w:sz w:val="20"/>
          <w:szCs w:val="20"/>
        </w:rPr>
        <w:t xml:space="preserve">r </w:t>
      </w:r>
      <w:r w:rsidRPr="0080521D">
        <w:rPr>
          <w:rFonts w:ascii="Times New Roman" w:hAnsi="Times New Roman" w:cs="Times New Roman"/>
          <w:sz w:val="20"/>
          <w:szCs w:val="20"/>
        </w:rPr>
        <w:t xml:space="preserve">= 0.63, </w:t>
      </w:r>
      <w:r w:rsidRPr="0080521D">
        <w:rPr>
          <w:rFonts w:ascii="Times New Roman" w:hAnsi="Times New Roman" w:cs="Times New Roman"/>
          <w:i/>
          <w:iCs/>
          <w:sz w:val="20"/>
          <w:szCs w:val="20"/>
        </w:rPr>
        <w:t xml:space="preserve">p &lt; </w:t>
      </w:r>
      <w:r w:rsidRPr="0080521D">
        <w:rPr>
          <w:rFonts w:ascii="Times New Roman" w:hAnsi="Times New Roman" w:cs="Times New Roman"/>
          <w:sz w:val="20"/>
          <w:szCs w:val="20"/>
        </w:rPr>
        <w:t>0.005), free testosterone (</w:t>
      </w:r>
      <w:r w:rsidRPr="0080521D">
        <w:rPr>
          <w:rFonts w:ascii="Times New Roman" w:hAnsi="Times New Roman" w:cs="Times New Roman"/>
          <w:i/>
          <w:iCs/>
          <w:sz w:val="20"/>
          <w:szCs w:val="20"/>
        </w:rPr>
        <w:t xml:space="preserve">r </w:t>
      </w:r>
      <w:r w:rsidRPr="0080521D">
        <w:rPr>
          <w:rFonts w:ascii="Times New Roman" w:hAnsi="Times New Roman" w:cs="Times New Roman"/>
          <w:sz w:val="20"/>
          <w:szCs w:val="20"/>
        </w:rPr>
        <w:t xml:space="preserve">= 0.57, </w:t>
      </w:r>
      <w:r w:rsidRPr="0080521D">
        <w:rPr>
          <w:rFonts w:ascii="Times New Roman" w:hAnsi="Times New Roman" w:cs="Times New Roman"/>
          <w:i/>
          <w:iCs/>
          <w:sz w:val="20"/>
          <w:szCs w:val="20"/>
        </w:rPr>
        <w:t xml:space="preserve">p &lt; </w:t>
      </w:r>
      <w:r w:rsidRPr="0080521D">
        <w:rPr>
          <w:rFonts w:ascii="Times New Roman" w:hAnsi="Times New Roman" w:cs="Times New Roman"/>
          <w:sz w:val="20"/>
          <w:szCs w:val="20"/>
        </w:rPr>
        <w:t>0.01) and total cholesterol (TC) (</w:t>
      </w:r>
      <w:r w:rsidRPr="0080521D">
        <w:rPr>
          <w:rFonts w:ascii="Times New Roman" w:hAnsi="Times New Roman" w:cs="Times New Roman"/>
          <w:i/>
          <w:iCs/>
          <w:sz w:val="20"/>
          <w:szCs w:val="20"/>
        </w:rPr>
        <w:t xml:space="preserve">r </w:t>
      </w:r>
      <w:r w:rsidRPr="0080521D">
        <w:rPr>
          <w:rFonts w:ascii="Times New Roman" w:hAnsi="Times New Roman" w:cs="Times New Roman"/>
          <w:sz w:val="20"/>
          <w:szCs w:val="20"/>
        </w:rPr>
        <w:t xml:space="preserve">= 0.55, </w:t>
      </w:r>
      <w:r w:rsidRPr="0080521D">
        <w:rPr>
          <w:rFonts w:ascii="Times New Roman" w:hAnsi="Times New Roman" w:cs="Times New Roman"/>
          <w:i/>
          <w:iCs/>
          <w:sz w:val="20"/>
          <w:szCs w:val="20"/>
        </w:rPr>
        <w:t xml:space="preserve">p </w:t>
      </w:r>
      <w:r w:rsidRPr="0080521D">
        <w:rPr>
          <w:rFonts w:ascii="Times New Roman" w:hAnsi="Times New Roman" w:cs="Times New Roman"/>
          <w:sz w:val="20"/>
          <w:szCs w:val="20"/>
        </w:rPr>
        <w:t>&lt;0.01) (</w:t>
      </w:r>
      <w:r w:rsidRPr="0080521D">
        <w:rPr>
          <w:rFonts w:ascii="Times New Roman" w:hAnsi="Times New Roman" w:cs="Times New Roman"/>
          <w:bCs/>
          <w:sz w:val="20"/>
          <w:szCs w:val="20"/>
        </w:rPr>
        <w:t xml:space="preserve">Sverrisdo´ttir et </w:t>
      </w:r>
      <w:r w:rsidR="00E748A7">
        <w:rPr>
          <w:rFonts w:ascii="Times New Roman" w:hAnsi="Times New Roman" w:cs="Times New Roman"/>
          <w:bCs/>
          <w:sz w:val="20"/>
          <w:szCs w:val="20"/>
        </w:rPr>
        <w:t>al.</w:t>
      </w:r>
      <w:r w:rsidRPr="0080521D">
        <w:rPr>
          <w:rFonts w:ascii="Times New Roman" w:hAnsi="Times New Roman" w:cs="Times New Roman"/>
          <w:bCs/>
          <w:sz w:val="20"/>
          <w:szCs w:val="20"/>
        </w:rPr>
        <w:t xml:space="preserve"> 2008). In their regression analysis, both TT and TC were independently predictive of PCOS status</w:t>
      </w:r>
      <w:r w:rsidR="005E6449">
        <w:rPr>
          <w:rFonts w:ascii="Times New Roman" w:hAnsi="Times New Roman" w:cs="Times New Roman"/>
          <w:bCs/>
          <w:sz w:val="20"/>
          <w:szCs w:val="20"/>
        </w:rPr>
        <w:t>,</w:t>
      </w:r>
      <w:r w:rsidRPr="0080521D">
        <w:rPr>
          <w:rFonts w:ascii="Times New Roman" w:hAnsi="Times New Roman" w:cs="Times New Roman"/>
          <w:bCs/>
          <w:sz w:val="20"/>
          <w:szCs w:val="20"/>
        </w:rPr>
        <w:t xml:space="preserve"> but TC did not correlate with TT. The significant positive relationship between MSNA </w:t>
      </w:r>
      <w:r w:rsidR="005E6449">
        <w:rPr>
          <w:rFonts w:ascii="Times New Roman" w:hAnsi="Times New Roman" w:cs="Times New Roman"/>
          <w:bCs/>
          <w:sz w:val="20"/>
          <w:szCs w:val="20"/>
        </w:rPr>
        <w:t>and</w:t>
      </w:r>
      <w:r w:rsidRPr="0080521D">
        <w:rPr>
          <w:rFonts w:ascii="Times New Roman" w:hAnsi="Times New Roman" w:cs="Times New Roman"/>
          <w:bCs/>
          <w:sz w:val="20"/>
          <w:szCs w:val="20"/>
        </w:rPr>
        <w:t xml:space="preserve"> TT also </w:t>
      </w:r>
      <w:r w:rsidR="005548B8" w:rsidRPr="0080521D">
        <w:rPr>
          <w:rFonts w:ascii="Times New Roman" w:hAnsi="Times New Roman" w:cs="Times New Roman"/>
          <w:bCs/>
          <w:sz w:val="20"/>
          <w:szCs w:val="20"/>
        </w:rPr>
        <w:t>manifested</w:t>
      </w:r>
      <w:r w:rsidRPr="0080521D">
        <w:rPr>
          <w:rFonts w:ascii="Times New Roman" w:hAnsi="Times New Roman" w:cs="Times New Roman"/>
          <w:bCs/>
          <w:sz w:val="20"/>
          <w:szCs w:val="20"/>
        </w:rPr>
        <w:t xml:space="preserve"> in Shorakae et al. (2018).</w:t>
      </w:r>
    </w:p>
    <w:p w14:paraId="44B7885B" w14:textId="3C5AE1A9" w:rsidR="00462E71" w:rsidRPr="00231AA2" w:rsidRDefault="005E6449" w:rsidP="00231AA2">
      <w:pPr>
        <w:autoSpaceDE w:val="0"/>
        <w:autoSpaceDN w:val="0"/>
        <w:adjustRightInd w:val="0"/>
        <w:spacing w:before="100" w:after="100" w:line="240" w:lineRule="auto"/>
        <w:ind w:firstLine="360"/>
        <w:jc w:val="both"/>
        <w:rPr>
          <w:rFonts w:ascii="Times New Roman" w:hAnsi="Times New Roman" w:cs="Times New Roman"/>
          <w:bCs/>
          <w:i/>
          <w:iCs/>
          <w:sz w:val="20"/>
          <w:szCs w:val="20"/>
          <w:u w:val="single"/>
        </w:rPr>
      </w:pPr>
      <w:r>
        <w:rPr>
          <w:rFonts w:ascii="Times New Roman" w:hAnsi="Times New Roman" w:cs="Times New Roman"/>
          <w:bCs/>
          <w:i/>
          <w:iCs/>
          <w:sz w:val="20"/>
          <w:szCs w:val="20"/>
          <w:u w:val="single"/>
        </w:rPr>
        <w:t>SDNN</w:t>
      </w:r>
    </w:p>
    <w:p w14:paraId="4FF6F348" w14:textId="5270B792" w:rsidR="00462E71" w:rsidRPr="0080521D" w:rsidRDefault="005E6449" w:rsidP="00231AA2">
      <w:pPr>
        <w:autoSpaceDE w:val="0"/>
        <w:autoSpaceDN w:val="0"/>
        <w:adjustRightInd w:val="0"/>
        <w:spacing w:after="0" w:line="240" w:lineRule="auto"/>
        <w:ind w:firstLine="720"/>
        <w:jc w:val="both"/>
        <w:rPr>
          <w:rFonts w:ascii="Times New Roman" w:hAnsi="Times New Roman" w:cs="Times New Roman"/>
          <w:bCs/>
          <w:sz w:val="20"/>
          <w:szCs w:val="20"/>
        </w:rPr>
      </w:pPr>
      <w:r>
        <w:rPr>
          <w:rFonts w:ascii="Times New Roman" w:hAnsi="Times New Roman" w:cs="Times New Roman"/>
          <w:bCs/>
          <w:sz w:val="20"/>
          <w:szCs w:val="20"/>
        </w:rPr>
        <w:t>SDNN</w:t>
      </w:r>
      <w:r w:rsidR="00462E71" w:rsidRPr="0080521D">
        <w:rPr>
          <w:rFonts w:ascii="Times New Roman" w:hAnsi="Times New Roman" w:cs="Times New Roman"/>
          <w:bCs/>
          <w:sz w:val="20"/>
          <w:szCs w:val="20"/>
        </w:rPr>
        <w:t>, a time domain measure of HRV, significantly negatively correlates w</w:t>
      </w:r>
      <w:r w:rsidR="00462E71" w:rsidRPr="0080521D">
        <w:rPr>
          <w:rFonts w:ascii="Times New Roman" w:hAnsi="Times New Roman" w:cs="Times New Roman"/>
          <w:sz w:val="20"/>
          <w:szCs w:val="20"/>
        </w:rPr>
        <w:t>ith BMI (</w:t>
      </w:r>
      <w:r w:rsidR="00462E71" w:rsidRPr="0080521D">
        <w:rPr>
          <w:rFonts w:ascii="Times New Roman" w:hAnsi="Times New Roman" w:cs="Times New Roman"/>
          <w:i/>
          <w:iCs/>
          <w:sz w:val="20"/>
          <w:szCs w:val="20"/>
        </w:rPr>
        <w:t xml:space="preserve">r </w:t>
      </w:r>
      <w:r w:rsidR="00462E71" w:rsidRPr="0080521D">
        <w:rPr>
          <w:rFonts w:ascii="Times New Roman" w:hAnsi="Times New Roman" w:cs="Times New Roman"/>
          <w:sz w:val="20"/>
          <w:szCs w:val="20"/>
        </w:rPr>
        <w:t xml:space="preserve">= -0.32, </w:t>
      </w:r>
      <w:r w:rsidR="00462E71" w:rsidRPr="0080521D">
        <w:rPr>
          <w:rFonts w:ascii="Times New Roman" w:hAnsi="Times New Roman" w:cs="Times New Roman"/>
          <w:i/>
          <w:iCs/>
          <w:sz w:val="20"/>
          <w:szCs w:val="20"/>
        </w:rPr>
        <w:t xml:space="preserve">p </w:t>
      </w:r>
      <w:r w:rsidR="00462E71" w:rsidRPr="0080521D">
        <w:rPr>
          <w:rFonts w:ascii="Times New Roman" w:hAnsi="Times New Roman" w:cs="Times New Roman"/>
          <w:sz w:val="20"/>
          <w:szCs w:val="20"/>
        </w:rPr>
        <w:t>&lt;0.05), fasting insulin (</w:t>
      </w:r>
      <w:r w:rsidR="00462E71" w:rsidRPr="0080521D">
        <w:rPr>
          <w:rFonts w:ascii="Times New Roman" w:hAnsi="Times New Roman" w:cs="Times New Roman"/>
          <w:i/>
          <w:iCs/>
          <w:sz w:val="20"/>
          <w:szCs w:val="20"/>
        </w:rPr>
        <w:t xml:space="preserve">r </w:t>
      </w:r>
      <w:r w:rsidR="00462E71" w:rsidRPr="0080521D">
        <w:rPr>
          <w:rFonts w:ascii="Times New Roman" w:hAnsi="Times New Roman" w:cs="Times New Roman"/>
          <w:sz w:val="20"/>
          <w:szCs w:val="20"/>
        </w:rPr>
        <w:t xml:space="preserve">= -0.31, </w:t>
      </w:r>
      <w:r w:rsidR="00462E71" w:rsidRPr="0080521D">
        <w:rPr>
          <w:rFonts w:ascii="Times New Roman" w:hAnsi="Times New Roman" w:cs="Times New Roman"/>
          <w:i/>
          <w:iCs/>
          <w:sz w:val="20"/>
          <w:szCs w:val="20"/>
        </w:rPr>
        <w:t xml:space="preserve">p </w:t>
      </w:r>
      <w:r w:rsidR="00462E71" w:rsidRPr="0080521D">
        <w:rPr>
          <w:rFonts w:ascii="Times New Roman" w:hAnsi="Times New Roman" w:cs="Times New Roman"/>
          <w:sz w:val="20"/>
          <w:szCs w:val="20"/>
        </w:rPr>
        <w:t>&lt;0.05), total triglycerides (TG) (</w:t>
      </w:r>
      <w:r w:rsidR="00462E71" w:rsidRPr="0080521D">
        <w:rPr>
          <w:rFonts w:ascii="Times New Roman" w:hAnsi="Times New Roman" w:cs="Times New Roman"/>
          <w:i/>
          <w:iCs/>
          <w:sz w:val="20"/>
          <w:szCs w:val="20"/>
        </w:rPr>
        <w:t xml:space="preserve">r </w:t>
      </w:r>
      <w:r w:rsidR="00462E71" w:rsidRPr="0080521D">
        <w:rPr>
          <w:rFonts w:ascii="Times New Roman" w:hAnsi="Times New Roman" w:cs="Times New Roman"/>
          <w:sz w:val="20"/>
          <w:szCs w:val="20"/>
        </w:rPr>
        <w:t xml:space="preserve">= -0.48, </w:t>
      </w:r>
      <w:r w:rsidR="00462E71" w:rsidRPr="0080521D">
        <w:rPr>
          <w:rFonts w:ascii="Times New Roman" w:hAnsi="Times New Roman" w:cs="Times New Roman"/>
          <w:i/>
          <w:iCs/>
          <w:sz w:val="20"/>
          <w:szCs w:val="20"/>
        </w:rPr>
        <w:t xml:space="preserve">p </w:t>
      </w:r>
      <w:r w:rsidR="00462E71" w:rsidRPr="0080521D">
        <w:rPr>
          <w:rFonts w:ascii="Times New Roman" w:hAnsi="Times New Roman" w:cs="Times New Roman"/>
          <w:sz w:val="20"/>
          <w:szCs w:val="20"/>
        </w:rPr>
        <w:t xml:space="preserve">&lt;0.05), and </w:t>
      </w:r>
      <w:r w:rsidR="00A97710">
        <w:rPr>
          <w:rFonts w:ascii="Times New Roman" w:hAnsi="Times New Roman" w:cs="Times New Roman"/>
          <w:sz w:val="20"/>
          <w:szCs w:val="20"/>
        </w:rPr>
        <w:t xml:space="preserve">TC </w:t>
      </w:r>
      <w:r w:rsidR="00462E71" w:rsidRPr="0080521D">
        <w:rPr>
          <w:rFonts w:ascii="Times New Roman" w:hAnsi="Times New Roman" w:cs="Times New Roman"/>
          <w:sz w:val="20"/>
          <w:szCs w:val="20"/>
        </w:rPr>
        <w:t>(</w:t>
      </w:r>
      <w:r w:rsidR="00462E71" w:rsidRPr="0080521D">
        <w:rPr>
          <w:rFonts w:ascii="Times New Roman" w:hAnsi="Times New Roman" w:cs="Times New Roman"/>
          <w:i/>
          <w:iCs/>
          <w:sz w:val="20"/>
          <w:szCs w:val="20"/>
        </w:rPr>
        <w:t xml:space="preserve">r </w:t>
      </w:r>
      <w:r w:rsidR="00462E71" w:rsidRPr="0080521D">
        <w:rPr>
          <w:rFonts w:ascii="Times New Roman" w:hAnsi="Times New Roman" w:cs="Times New Roman"/>
          <w:sz w:val="20"/>
          <w:szCs w:val="20"/>
        </w:rPr>
        <w:t xml:space="preserve">= -0.35, </w:t>
      </w:r>
      <w:r w:rsidR="00462E71" w:rsidRPr="0080521D">
        <w:rPr>
          <w:rFonts w:ascii="Times New Roman" w:hAnsi="Times New Roman" w:cs="Times New Roman"/>
          <w:i/>
          <w:iCs/>
          <w:sz w:val="20"/>
          <w:szCs w:val="20"/>
        </w:rPr>
        <w:t xml:space="preserve">p </w:t>
      </w:r>
      <w:r w:rsidR="00462E71" w:rsidRPr="0080521D">
        <w:rPr>
          <w:rFonts w:ascii="Times New Roman" w:hAnsi="Times New Roman" w:cs="Times New Roman"/>
          <w:sz w:val="20"/>
          <w:szCs w:val="20"/>
        </w:rPr>
        <w:t xml:space="preserve">&lt;0.05) (Ferezini de Sa et </w:t>
      </w:r>
      <w:r w:rsidR="00E748A7">
        <w:rPr>
          <w:rFonts w:ascii="Times New Roman" w:hAnsi="Times New Roman" w:cs="Times New Roman"/>
          <w:sz w:val="20"/>
          <w:szCs w:val="20"/>
        </w:rPr>
        <w:t>al.</w:t>
      </w:r>
      <w:r w:rsidR="00462E71" w:rsidRPr="0080521D">
        <w:rPr>
          <w:rFonts w:ascii="Times New Roman" w:hAnsi="Times New Roman" w:cs="Times New Roman"/>
          <w:sz w:val="20"/>
          <w:szCs w:val="20"/>
        </w:rPr>
        <w:t xml:space="preserve"> 2011). Hashim et al. (2015) reported a similar finding with WHR (</w:t>
      </w:r>
      <w:r w:rsidR="00462E71" w:rsidRPr="0080521D">
        <w:rPr>
          <w:rFonts w:ascii="Times New Roman" w:hAnsi="Times New Roman" w:cs="Times New Roman"/>
          <w:i/>
          <w:iCs/>
          <w:sz w:val="20"/>
          <w:szCs w:val="20"/>
        </w:rPr>
        <w:t xml:space="preserve">r </w:t>
      </w:r>
      <w:r w:rsidR="00462E71" w:rsidRPr="0080521D">
        <w:rPr>
          <w:rFonts w:ascii="Times New Roman" w:hAnsi="Times New Roman" w:cs="Times New Roman"/>
          <w:sz w:val="20"/>
          <w:szCs w:val="20"/>
        </w:rPr>
        <w:t xml:space="preserve">= -0.371, </w:t>
      </w:r>
      <w:r w:rsidR="00462E71" w:rsidRPr="0080521D">
        <w:rPr>
          <w:rFonts w:ascii="Times New Roman" w:hAnsi="Times New Roman" w:cs="Times New Roman"/>
          <w:i/>
          <w:iCs/>
          <w:sz w:val="20"/>
          <w:szCs w:val="20"/>
        </w:rPr>
        <w:t xml:space="preserve">p </w:t>
      </w:r>
      <w:r w:rsidR="00462E71" w:rsidRPr="0080521D">
        <w:rPr>
          <w:rFonts w:ascii="Times New Roman" w:hAnsi="Times New Roman" w:cs="Times New Roman"/>
          <w:sz w:val="20"/>
          <w:szCs w:val="20"/>
        </w:rPr>
        <w:t>= 0.047).</w:t>
      </w:r>
    </w:p>
    <w:p w14:paraId="4FE00465" w14:textId="77777777" w:rsidR="00462E71" w:rsidRPr="0010670E" w:rsidRDefault="00462E71" w:rsidP="00231AA2">
      <w:pPr>
        <w:autoSpaceDE w:val="0"/>
        <w:autoSpaceDN w:val="0"/>
        <w:adjustRightInd w:val="0"/>
        <w:spacing w:before="100" w:after="100" w:line="240" w:lineRule="auto"/>
        <w:ind w:firstLine="360"/>
        <w:jc w:val="both"/>
        <w:rPr>
          <w:rFonts w:ascii="Times New Roman" w:hAnsi="Times New Roman" w:cs="Times New Roman"/>
          <w:bCs/>
          <w:i/>
          <w:iCs/>
          <w:sz w:val="20"/>
          <w:szCs w:val="20"/>
          <w:u w:val="single"/>
        </w:rPr>
      </w:pPr>
      <w:r w:rsidRPr="0010670E">
        <w:rPr>
          <w:rFonts w:ascii="Times New Roman" w:hAnsi="Times New Roman" w:cs="Times New Roman"/>
          <w:bCs/>
          <w:i/>
          <w:iCs/>
          <w:sz w:val="20"/>
          <w:szCs w:val="20"/>
          <w:u w:val="single"/>
        </w:rPr>
        <w:t>LF power</w:t>
      </w:r>
    </w:p>
    <w:p w14:paraId="60157E77" w14:textId="7D2D50B6" w:rsidR="00462E71" w:rsidRPr="0080521D" w:rsidRDefault="00462E71" w:rsidP="00231AA2">
      <w:pPr>
        <w:autoSpaceDE w:val="0"/>
        <w:autoSpaceDN w:val="0"/>
        <w:adjustRightInd w:val="0"/>
        <w:spacing w:after="0" w:line="240" w:lineRule="auto"/>
        <w:ind w:firstLine="720"/>
        <w:jc w:val="both"/>
        <w:rPr>
          <w:rFonts w:ascii="Times New Roman" w:hAnsi="Times New Roman" w:cs="Times New Roman"/>
          <w:bCs/>
          <w:sz w:val="20"/>
          <w:szCs w:val="20"/>
        </w:rPr>
      </w:pPr>
      <w:r w:rsidRPr="0080521D">
        <w:rPr>
          <w:rFonts w:ascii="Times New Roman" w:hAnsi="Times New Roman" w:cs="Times New Roman"/>
          <w:bCs/>
          <w:sz w:val="20"/>
          <w:szCs w:val="20"/>
        </w:rPr>
        <w:t>LF power, a frequency domain measure of HR</w:t>
      </w:r>
      <w:r w:rsidR="005E6449">
        <w:rPr>
          <w:rFonts w:ascii="Times New Roman" w:hAnsi="Times New Roman" w:cs="Times New Roman"/>
          <w:bCs/>
          <w:sz w:val="20"/>
          <w:szCs w:val="20"/>
        </w:rPr>
        <w:t>V</w:t>
      </w:r>
      <w:r w:rsidRPr="0080521D">
        <w:rPr>
          <w:rFonts w:ascii="Times New Roman" w:hAnsi="Times New Roman" w:cs="Times New Roman"/>
          <w:bCs/>
          <w:sz w:val="20"/>
          <w:szCs w:val="20"/>
        </w:rPr>
        <w:t>, significantly negatively correlates w</w:t>
      </w:r>
      <w:r w:rsidRPr="0080521D">
        <w:rPr>
          <w:rFonts w:ascii="Times New Roman" w:hAnsi="Times New Roman" w:cs="Times New Roman"/>
          <w:sz w:val="20"/>
          <w:szCs w:val="20"/>
        </w:rPr>
        <w:t>ith BMI (</w:t>
      </w:r>
      <w:r w:rsidRPr="0080521D">
        <w:rPr>
          <w:rFonts w:ascii="Times New Roman" w:hAnsi="Times New Roman" w:cs="Times New Roman"/>
          <w:i/>
          <w:iCs/>
          <w:sz w:val="20"/>
          <w:szCs w:val="20"/>
        </w:rPr>
        <w:t xml:space="preserve">r </w:t>
      </w:r>
      <w:r w:rsidRPr="0080521D">
        <w:rPr>
          <w:rFonts w:ascii="Times New Roman" w:hAnsi="Times New Roman" w:cs="Times New Roman"/>
          <w:sz w:val="20"/>
          <w:szCs w:val="20"/>
        </w:rPr>
        <w:t xml:space="preserve">= -0.29, </w:t>
      </w:r>
      <w:r w:rsidRPr="0080521D">
        <w:rPr>
          <w:rFonts w:ascii="Times New Roman" w:hAnsi="Times New Roman" w:cs="Times New Roman"/>
          <w:i/>
          <w:iCs/>
          <w:sz w:val="20"/>
          <w:szCs w:val="20"/>
        </w:rPr>
        <w:t xml:space="preserve">p </w:t>
      </w:r>
      <w:r w:rsidRPr="0080521D">
        <w:rPr>
          <w:rFonts w:ascii="Times New Roman" w:hAnsi="Times New Roman" w:cs="Times New Roman"/>
          <w:sz w:val="20"/>
          <w:szCs w:val="20"/>
        </w:rPr>
        <w:t xml:space="preserve">&lt;0.05), </w:t>
      </w:r>
      <w:r w:rsidR="00A97710">
        <w:rPr>
          <w:rFonts w:ascii="Times New Roman" w:hAnsi="Times New Roman" w:cs="Times New Roman"/>
          <w:sz w:val="20"/>
          <w:szCs w:val="20"/>
        </w:rPr>
        <w:t xml:space="preserve">TG </w:t>
      </w:r>
      <w:r w:rsidRPr="0080521D">
        <w:rPr>
          <w:rFonts w:ascii="Times New Roman" w:hAnsi="Times New Roman" w:cs="Times New Roman"/>
          <w:sz w:val="20"/>
          <w:szCs w:val="20"/>
        </w:rPr>
        <w:t>(</w:t>
      </w:r>
      <w:r w:rsidRPr="0080521D">
        <w:rPr>
          <w:rFonts w:ascii="Times New Roman" w:hAnsi="Times New Roman" w:cs="Times New Roman"/>
          <w:i/>
          <w:iCs/>
          <w:sz w:val="20"/>
          <w:szCs w:val="20"/>
        </w:rPr>
        <w:t xml:space="preserve">r </w:t>
      </w:r>
      <w:r w:rsidRPr="0080521D">
        <w:rPr>
          <w:rFonts w:ascii="Times New Roman" w:hAnsi="Times New Roman" w:cs="Times New Roman"/>
          <w:sz w:val="20"/>
          <w:szCs w:val="20"/>
        </w:rPr>
        <w:t xml:space="preserve">= -0.41, </w:t>
      </w:r>
      <w:r w:rsidRPr="0080521D">
        <w:rPr>
          <w:rFonts w:ascii="Times New Roman" w:hAnsi="Times New Roman" w:cs="Times New Roman"/>
          <w:i/>
          <w:iCs/>
          <w:sz w:val="20"/>
          <w:szCs w:val="20"/>
        </w:rPr>
        <w:t xml:space="preserve">p </w:t>
      </w:r>
      <w:r w:rsidRPr="0080521D">
        <w:rPr>
          <w:rFonts w:ascii="Times New Roman" w:hAnsi="Times New Roman" w:cs="Times New Roman"/>
          <w:sz w:val="20"/>
          <w:szCs w:val="20"/>
        </w:rPr>
        <w:t xml:space="preserve">&lt;0.05), and </w:t>
      </w:r>
      <w:r w:rsidR="00A97710">
        <w:rPr>
          <w:rFonts w:ascii="Times New Roman" w:hAnsi="Times New Roman" w:cs="Times New Roman"/>
          <w:sz w:val="20"/>
          <w:szCs w:val="20"/>
        </w:rPr>
        <w:t xml:space="preserve">TC </w:t>
      </w:r>
      <w:r w:rsidRPr="0080521D">
        <w:rPr>
          <w:rFonts w:ascii="Times New Roman" w:hAnsi="Times New Roman" w:cs="Times New Roman"/>
          <w:sz w:val="20"/>
          <w:szCs w:val="20"/>
        </w:rPr>
        <w:t>(</w:t>
      </w:r>
      <w:r w:rsidRPr="0080521D">
        <w:rPr>
          <w:rFonts w:ascii="Times New Roman" w:hAnsi="Times New Roman" w:cs="Times New Roman"/>
          <w:i/>
          <w:iCs/>
          <w:sz w:val="20"/>
          <w:szCs w:val="20"/>
        </w:rPr>
        <w:t xml:space="preserve">r </w:t>
      </w:r>
      <w:r w:rsidRPr="0080521D">
        <w:rPr>
          <w:rFonts w:ascii="Times New Roman" w:hAnsi="Times New Roman" w:cs="Times New Roman"/>
          <w:sz w:val="20"/>
          <w:szCs w:val="20"/>
        </w:rPr>
        <w:t xml:space="preserve">= -0.33, </w:t>
      </w:r>
      <w:r w:rsidRPr="0080521D">
        <w:rPr>
          <w:rFonts w:ascii="Times New Roman" w:hAnsi="Times New Roman" w:cs="Times New Roman"/>
          <w:i/>
          <w:iCs/>
          <w:sz w:val="20"/>
          <w:szCs w:val="20"/>
        </w:rPr>
        <w:t xml:space="preserve">p </w:t>
      </w:r>
      <w:r w:rsidRPr="0080521D">
        <w:rPr>
          <w:rFonts w:ascii="Times New Roman" w:hAnsi="Times New Roman" w:cs="Times New Roman"/>
          <w:sz w:val="20"/>
          <w:szCs w:val="20"/>
        </w:rPr>
        <w:t xml:space="preserve">&lt;0.05) (Ferezini de Sa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2011)</w:t>
      </w:r>
    </w:p>
    <w:p w14:paraId="33A18B06" w14:textId="77777777" w:rsidR="00462E71" w:rsidRPr="0010670E" w:rsidRDefault="00462E71" w:rsidP="00231AA2">
      <w:pPr>
        <w:autoSpaceDE w:val="0"/>
        <w:autoSpaceDN w:val="0"/>
        <w:adjustRightInd w:val="0"/>
        <w:spacing w:before="100" w:after="100" w:line="240" w:lineRule="auto"/>
        <w:ind w:firstLine="360"/>
        <w:jc w:val="both"/>
        <w:rPr>
          <w:rFonts w:ascii="Times New Roman" w:hAnsi="Times New Roman" w:cs="Times New Roman"/>
          <w:bCs/>
          <w:i/>
          <w:iCs/>
          <w:sz w:val="20"/>
          <w:szCs w:val="20"/>
          <w:u w:val="single"/>
        </w:rPr>
      </w:pPr>
      <w:r w:rsidRPr="0010670E">
        <w:rPr>
          <w:rFonts w:ascii="Times New Roman" w:hAnsi="Times New Roman" w:cs="Times New Roman"/>
          <w:bCs/>
          <w:i/>
          <w:iCs/>
          <w:sz w:val="20"/>
          <w:szCs w:val="20"/>
          <w:u w:val="single"/>
        </w:rPr>
        <w:t>HF power</w:t>
      </w:r>
    </w:p>
    <w:p w14:paraId="575F3F51" w14:textId="03321171" w:rsidR="00462E71" w:rsidRPr="0080521D" w:rsidRDefault="00462E71" w:rsidP="00231AA2">
      <w:pPr>
        <w:autoSpaceDE w:val="0"/>
        <w:autoSpaceDN w:val="0"/>
        <w:adjustRightInd w:val="0"/>
        <w:spacing w:after="0" w:line="240" w:lineRule="auto"/>
        <w:ind w:firstLine="720"/>
        <w:jc w:val="both"/>
        <w:rPr>
          <w:rFonts w:ascii="Times New Roman" w:hAnsi="Times New Roman" w:cs="Times New Roman"/>
          <w:bCs/>
          <w:sz w:val="20"/>
          <w:szCs w:val="20"/>
        </w:rPr>
      </w:pPr>
      <w:r w:rsidRPr="0080521D">
        <w:rPr>
          <w:rFonts w:ascii="Times New Roman" w:hAnsi="Times New Roman" w:cs="Times New Roman"/>
          <w:bCs/>
          <w:sz w:val="20"/>
          <w:szCs w:val="20"/>
        </w:rPr>
        <w:t>HF power, a frequency domain measure of HR</w:t>
      </w:r>
      <w:r w:rsidR="005E6449">
        <w:rPr>
          <w:rFonts w:ascii="Times New Roman" w:hAnsi="Times New Roman" w:cs="Times New Roman"/>
          <w:bCs/>
          <w:sz w:val="20"/>
          <w:szCs w:val="20"/>
        </w:rPr>
        <w:t>V</w:t>
      </w:r>
      <w:r w:rsidRPr="0080521D">
        <w:rPr>
          <w:rFonts w:ascii="Times New Roman" w:hAnsi="Times New Roman" w:cs="Times New Roman"/>
          <w:bCs/>
          <w:sz w:val="20"/>
          <w:szCs w:val="20"/>
        </w:rPr>
        <w:t>, significantly negatively correlates w</w:t>
      </w:r>
      <w:r w:rsidRPr="0080521D">
        <w:rPr>
          <w:rFonts w:ascii="Times New Roman" w:hAnsi="Times New Roman" w:cs="Times New Roman"/>
          <w:sz w:val="20"/>
          <w:szCs w:val="20"/>
        </w:rPr>
        <w:t>ith BMI (</w:t>
      </w:r>
      <w:r w:rsidRPr="0080521D">
        <w:rPr>
          <w:rFonts w:ascii="Times New Roman" w:hAnsi="Times New Roman" w:cs="Times New Roman"/>
          <w:i/>
          <w:iCs/>
          <w:sz w:val="20"/>
          <w:szCs w:val="20"/>
        </w:rPr>
        <w:t xml:space="preserve">r </w:t>
      </w:r>
      <w:r w:rsidRPr="0080521D">
        <w:rPr>
          <w:rFonts w:ascii="Times New Roman" w:hAnsi="Times New Roman" w:cs="Times New Roman"/>
          <w:sz w:val="20"/>
          <w:szCs w:val="20"/>
        </w:rPr>
        <w:t xml:space="preserve">= -0.34, </w:t>
      </w:r>
      <w:r w:rsidRPr="0080521D">
        <w:rPr>
          <w:rFonts w:ascii="Times New Roman" w:hAnsi="Times New Roman" w:cs="Times New Roman"/>
          <w:i/>
          <w:iCs/>
          <w:sz w:val="20"/>
          <w:szCs w:val="20"/>
        </w:rPr>
        <w:t xml:space="preserve">p </w:t>
      </w:r>
      <w:r w:rsidRPr="0080521D">
        <w:rPr>
          <w:rFonts w:ascii="Times New Roman" w:hAnsi="Times New Roman" w:cs="Times New Roman"/>
          <w:sz w:val="20"/>
          <w:szCs w:val="20"/>
        </w:rPr>
        <w:t xml:space="preserve">&lt;0.05), </w:t>
      </w:r>
      <w:r w:rsidR="00A97710">
        <w:rPr>
          <w:rFonts w:ascii="Times New Roman" w:hAnsi="Times New Roman" w:cs="Times New Roman"/>
          <w:sz w:val="20"/>
          <w:szCs w:val="20"/>
        </w:rPr>
        <w:t xml:space="preserve">TG </w:t>
      </w:r>
      <w:r w:rsidRPr="0080521D">
        <w:rPr>
          <w:rFonts w:ascii="Times New Roman" w:hAnsi="Times New Roman" w:cs="Times New Roman"/>
          <w:sz w:val="20"/>
          <w:szCs w:val="20"/>
        </w:rPr>
        <w:t>(</w:t>
      </w:r>
      <w:r w:rsidRPr="0080521D">
        <w:rPr>
          <w:rFonts w:ascii="Times New Roman" w:hAnsi="Times New Roman" w:cs="Times New Roman"/>
          <w:i/>
          <w:iCs/>
          <w:sz w:val="20"/>
          <w:szCs w:val="20"/>
        </w:rPr>
        <w:t xml:space="preserve">r </w:t>
      </w:r>
      <w:r w:rsidRPr="0080521D">
        <w:rPr>
          <w:rFonts w:ascii="Times New Roman" w:hAnsi="Times New Roman" w:cs="Times New Roman"/>
          <w:sz w:val="20"/>
          <w:szCs w:val="20"/>
        </w:rPr>
        <w:t xml:space="preserve">= -0.40, </w:t>
      </w:r>
      <w:r w:rsidRPr="0080521D">
        <w:rPr>
          <w:rFonts w:ascii="Times New Roman" w:hAnsi="Times New Roman" w:cs="Times New Roman"/>
          <w:i/>
          <w:iCs/>
          <w:sz w:val="20"/>
          <w:szCs w:val="20"/>
        </w:rPr>
        <w:t xml:space="preserve">p </w:t>
      </w:r>
      <w:r w:rsidRPr="0080521D">
        <w:rPr>
          <w:rFonts w:ascii="Times New Roman" w:hAnsi="Times New Roman" w:cs="Times New Roman"/>
          <w:sz w:val="20"/>
          <w:szCs w:val="20"/>
        </w:rPr>
        <w:t xml:space="preserve">&lt;0.05), and </w:t>
      </w:r>
      <w:r w:rsidR="00A97710">
        <w:rPr>
          <w:rFonts w:ascii="Times New Roman" w:hAnsi="Times New Roman" w:cs="Times New Roman"/>
          <w:sz w:val="20"/>
          <w:szCs w:val="20"/>
        </w:rPr>
        <w:t xml:space="preserve">TC </w:t>
      </w:r>
      <w:r w:rsidRPr="0080521D">
        <w:rPr>
          <w:rFonts w:ascii="Times New Roman" w:hAnsi="Times New Roman" w:cs="Times New Roman"/>
          <w:sz w:val="20"/>
          <w:szCs w:val="20"/>
        </w:rPr>
        <w:t>(</w:t>
      </w:r>
      <w:r w:rsidRPr="0080521D">
        <w:rPr>
          <w:rFonts w:ascii="Times New Roman" w:hAnsi="Times New Roman" w:cs="Times New Roman"/>
          <w:i/>
          <w:iCs/>
          <w:sz w:val="20"/>
          <w:szCs w:val="20"/>
        </w:rPr>
        <w:t xml:space="preserve">r </w:t>
      </w:r>
      <w:r w:rsidRPr="0080521D">
        <w:rPr>
          <w:rFonts w:ascii="Times New Roman" w:hAnsi="Times New Roman" w:cs="Times New Roman"/>
          <w:sz w:val="20"/>
          <w:szCs w:val="20"/>
        </w:rPr>
        <w:t xml:space="preserve">= -0.29, </w:t>
      </w:r>
      <w:r w:rsidRPr="0080521D">
        <w:rPr>
          <w:rFonts w:ascii="Times New Roman" w:hAnsi="Times New Roman" w:cs="Times New Roman"/>
          <w:i/>
          <w:iCs/>
          <w:sz w:val="20"/>
          <w:szCs w:val="20"/>
        </w:rPr>
        <w:t xml:space="preserve">p </w:t>
      </w:r>
      <w:r w:rsidRPr="0080521D">
        <w:rPr>
          <w:rFonts w:ascii="Times New Roman" w:hAnsi="Times New Roman" w:cs="Times New Roman"/>
          <w:sz w:val="20"/>
          <w:szCs w:val="20"/>
        </w:rPr>
        <w:t xml:space="preserve">&lt;0.05) (Ferezini de Sa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2011)</w:t>
      </w:r>
    </w:p>
    <w:p w14:paraId="7C0CF3F8" w14:textId="77777777" w:rsidR="00462E71" w:rsidRPr="0010670E" w:rsidRDefault="00462E71" w:rsidP="00231AA2">
      <w:pPr>
        <w:autoSpaceDE w:val="0"/>
        <w:autoSpaceDN w:val="0"/>
        <w:adjustRightInd w:val="0"/>
        <w:spacing w:before="100" w:after="100" w:line="240" w:lineRule="auto"/>
        <w:ind w:firstLine="360"/>
        <w:jc w:val="both"/>
        <w:rPr>
          <w:rFonts w:ascii="Times New Roman" w:hAnsi="Times New Roman" w:cs="Times New Roman"/>
          <w:bCs/>
          <w:i/>
          <w:iCs/>
          <w:sz w:val="20"/>
          <w:szCs w:val="20"/>
          <w:u w:val="single"/>
        </w:rPr>
      </w:pPr>
      <w:r w:rsidRPr="0010670E">
        <w:rPr>
          <w:rFonts w:ascii="Times New Roman" w:hAnsi="Times New Roman" w:cs="Times New Roman"/>
          <w:bCs/>
          <w:i/>
          <w:iCs/>
          <w:sz w:val="20"/>
          <w:szCs w:val="20"/>
          <w:u w:val="single"/>
        </w:rPr>
        <w:t>LF/HF power ratio</w:t>
      </w:r>
    </w:p>
    <w:p w14:paraId="17F8605D" w14:textId="1F781023" w:rsidR="00462E71" w:rsidRPr="0080521D" w:rsidRDefault="00462E71" w:rsidP="00231AA2">
      <w:pPr>
        <w:autoSpaceDE w:val="0"/>
        <w:autoSpaceDN w:val="0"/>
        <w:adjustRightInd w:val="0"/>
        <w:spacing w:after="0" w:line="240" w:lineRule="auto"/>
        <w:ind w:firstLine="720"/>
        <w:jc w:val="both"/>
        <w:rPr>
          <w:rFonts w:ascii="Times New Roman" w:hAnsi="Times New Roman" w:cs="Times New Roman"/>
          <w:bCs/>
          <w:sz w:val="20"/>
          <w:szCs w:val="20"/>
        </w:rPr>
      </w:pPr>
      <w:r w:rsidRPr="0080521D">
        <w:rPr>
          <w:rFonts w:ascii="Times New Roman" w:hAnsi="Times New Roman" w:cs="Times New Roman"/>
          <w:bCs/>
          <w:sz w:val="20"/>
          <w:szCs w:val="20"/>
        </w:rPr>
        <w:t>LF/HF ratio directly and significantly correlates w</w:t>
      </w:r>
      <w:r w:rsidRPr="0080521D">
        <w:rPr>
          <w:rFonts w:ascii="Times New Roman" w:hAnsi="Times New Roman" w:cs="Times New Roman"/>
          <w:sz w:val="20"/>
          <w:szCs w:val="20"/>
        </w:rPr>
        <w:t xml:space="preserve">ith </w:t>
      </w:r>
      <w:r w:rsidR="00A97710">
        <w:rPr>
          <w:rFonts w:ascii="Times New Roman" w:hAnsi="Times New Roman" w:cs="Times New Roman"/>
          <w:sz w:val="20"/>
          <w:szCs w:val="20"/>
        </w:rPr>
        <w:t xml:space="preserve">TT </w:t>
      </w:r>
      <w:r w:rsidRPr="0080521D">
        <w:rPr>
          <w:rFonts w:ascii="Times New Roman" w:hAnsi="Times New Roman" w:cs="Times New Roman"/>
          <w:sz w:val="20"/>
          <w:szCs w:val="20"/>
        </w:rPr>
        <w:t xml:space="preserve">(Kuppusamy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2015), BMI (Kuppusamy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2015; Saranya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2014), WHR (Saranya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2014), BHR (Kuppusamy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2015; Saranya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2014), fasting </w:t>
      </w:r>
      <w:r w:rsidRPr="0080521D">
        <w:rPr>
          <w:rFonts w:ascii="Times New Roman" w:hAnsi="Times New Roman" w:cs="Times New Roman"/>
          <w:sz w:val="20"/>
          <w:szCs w:val="20"/>
        </w:rPr>
        <w:lastRenderedPageBreak/>
        <w:t xml:space="preserve">blood glucose (FBG) (Saranya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2014), insulin resistance</w:t>
      </w:r>
      <w:r w:rsidR="00A97710">
        <w:rPr>
          <w:rFonts w:ascii="Times New Roman" w:hAnsi="Times New Roman" w:cs="Times New Roman"/>
          <w:sz w:val="20"/>
          <w:szCs w:val="20"/>
        </w:rPr>
        <w:t xml:space="preserve"> (IR)</w:t>
      </w:r>
      <w:r w:rsidRPr="0080521D">
        <w:rPr>
          <w:rFonts w:ascii="Times New Roman" w:hAnsi="Times New Roman" w:cs="Times New Roman"/>
          <w:sz w:val="20"/>
          <w:szCs w:val="20"/>
        </w:rPr>
        <w:t xml:space="preserve"> (Kuppusamy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2015), </w:t>
      </w:r>
      <w:r w:rsidR="00A97710">
        <w:rPr>
          <w:rFonts w:ascii="Times New Roman" w:hAnsi="Times New Roman" w:cs="Times New Roman"/>
          <w:sz w:val="20"/>
          <w:szCs w:val="20"/>
        </w:rPr>
        <w:t xml:space="preserve">TG </w:t>
      </w:r>
      <w:r w:rsidRPr="0080521D">
        <w:rPr>
          <w:rFonts w:ascii="Times New Roman" w:hAnsi="Times New Roman" w:cs="Times New Roman"/>
          <w:sz w:val="20"/>
          <w:szCs w:val="20"/>
        </w:rPr>
        <w:t xml:space="preserve">(Kuppusamy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2015), and </w:t>
      </w:r>
      <w:r w:rsidR="00A97710">
        <w:rPr>
          <w:rFonts w:ascii="Times New Roman" w:hAnsi="Times New Roman" w:cs="Times New Roman"/>
          <w:sz w:val="20"/>
          <w:szCs w:val="20"/>
        </w:rPr>
        <w:t xml:space="preserve">TC </w:t>
      </w:r>
      <w:r w:rsidRPr="0080521D">
        <w:rPr>
          <w:rFonts w:ascii="Times New Roman" w:hAnsi="Times New Roman" w:cs="Times New Roman"/>
          <w:sz w:val="20"/>
          <w:szCs w:val="20"/>
        </w:rPr>
        <w:t xml:space="preserve">(Kuppusamy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2015)</w:t>
      </w:r>
      <w:r w:rsidR="00A97710">
        <w:rPr>
          <w:rFonts w:ascii="Times New Roman" w:hAnsi="Times New Roman" w:cs="Times New Roman"/>
          <w:sz w:val="20"/>
          <w:szCs w:val="20"/>
        </w:rPr>
        <w:t>.</w:t>
      </w:r>
    </w:p>
    <w:p w14:paraId="2E959F96" w14:textId="77777777" w:rsidR="00462E71" w:rsidRPr="0010670E" w:rsidRDefault="00462E71" w:rsidP="00231AA2">
      <w:pPr>
        <w:autoSpaceDE w:val="0"/>
        <w:autoSpaceDN w:val="0"/>
        <w:adjustRightInd w:val="0"/>
        <w:spacing w:before="100" w:after="100" w:line="240" w:lineRule="auto"/>
        <w:ind w:firstLine="360"/>
        <w:jc w:val="both"/>
        <w:rPr>
          <w:rFonts w:ascii="Times New Roman" w:hAnsi="Times New Roman" w:cs="Times New Roman"/>
          <w:bCs/>
          <w:i/>
          <w:iCs/>
          <w:sz w:val="20"/>
          <w:szCs w:val="20"/>
          <w:u w:val="single"/>
          <w:lang w:val="fr-FR"/>
        </w:rPr>
      </w:pPr>
      <w:r w:rsidRPr="0010670E">
        <w:rPr>
          <w:rFonts w:ascii="Times New Roman" w:hAnsi="Times New Roman" w:cs="Times New Roman"/>
          <w:bCs/>
          <w:i/>
          <w:iCs/>
          <w:sz w:val="20"/>
          <w:szCs w:val="20"/>
          <w:u w:val="single"/>
          <w:lang w:val="fr-FR"/>
        </w:rPr>
        <w:t xml:space="preserve">Plasma </w:t>
      </w:r>
      <w:r w:rsidRPr="0010670E">
        <w:rPr>
          <w:rFonts w:ascii="Times New Roman" w:hAnsi="Times New Roman" w:cs="Times New Roman"/>
          <w:bCs/>
          <w:i/>
          <w:iCs/>
          <w:sz w:val="20"/>
          <w:szCs w:val="20"/>
          <w:u w:val="single"/>
        </w:rPr>
        <w:t>epinephrine</w:t>
      </w:r>
    </w:p>
    <w:p w14:paraId="7B1EFA5C" w14:textId="027A7F08" w:rsidR="00223828" w:rsidRPr="0080521D" w:rsidRDefault="00223828" w:rsidP="00231AA2">
      <w:pPr>
        <w:autoSpaceDE w:val="0"/>
        <w:autoSpaceDN w:val="0"/>
        <w:adjustRightInd w:val="0"/>
        <w:spacing w:after="0" w:line="240" w:lineRule="auto"/>
        <w:ind w:firstLine="720"/>
        <w:jc w:val="both"/>
        <w:rPr>
          <w:rFonts w:ascii="Times New Roman" w:hAnsi="Times New Roman" w:cs="Times New Roman"/>
          <w:b/>
          <w:sz w:val="20"/>
          <w:szCs w:val="20"/>
        </w:rPr>
      </w:pPr>
      <w:r w:rsidRPr="0080521D">
        <w:rPr>
          <w:rFonts w:ascii="Times New Roman" w:hAnsi="Times New Roman" w:cs="Times New Roman"/>
          <w:sz w:val="20"/>
          <w:szCs w:val="20"/>
          <w:lang w:val="fr-FR"/>
        </w:rPr>
        <w:t xml:space="preserve">Hashim et al. </w:t>
      </w:r>
      <w:r w:rsidRPr="0080521D">
        <w:rPr>
          <w:rFonts w:ascii="Times New Roman" w:hAnsi="Times New Roman" w:cs="Times New Roman"/>
          <w:sz w:val="20"/>
          <w:szCs w:val="20"/>
        </w:rPr>
        <w:t>(2015) found significant differences in plasma epinephrine levels (pg/ml) between PCOS women and obese controls across two physical positions</w:t>
      </w:r>
      <w:r w:rsidR="005A2EB0">
        <w:rPr>
          <w:rFonts w:ascii="Times New Roman" w:hAnsi="Times New Roman" w:cs="Times New Roman"/>
          <w:sz w:val="20"/>
          <w:szCs w:val="20"/>
        </w:rPr>
        <w:t>;</w:t>
      </w:r>
      <w:r w:rsidRPr="0080521D">
        <w:rPr>
          <w:rFonts w:ascii="Times New Roman" w:hAnsi="Times New Roman" w:cs="Times New Roman"/>
          <w:sz w:val="20"/>
          <w:szCs w:val="20"/>
        </w:rPr>
        <w:t xml:space="preserve"> lying and standing (28.74 ± 17.43 vs</w:t>
      </w:r>
      <w:r w:rsidR="00F361EF" w:rsidRPr="0080521D">
        <w:rPr>
          <w:rFonts w:ascii="Times New Roman" w:hAnsi="Times New Roman" w:cs="Times New Roman"/>
          <w:sz w:val="20"/>
          <w:szCs w:val="20"/>
        </w:rPr>
        <w:t>.</w:t>
      </w:r>
      <w:r w:rsidRPr="0080521D">
        <w:rPr>
          <w:rFonts w:ascii="Times New Roman" w:hAnsi="Times New Roman" w:cs="Times New Roman"/>
          <w:sz w:val="20"/>
          <w:szCs w:val="20"/>
        </w:rPr>
        <w:t xml:space="preserve"> 6.87 ± 2.28, p ˂0.001; 37.33 ± 11.05 vs</w:t>
      </w:r>
      <w:r w:rsidR="00F361EF" w:rsidRPr="0080521D">
        <w:rPr>
          <w:rFonts w:ascii="Times New Roman" w:hAnsi="Times New Roman" w:cs="Times New Roman"/>
          <w:sz w:val="20"/>
          <w:szCs w:val="20"/>
        </w:rPr>
        <w:t>.</w:t>
      </w:r>
      <w:r w:rsidRPr="0080521D">
        <w:rPr>
          <w:rFonts w:ascii="Times New Roman" w:hAnsi="Times New Roman" w:cs="Times New Roman"/>
          <w:sz w:val="20"/>
          <w:szCs w:val="20"/>
        </w:rPr>
        <w:t xml:space="preserve"> 11.07 ± 5.63, p ˂0.001, respectively). </w:t>
      </w:r>
      <w:r w:rsidRPr="0080521D">
        <w:rPr>
          <w:rFonts w:ascii="Times New Roman" w:hAnsi="Times New Roman" w:cs="Times New Roman"/>
          <w:sz w:val="20"/>
          <w:szCs w:val="20"/>
          <w:shd w:val="clear" w:color="auto" w:fill="FFFFFF"/>
        </w:rPr>
        <w:t xml:space="preserve">Plasma norepinephrine levels are known to correlate with sympathetic nerve activity (Dodt et </w:t>
      </w:r>
      <w:r w:rsidR="00E748A7">
        <w:rPr>
          <w:rFonts w:ascii="Times New Roman" w:hAnsi="Times New Roman" w:cs="Times New Roman"/>
          <w:sz w:val="20"/>
          <w:szCs w:val="20"/>
          <w:shd w:val="clear" w:color="auto" w:fill="FFFFFF"/>
        </w:rPr>
        <w:t>al.</w:t>
      </w:r>
      <w:r w:rsidRPr="0080521D">
        <w:rPr>
          <w:rFonts w:ascii="Times New Roman" w:hAnsi="Times New Roman" w:cs="Times New Roman"/>
          <w:sz w:val="20"/>
          <w:szCs w:val="20"/>
          <w:shd w:val="clear" w:color="auto" w:fill="FFFFFF"/>
        </w:rPr>
        <w:t xml:space="preserve"> 1997)</w:t>
      </w:r>
      <w:r w:rsidRPr="0080521D">
        <w:rPr>
          <w:rFonts w:ascii="Times New Roman" w:hAnsi="Times New Roman" w:cs="Times New Roman"/>
          <w:b/>
          <w:sz w:val="20"/>
          <w:szCs w:val="20"/>
        </w:rPr>
        <w:t xml:space="preserve">. </w:t>
      </w:r>
      <w:r w:rsidRPr="0080521D">
        <w:rPr>
          <w:rFonts w:ascii="Times New Roman" w:hAnsi="Times New Roman" w:cs="Times New Roman"/>
          <w:sz w:val="20"/>
          <w:szCs w:val="20"/>
        </w:rPr>
        <w:t xml:space="preserve">This finding also </w:t>
      </w:r>
      <w:r w:rsidR="00CE518D" w:rsidRPr="0080521D">
        <w:rPr>
          <w:rFonts w:ascii="Times New Roman" w:hAnsi="Times New Roman" w:cs="Times New Roman"/>
          <w:sz w:val="20"/>
          <w:szCs w:val="20"/>
        </w:rPr>
        <w:t xml:space="preserve">exhibited </w:t>
      </w:r>
      <w:r w:rsidRPr="0080521D">
        <w:rPr>
          <w:rFonts w:ascii="Times New Roman" w:hAnsi="Times New Roman" w:cs="Times New Roman"/>
          <w:sz w:val="20"/>
          <w:szCs w:val="20"/>
        </w:rPr>
        <w:t xml:space="preserve">in a non-PCOS sample of overweight hypertensives with sleep apnea (Rubinsztajn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2003). </w:t>
      </w:r>
    </w:p>
    <w:p w14:paraId="3D180221" w14:textId="5FDBD128" w:rsidR="00462E71" w:rsidRPr="0080521D" w:rsidRDefault="00462E71" w:rsidP="00231AA2">
      <w:pPr>
        <w:autoSpaceDE w:val="0"/>
        <w:autoSpaceDN w:val="0"/>
        <w:adjustRightInd w:val="0"/>
        <w:spacing w:before="100"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shd w:val="clear" w:color="auto" w:fill="FFFFFF"/>
        </w:rPr>
        <w:t xml:space="preserve">Plasma epinephrine levels in PCOS women </w:t>
      </w:r>
      <w:r w:rsidR="00316E2E" w:rsidRPr="0080521D">
        <w:rPr>
          <w:rFonts w:ascii="Times New Roman" w:hAnsi="Times New Roman" w:cs="Times New Roman"/>
          <w:sz w:val="20"/>
          <w:szCs w:val="20"/>
          <w:shd w:val="clear" w:color="auto" w:fill="FFFFFF"/>
        </w:rPr>
        <w:t xml:space="preserve">also </w:t>
      </w:r>
      <w:r w:rsidRPr="0080521D">
        <w:rPr>
          <w:rFonts w:ascii="Times New Roman" w:hAnsi="Times New Roman" w:cs="Times New Roman"/>
          <w:sz w:val="20"/>
          <w:szCs w:val="20"/>
          <w:shd w:val="clear" w:color="auto" w:fill="FFFFFF"/>
        </w:rPr>
        <w:t xml:space="preserve">significantly correlated with BMI and WHR in the lying position </w:t>
      </w:r>
      <w:r w:rsidRPr="0080521D">
        <w:rPr>
          <w:rFonts w:ascii="Times New Roman" w:hAnsi="Times New Roman" w:cs="Times New Roman"/>
          <w:sz w:val="20"/>
          <w:szCs w:val="20"/>
        </w:rPr>
        <w:t>(</w:t>
      </w:r>
      <w:r w:rsidRPr="0080521D">
        <w:rPr>
          <w:rFonts w:ascii="Times New Roman" w:hAnsi="Times New Roman" w:cs="Times New Roman"/>
          <w:i/>
          <w:iCs/>
          <w:sz w:val="20"/>
          <w:szCs w:val="20"/>
        </w:rPr>
        <w:t xml:space="preserve">r </w:t>
      </w:r>
      <w:r w:rsidRPr="0080521D">
        <w:rPr>
          <w:rFonts w:ascii="Times New Roman" w:hAnsi="Times New Roman" w:cs="Times New Roman"/>
          <w:sz w:val="20"/>
          <w:szCs w:val="20"/>
        </w:rPr>
        <w:t xml:space="preserve">= 0.398, </w:t>
      </w:r>
      <w:r w:rsidRPr="0080521D">
        <w:rPr>
          <w:rFonts w:ascii="Times New Roman" w:hAnsi="Times New Roman" w:cs="Times New Roman"/>
          <w:i/>
          <w:iCs/>
          <w:sz w:val="20"/>
          <w:szCs w:val="20"/>
        </w:rPr>
        <w:t xml:space="preserve">p </w:t>
      </w:r>
      <w:r w:rsidRPr="0080521D">
        <w:rPr>
          <w:rFonts w:ascii="Times New Roman" w:hAnsi="Times New Roman" w:cs="Times New Roman"/>
          <w:sz w:val="20"/>
          <w:szCs w:val="20"/>
        </w:rPr>
        <w:t xml:space="preserve">=-0.032; </w:t>
      </w:r>
      <w:r w:rsidRPr="0080521D">
        <w:rPr>
          <w:rFonts w:ascii="Times New Roman" w:hAnsi="Times New Roman" w:cs="Times New Roman"/>
          <w:i/>
          <w:iCs/>
          <w:sz w:val="20"/>
          <w:szCs w:val="20"/>
        </w:rPr>
        <w:t xml:space="preserve">r </w:t>
      </w:r>
      <w:r w:rsidRPr="0080521D">
        <w:rPr>
          <w:rFonts w:ascii="Times New Roman" w:hAnsi="Times New Roman" w:cs="Times New Roman"/>
          <w:sz w:val="20"/>
          <w:szCs w:val="20"/>
        </w:rPr>
        <w:t xml:space="preserve">= 0.428, </w:t>
      </w:r>
      <w:r w:rsidRPr="0080521D">
        <w:rPr>
          <w:rFonts w:ascii="Times New Roman" w:hAnsi="Times New Roman" w:cs="Times New Roman"/>
          <w:i/>
          <w:iCs/>
          <w:sz w:val="20"/>
          <w:szCs w:val="20"/>
        </w:rPr>
        <w:t xml:space="preserve">p </w:t>
      </w:r>
      <w:r w:rsidRPr="0080521D">
        <w:rPr>
          <w:rFonts w:ascii="Times New Roman" w:hAnsi="Times New Roman" w:cs="Times New Roman"/>
          <w:sz w:val="20"/>
          <w:szCs w:val="20"/>
        </w:rPr>
        <w:t>= 0.05, respectively)</w:t>
      </w:r>
      <w:r w:rsidR="00DB01CB">
        <w:rPr>
          <w:rFonts w:ascii="Times New Roman" w:hAnsi="Times New Roman" w:cs="Times New Roman"/>
          <w:sz w:val="20"/>
          <w:szCs w:val="20"/>
        </w:rPr>
        <w:t>, but this</w:t>
      </w:r>
      <w:r w:rsidRPr="0080521D">
        <w:rPr>
          <w:rFonts w:ascii="Times New Roman" w:hAnsi="Times New Roman" w:cs="Times New Roman"/>
          <w:sz w:val="20"/>
          <w:szCs w:val="20"/>
        </w:rPr>
        <w:t xml:space="preserve"> did not </w:t>
      </w:r>
      <w:r w:rsidR="00F966B1" w:rsidRPr="0080521D">
        <w:rPr>
          <w:rFonts w:ascii="Times New Roman" w:hAnsi="Times New Roman" w:cs="Times New Roman"/>
          <w:sz w:val="20"/>
          <w:szCs w:val="20"/>
        </w:rPr>
        <w:t xml:space="preserve">manifest </w:t>
      </w:r>
      <w:r w:rsidRPr="0080521D">
        <w:rPr>
          <w:rFonts w:ascii="Times New Roman" w:hAnsi="Times New Roman" w:cs="Times New Roman"/>
          <w:sz w:val="20"/>
          <w:szCs w:val="20"/>
        </w:rPr>
        <w:t xml:space="preserve">with obese controls. In parallel with the earlier report, this finding compared to controls </w:t>
      </w:r>
      <w:r w:rsidR="00AA3BE6" w:rsidRPr="0080521D">
        <w:rPr>
          <w:rFonts w:ascii="Times New Roman" w:hAnsi="Times New Roman" w:cs="Times New Roman"/>
          <w:sz w:val="20"/>
          <w:szCs w:val="20"/>
        </w:rPr>
        <w:t xml:space="preserve">was also </w:t>
      </w:r>
      <w:r w:rsidR="002C3A6E" w:rsidRPr="0080521D">
        <w:rPr>
          <w:rFonts w:ascii="Times New Roman" w:hAnsi="Times New Roman" w:cs="Times New Roman"/>
          <w:sz w:val="20"/>
          <w:szCs w:val="20"/>
        </w:rPr>
        <w:t xml:space="preserve">corroborated </w:t>
      </w:r>
      <w:r w:rsidRPr="0080521D">
        <w:rPr>
          <w:rFonts w:ascii="Times New Roman" w:hAnsi="Times New Roman" w:cs="Times New Roman"/>
          <w:sz w:val="20"/>
          <w:szCs w:val="20"/>
        </w:rPr>
        <w:t xml:space="preserve">in a non-PCOS sample of overweight hypertensives with sleep apnea (Rubinsztajn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2003). </w:t>
      </w:r>
    </w:p>
    <w:p w14:paraId="309C51C2" w14:textId="67D76705" w:rsidR="00573418" w:rsidRPr="0080521D" w:rsidRDefault="00BD5EC6" w:rsidP="00231AA2">
      <w:pPr>
        <w:autoSpaceDE w:val="0"/>
        <w:autoSpaceDN w:val="0"/>
        <w:adjustRightInd w:val="0"/>
        <w:spacing w:before="100" w:after="100" w:line="240" w:lineRule="auto"/>
        <w:jc w:val="both"/>
        <w:rPr>
          <w:rFonts w:ascii="Times New Roman" w:hAnsi="Times New Roman" w:cs="Times New Roman"/>
          <w:b/>
          <w:bCs/>
          <w:sz w:val="20"/>
          <w:szCs w:val="20"/>
        </w:rPr>
      </w:pPr>
      <w:r w:rsidRPr="0080521D">
        <w:rPr>
          <w:rFonts w:ascii="Times New Roman" w:hAnsi="Times New Roman" w:cs="Times New Roman"/>
          <w:b/>
          <w:sz w:val="20"/>
          <w:szCs w:val="20"/>
        </w:rPr>
        <w:t>C</w:t>
      </w:r>
      <w:r w:rsidR="00A5015C" w:rsidRPr="0080521D">
        <w:rPr>
          <w:rFonts w:ascii="Times New Roman" w:hAnsi="Times New Roman" w:cs="Times New Roman"/>
          <w:b/>
          <w:sz w:val="20"/>
          <w:szCs w:val="20"/>
        </w:rPr>
        <w:t xml:space="preserve">haracteristic </w:t>
      </w:r>
      <w:r w:rsidRPr="0080521D">
        <w:rPr>
          <w:rFonts w:ascii="Times New Roman" w:hAnsi="Times New Roman" w:cs="Times New Roman"/>
          <w:b/>
          <w:bCs/>
          <w:sz w:val="20"/>
          <w:szCs w:val="20"/>
        </w:rPr>
        <w:t>P</w:t>
      </w:r>
      <w:r w:rsidR="00EF7505" w:rsidRPr="0080521D">
        <w:rPr>
          <w:rFonts w:ascii="Times New Roman" w:hAnsi="Times New Roman" w:cs="Times New Roman"/>
          <w:b/>
          <w:bCs/>
          <w:sz w:val="20"/>
          <w:szCs w:val="20"/>
        </w:rPr>
        <w:t xml:space="preserve">sychobehavioral </w:t>
      </w:r>
      <w:r w:rsidRPr="0080521D">
        <w:rPr>
          <w:rFonts w:ascii="Times New Roman" w:hAnsi="Times New Roman" w:cs="Times New Roman"/>
          <w:b/>
          <w:bCs/>
          <w:sz w:val="20"/>
          <w:szCs w:val="20"/>
        </w:rPr>
        <w:t>M</w:t>
      </w:r>
      <w:r w:rsidR="00EF7505" w:rsidRPr="0080521D">
        <w:rPr>
          <w:rFonts w:ascii="Times New Roman" w:hAnsi="Times New Roman" w:cs="Times New Roman"/>
          <w:b/>
          <w:bCs/>
          <w:sz w:val="20"/>
          <w:szCs w:val="20"/>
        </w:rPr>
        <w:t>arkers</w:t>
      </w:r>
    </w:p>
    <w:p w14:paraId="3E004074" w14:textId="77777777" w:rsidR="007F48AD" w:rsidRPr="0080521D" w:rsidRDefault="007F48AD" w:rsidP="00231AA2">
      <w:pPr>
        <w:spacing w:before="100" w:after="100" w:line="240" w:lineRule="auto"/>
        <w:jc w:val="both"/>
        <w:rPr>
          <w:rFonts w:ascii="Times New Roman" w:hAnsi="Times New Roman" w:cs="Times New Roman"/>
          <w:bCs/>
          <w:i/>
          <w:iCs/>
          <w:sz w:val="20"/>
          <w:szCs w:val="20"/>
        </w:rPr>
      </w:pPr>
      <w:r w:rsidRPr="0080521D">
        <w:rPr>
          <w:rFonts w:ascii="Times New Roman" w:hAnsi="Times New Roman" w:cs="Times New Roman"/>
          <w:bCs/>
          <w:i/>
          <w:iCs/>
          <w:sz w:val="20"/>
          <w:szCs w:val="20"/>
        </w:rPr>
        <w:t xml:space="preserve">Emotional Lability (Neuroticism) </w:t>
      </w:r>
    </w:p>
    <w:p w14:paraId="20A17A84" w14:textId="49981F92" w:rsidR="00A75BFF" w:rsidRPr="0080521D" w:rsidRDefault="00D11553" w:rsidP="00231AA2">
      <w:pPr>
        <w:autoSpaceDE w:val="0"/>
        <w:autoSpaceDN w:val="0"/>
        <w:adjustRightInd w:val="0"/>
        <w:spacing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Neuroticism (</w:t>
      </w:r>
      <w:r w:rsidR="005A2EB0">
        <w:rPr>
          <w:rFonts w:ascii="Times New Roman" w:hAnsi="Times New Roman" w:cs="Times New Roman"/>
          <w:sz w:val="20"/>
          <w:szCs w:val="20"/>
        </w:rPr>
        <w:t>‘</w:t>
      </w:r>
      <w:r w:rsidRPr="0080521D">
        <w:rPr>
          <w:rFonts w:ascii="Times New Roman" w:hAnsi="Times New Roman" w:cs="Times New Roman"/>
          <w:i/>
          <w:sz w:val="20"/>
          <w:szCs w:val="20"/>
        </w:rPr>
        <w:t>N</w:t>
      </w:r>
      <w:r w:rsidR="005A2EB0">
        <w:rPr>
          <w:rFonts w:ascii="Times New Roman" w:hAnsi="Times New Roman" w:cs="Times New Roman"/>
          <w:i/>
          <w:sz w:val="20"/>
          <w:szCs w:val="20"/>
        </w:rPr>
        <w:t>’</w:t>
      </w:r>
      <w:r w:rsidRPr="0080521D">
        <w:rPr>
          <w:rFonts w:ascii="Times New Roman" w:hAnsi="Times New Roman" w:cs="Times New Roman"/>
          <w:sz w:val="20"/>
          <w:szCs w:val="20"/>
        </w:rPr>
        <w:t xml:space="preserve">) is the tendency to react quickly when stimulated and to inhibit emotions slowly once activated (Eysenck &amp; Eysenck 1985). </w:t>
      </w:r>
      <w:r w:rsidR="009D3D03" w:rsidRPr="0080521D">
        <w:rPr>
          <w:rFonts w:ascii="Times New Roman" w:hAnsi="Times New Roman" w:cs="Times New Roman"/>
          <w:sz w:val="20"/>
          <w:szCs w:val="20"/>
        </w:rPr>
        <w:t>It is</w:t>
      </w:r>
      <w:r w:rsidR="00F66906" w:rsidRPr="0080521D">
        <w:rPr>
          <w:rFonts w:ascii="Times New Roman" w:hAnsi="Times New Roman" w:cs="Times New Roman"/>
          <w:sz w:val="20"/>
          <w:szCs w:val="20"/>
        </w:rPr>
        <w:t xml:space="preserve"> </w:t>
      </w:r>
      <w:r w:rsidR="007F48AD" w:rsidRPr="0080521D">
        <w:rPr>
          <w:rFonts w:ascii="Times New Roman" w:hAnsi="Times New Roman" w:cs="Times New Roman"/>
          <w:sz w:val="20"/>
          <w:szCs w:val="20"/>
        </w:rPr>
        <w:t xml:space="preserve">a </w:t>
      </w:r>
      <w:r w:rsidR="00C17B57" w:rsidRPr="0080521D">
        <w:rPr>
          <w:rFonts w:ascii="Times New Roman" w:hAnsi="Times New Roman" w:cs="Times New Roman"/>
          <w:sz w:val="20"/>
          <w:szCs w:val="20"/>
        </w:rPr>
        <w:t xml:space="preserve">major </w:t>
      </w:r>
      <w:r w:rsidR="007F48AD" w:rsidRPr="0080521D">
        <w:rPr>
          <w:rFonts w:ascii="Times New Roman" w:hAnsi="Times New Roman" w:cs="Times New Roman"/>
          <w:sz w:val="20"/>
          <w:szCs w:val="20"/>
        </w:rPr>
        <w:t>personality trait</w:t>
      </w:r>
      <w:r w:rsidR="00C17B57" w:rsidRPr="0080521D">
        <w:rPr>
          <w:rFonts w:ascii="Times New Roman" w:hAnsi="Times New Roman" w:cs="Times New Roman"/>
          <w:sz w:val="20"/>
          <w:szCs w:val="20"/>
        </w:rPr>
        <w:t xml:space="preserve"> (or domain) </w:t>
      </w:r>
      <w:r w:rsidR="0050771E" w:rsidRPr="0080521D">
        <w:rPr>
          <w:rFonts w:ascii="Times New Roman" w:hAnsi="Times New Roman" w:cs="Times New Roman"/>
          <w:sz w:val="20"/>
          <w:szCs w:val="20"/>
        </w:rPr>
        <w:t xml:space="preserve">comprised </w:t>
      </w:r>
      <w:r w:rsidR="005739CC" w:rsidRPr="0080521D">
        <w:rPr>
          <w:rFonts w:ascii="Times New Roman" w:hAnsi="Times New Roman" w:cs="Times New Roman"/>
          <w:sz w:val="20"/>
          <w:szCs w:val="20"/>
        </w:rPr>
        <w:t xml:space="preserve">of the </w:t>
      </w:r>
      <w:r w:rsidR="00ED2747" w:rsidRPr="0080521D">
        <w:rPr>
          <w:rFonts w:ascii="Times New Roman" w:hAnsi="Times New Roman" w:cs="Times New Roman"/>
          <w:sz w:val="20"/>
          <w:szCs w:val="20"/>
        </w:rPr>
        <w:t>six</w:t>
      </w:r>
      <w:r w:rsidR="005739CC" w:rsidRPr="0080521D">
        <w:rPr>
          <w:rFonts w:ascii="Times New Roman" w:hAnsi="Times New Roman" w:cs="Times New Roman"/>
          <w:sz w:val="20"/>
          <w:szCs w:val="20"/>
        </w:rPr>
        <w:t xml:space="preserve"> </w:t>
      </w:r>
      <w:r w:rsidR="00D85FF3" w:rsidRPr="0080521D">
        <w:rPr>
          <w:rFonts w:ascii="Times New Roman" w:hAnsi="Times New Roman" w:cs="Times New Roman"/>
          <w:sz w:val="20"/>
          <w:szCs w:val="20"/>
        </w:rPr>
        <w:t xml:space="preserve">cognitive </w:t>
      </w:r>
      <w:r w:rsidR="005739CC" w:rsidRPr="0080521D">
        <w:rPr>
          <w:rFonts w:ascii="Times New Roman" w:hAnsi="Times New Roman" w:cs="Times New Roman"/>
          <w:sz w:val="20"/>
          <w:szCs w:val="20"/>
        </w:rPr>
        <w:t>subfactors</w:t>
      </w:r>
      <w:r w:rsidR="005A2EB0">
        <w:rPr>
          <w:rFonts w:ascii="Times New Roman" w:hAnsi="Times New Roman" w:cs="Times New Roman"/>
          <w:sz w:val="20"/>
          <w:szCs w:val="20"/>
        </w:rPr>
        <w:t>:</w:t>
      </w:r>
      <w:r w:rsidR="002D7BF1">
        <w:rPr>
          <w:rFonts w:ascii="Times New Roman" w:hAnsi="Times New Roman" w:cs="Times New Roman"/>
          <w:sz w:val="20"/>
          <w:szCs w:val="20"/>
        </w:rPr>
        <w:t xml:space="preserve"> </w:t>
      </w:r>
      <w:r w:rsidR="00B1108E" w:rsidRPr="0080521D">
        <w:rPr>
          <w:rFonts w:ascii="Times New Roman" w:hAnsi="Times New Roman" w:cs="Times New Roman"/>
          <w:sz w:val="20"/>
          <w:szCs w:val="20"/>
        </w:rPr>
        <w:t xml:space="preserve">N1 </w:t>
      </w:r>
      <w:r w:rsidR="005A2EB0">
        <w:rPr>
          <w:rFonts w:ascii="Times New Roman" w:hAnsi="Times New Roman" w:cs="Times New Roman"/>
          <w:sz w:val="20"/>
          <w:szCs w:val="20"/>
        </w:rPr>
        <w:t xml:space="preserve">- </w:t>
      </w:r>
      <w:r w:rsidR="00B1108E" w:rsidRPr="0080521D">
        <w:rPr>
          <w:rFonts w:ascii="Times New Roman" w:hAnsi="Times New Roman" w:cs="Times New Roman"/>
          <w:sz w:val="20"/>
          <w:szCs w:val="20"/>
        </w:rPr>
        <w:t xml:space="preserve">Anxiety, N2 </w:t>
      </w:r>
      <w:r w:rsidR="005A2EB0">
        <w:rPr>
          <w:rFonts w:ascii="Times New Roman" w:hAnsi="Times New Roman" w:cs="Times New Roman"/>
          <w:sz w:val="20"/>
          <w:szCs w:val="20"/>
        </w:rPr>
        <w:t xml:space="preserve">- </w:t>
      </w:r>
      <w:r w:rsidR="00B1108E" w:rsidRPr="0080521D">
        <w:rPr>
          <w:rFonts w:ascii="Times New Roman" w:hAnsi="Times New Roman" w:cs="Times New Roman"/>
          <w:sz w:val="20"/>
          <w:szCs w:val="20"/>
        </w:rPr>
        <w:t xml:space="preserve">Anger, N3 </w:t>
      </w:r>
      <w:r w:rsidR="005A2EB0">
        <w:rPr>
          <w:rFonts w:ascii="Times New Roman" w:hAnsi="Times New Roman" w:cs="Times New Roman"/>
          <w:sz w:val="20"/>
          <w:szCs w:val="20"/>
        </w:rPr>
        <w:t xml:space="preserve">- </w:t>
      </w:r>
      <w:r w:rsidR="00B1108E" w:rsidRPr="0080521D">
        <w:rPr>
          <w:rFonts w:ascii="Times New Roman" w:hAnsi="Times New Roman" w:cs="Times New Roman"/>
          <w:sz w:val="20"/>
          <w:szCs w:val="20"/>
        </w:rPr>
        <w:t>Depression, N4</w:t>
      </w:r>
      <w:r w:rsidR="005A2EB0">
        <w:rPr>
          <w:rFonts w:ascii="Times New Roman" w:hAnsi="Times New Roman" w:cs="Times New Roman"/>
          <w:sz w:val="20"/>
          <w:szCs w:val="20"/>
        </w:rPr>
        <w:t xml:space="preserve">- </w:t>
      </w:r>
      <w:r w:rsidR="00B1108E" w:rsidRPr="0080521D">
        <w:rPr>
          <w:rFonts w:ascii="Times New Roman" w:hAnsi="Times New Roman" w:cs="Times New Roman"/>
          <w:sz w:val="20"/>
          <w:szCs w:val="20"/>
        </w:rPr>
        <w:t xml:space="preserve">Self Consciousness, N5 </w:t>
      </w:r>
      <w:r w:rsidR="005A2EB0">
        <w:rPr>
          <w:rFonts w:ascii="Times New Roman" w:hAnsi="Times New Roman" w:cs="Times New Roman"/>
          <w:sz w:val="20"/>
          <w:szCs w:val="20"/>
        </w:rPr>
        <w:t xml:space="preserve">- </w:t>
      </w:r>
      <w:r w:rsidR="00B1108E" w:rsidRPr="0080521D">
        <w:rPr>
          <w:rFonts w:ascii="Times New Roman" w:hAnsi="Times New Roman" w:cs="Times New Roman"/>
          <w:sz w:val="20"/>
          <w:szCs w:val="20"/>
        </w:rPr>
        <w:t xml:space="preserve">Impulsiveness, and N6 </w:t>
      </w:r>
      <w:r w:rsidR="005A2EB0">
        <w:rPr>
          <w:rFonts w:ascii="Times New Roman" w:hAnsi="Times New Roman" w:cs="Times New Roman"/>
          <w:sz w:val="20"/>
          <w:szCs w:val="20"/>
        </w:rPr>
        <w:t xml:space="preserve">- </w:t>
      </w:r>
      <w:r w:rsidR="00B1108E" w:rsidRPr="0080521D">
        <w:rPr>
          <w:rFonts w:ascii="Times New Roman" w:hAnsi="Times New Roman" w:cs="Times New Roman"/>
          <w:sz w:val="20"/>
          <w:szCs w:val="20"/>
        </w:rPr>
        <w:t>Vulnerability</w:t>
      </w:r>
      <w:r w:rsidR="00DF2100" w:rsidRPr="0080521D">
        <w:rPr>
          <w:rFonts w:ascii="Times New Roman" w:hAnsi="Times New Roman" w:cs="Times New Roman"/>
          <w:sz w:val="20"/>
          <w:szCs w:val="20"/>
          <w:vertAlign w:val="superscript"/>
        </w:rPr>
        <w:t>2</w:t>
      </w:r>
      <w:r w:rsidR="00CD01E9">
        <w:rPr>
          <w:rFonts w:ascii="Times New Roman" w:hAnsi="Times New Roman" w:cs="Times New Roman"/>
          <w:sz w:val="20"/>
          <w:szCs w:val="20"/>
          <w:vertAlign w:val="superscript"/>
        </w:rPr>
        <w:t>5</w:t>
      </w:r>
      <w:r w:rsidR="000B3EDA" w:rsidRPr="0080521D">
        <w:rPr>
          <w:rFonts w:ascii="Times New Roman" w:hAnsi="Times New Roman" w:cs="Times New Roman"/>
          <w:sz w:val="20"/>
          <w:szCs w:val="20"/>
        </w:rPr>
        <w:t xml:space="preserve"> (Goldberg 1999)</w:t>
      </w:r>
      <w:r w:rsidR="002820AC" w:rsidRPr="0080521D">
        <w:rPr>
          <w:rFonts w:ascii="Times New Roman" w:hAnsi="Times New Roman" w:cs="Times New Roman"/>
          <w:sz w:val="20"/>
          <w:szCs w:val="20"/>
        </w:rPr>
        <w:t xml:space="preserve">. Women with PCOS </w:t>
      </w:r>
      <w:r w:rsidR="007F48AD" w:rsidRPr="0080521D">
        <w:rPr>
          <w:rFonts w:ascii="Times New Roman" w:hAnsi="Times New Roman" w:cs="Times New Roman"/>
          <w:sz w:val="20"/>
          <w:szCs w:val="20"/>
        </w:rPr>
        <w:t xml:space="preserve">score 40.6% higher on </w:t>
      </w:r>
      <w:r w:rsidR="007F48AD" w:rsidRPr="0080521D">
        <w:rPr>
          <w:rFonts w:ascii="Times New Roman" w:hAnsi="Times New Roman" w:cs="Times New Roman"/>
          <w:i/>
          <w:sz w:val="20"/>
          <w:szCs w:val="20"/>
        </w:rPr>
        <w:t>‘N’</w:t>
      </w:r>
      <w:r w:rsidR="007F48AD" w:rsidRPr="0080521D">
        <w:rPr>
          <w:rFonts w:ascii="Times New Roman" w:hAnsi="Times New Roman" w:cs="Times New Roman"/>
          <w:sz w:val="20"/>
          <w:szCs w:val="20"/>
        </w:rPr>
        <w:t xml:space="preserve"> than BMI and age-matched controls </w:t>
      </w:r>
      <w:r w:rsidR="00DB01CB">
        <w:rPr>
          <w:rFonts w:ascii="Times New Roman" w:hAnsi="Times New Roman" w:cs="Times New Roman"/>
          <w:sz w:val="20"/>
          <w:szCs w:val="20"/>
        </w:rPr>
        <w:t>(</w:t>
      </w:r>
      <w:r w:rsidR="007F48AD" w:rsidRPr="0080521D">
        <w:rPr>
          <w:rFonts w:ascii="Times New Roman" w:hAnsi="Times New Roman" w:cs="Times New Roman"/>
          <w:sz w:val="20"/>
          <w:szCs w:val="20"/>
        </w:rPr>
        <w:t>7.89 (+/- 3.37) 5.61 (+/- 3.41) F=3.95, 2-tailed and p&lt;0.05</w:t>
      </w:r>
      <w:r w:rsidR="00DB01CB">
        <w:rPr>
          <w:rFonts w:ascii="Times New Roman" w:hAnsi="Times New Roman" w:cs="Times New Roman"/>
          <w:sz w:val="20"/>
          <w:szCs w:val="20"/>
        </w:rPr>
        <w:t>)</w:t>
      </w:r>
      <w:r w:rsidR="007F48AD" w:rsidRPr="0080521D">
        <w:rPr>
          <w:rFonts w:ascii="Times New Roman" w:hAnsi="Times New Roman" w:cs="Times New Roman"/>
          <w:sz w:val="20"/>
          <w:szCs w:val="20"/>
        </w:rPr>
        <w:t xml:space="preserve"> (Barry et </w:t>
      </w:r>
      <w:r w:rsidR="00E748A7">
        <w:rPr>
          <w:rFonts w:ascii="Times New Roman" w:hAnsi="Times New Roman" w:cs="Times New Roman"/>
          <w:sz w:val="20"/>
          <w:szCs w:val="20"/>
        </w:rPr>
        <w:t>al.</w:t>
      </w:r>
      <w:r w:rsidR="007F48AD" w:rsidRPr="0080521D">
        <w:rPr>
          <w:rFonts w:ascii="Times New Roman" w:hAnsi="Times New Roman" w:cs="Times New Roman"/>
          <w:sz w:val="20"/>
          <w:szCs w:val="20"/>
        </w:rPr>
        <w:t xml:space="preserve"> 2011b). Hans Eysenck, a noted psychologist, has long suggested that the expression of the trait correlates with the lability of the autonomic system (Eysenck 1967). </w:t>
      </w:r>
      <w:r w:rsidR="00A75BFF" w:rsidRPr="0080521D">
        <w:rPr>
          <w:rFonts w:ascii="Times New Roman" w:hAnsi="Times New Roman" w:cs="Times New Roman"/>
          <w:sz w:val="20"/>
          <w:szCs w:val="20"/>
        </w:rPr>
        <w:t xml:space="preserve">Meta-analytic evidence (71 studies) indeed supports an association between </w:t>
      </w:r>
      <w:r w:rsidR="00A75BFF" w:rsidRPr="0080521D">
        <w:rPr>
          <w:rFonts w:ascii="Times New Roman" w:hAnsi="Times New Roman" w:cs="Times New Roman"/>
          <w:i/>
          <w:sz w:val="20"/>
          <w:szCs w:val="20"/>
        </w:rPr>
        <w:t>‘N’</w:t>
      </w:r>
      <w:r w:rsidR="00A75BFF" w:rsidRPr="0080521D">
        <w:rPr>
          <w:rFonts w:ascii="Times New Roman" w:hAnsi="Times New Roman" w:cs="Times New Roman"/>
          <w:sz w:val="20"/>
          <w:szCs w:val="20"/>
        </w:rPr>
        <w:t xml:space="preserve"> and decreased PNS reactivity</w:t>
      </w:r>
      <w:r w:rsidR="0030710F" w:rsidRPr="0080521D">
        <w:rPr>
          <w:rFonts w:ascii="Times New Roman" w:hAnsi="Times New Roman" w:cs="Times New Roman"/>
          <w:sz w:val="20"/>
          <w:szCs w:val="20"/>
          <w:vertAlign w:val="superscript"/>
        </w:rPr>
        <w:t>2</w:t>
      </w:r>
      <w:r w:rsidR="00794F55">
        <w:rPr>
          <w:rFonts w:ascii="Times New Roman" w:hAnsi="Times New Roman" w:cs="Times New Roman"/>
          <w:sz w:val="20"/>
          <w:szCs w:val="20"/>
          <w:vertAlign w:val="superscript"/>
        </w:rPr>
        <w:t>6</w:t>
      </w:r>
      <w:r w:rsidR="00A75BFF" w:rsidRPr="0080521D">
        <w:rPr>
          <w:rFonts w:ascii="Times New Roman" w:hAnsi="Times New Roman" w:cs="Times New Roman"/>
          <w:sz w:val="20"/>
          <w:szCs w:val="20"/>
        </w:rPr>
        <w:t xml:space="preserve"> (</w:t>
      </w:r>
      <w:r w:rsidR="00A75BFF" w:rsidRPr="0080521D">
        <w:rPr>
          <w:rFonts w:ascii="Times New Roman" w:hAnsi="Times New Roman" w:cs="Times New Roman"/>
          <w:i/>
          <w:iCs/>
          <w:sz w:val="20"/>
          <w:szCs w:val="20"/>
        </w:rPr>
        <w:t xml:space="preserve">p </w:t>
      </w:r>
      <w:r w:rsidR="00A75BFF" w:rsidRPr="0080521D">
        <w:rPr>
          <w:rFonts w:ascii="Times New Roman" w:hAnsi="Times New Roman" w:cs="Times New Roman"/>
          <w:sz w:val="20"/>
          <w:szCs w:val="20"/>
        </w:rPr>
        <w:t xml:space="preserve">&lt; 0.083) (Chida &amp; Hammer 2008). Longer recovery times after exposure to a stressor correlate with decreased PNS reactivity. This is consistent with evidence showing that longer cardiovascular recoveries after stressors are associated with </w:t>
      </w:r>
      <w:r w:rsidR="005A2EB0">
        <w:rPr>
          <w:rFonts w:ascii="Times New Roman" w:hAnsi="Times New Roman" w:cs="Times New Roman"/>
          <w:sz w:val="20"/>
          <w:szCs w:val="20"/>
        </w:rPr>
        <w:t>‘</w:t>
      </w:r>
      <w:r w:rsidR="00A75BFF" w:rsidRPr="0080521D">
        <w:rPr>
          <w:rFonts w:ascii="Times New Roman" w:hAnsi="Times New Roman" w:cs="Times New Roman"/>
          <w:i/>
          <w:iCs/>
          <w:sz w:val="20"/>
          <w:szCs w:val="20"/>
        </w:rPr>
        <w:t>N</w:t>
      </w:r>
      <w:r w:rsidR="005A2EB0">
        <w:rPr>
          <w:rFonts w:ascii="Times New Roman" w:hAnsi="Times New Roman" w:cs="Times New Roman"/>
          <w:i/>
          <w:iCs/>
          <w:sz w:val="20"/>
          <w:szCs w:val="20"/>
        </w:rPr>
        <w:t>’</w:t>
      </w:r>
      <w:r w:rsidR="00A75BFF" w:rsidRPr="0080521D">
        <w:rPr>
          <w:rFonts w:ascii="Times New Roman" w:hAnsi="Times New Roman" w:cs="Times New Roman"/>
          <w:sz w:val="20"/>
          <w:szCs w:val="20"/>
        </w:rPr>
        <w:t xml:space="preserve"> (</w:t>
      </w:r>
      <w:r w:rsidR="00A75BFF" w:rsidRPr="0080521D">
        <w:rPr>
          <w:rFonts w:ascii="Times New Roman" w:hAnsi="Times New Roman" w:cs="Times New Roman"/>
          <w:i/>
          <w:iCs/>
          <w:sz w:val="20"/>
          <w:szCs w:val="20"/>
        </w:rPr>
        <w:t xml:space="preserve">r </w:t>
      </w:r>
      <w:r w:rsidR="00A75BFF" w:rsidRPr="0080521D">
        <w:rPr>
          <w:rFonts w:ascii="Times New Roman" w:hAnsi="Times New Roman" w:cs="Times New Roman"/>
          <w:sz w:val="20"/>
          <w:szCs w:val="20"/>
        </w:rPr>
        <w:t xml:space="preserve">= .104; 95% CI = .029, .178; </w:t>
      </w:r>
      <w:r w:rsidR="00A75BFF" w:rsidRPr="0080521D">
        <w:rPr>
          <w:rFonts w:ascii="Times New Roman" w:hAnsi="Times New Roman" w:cs="Times New Roman"/>
          <w:i/>
          <w:iCs/>
          <w:sz w:val="20"/>
          <w:szCs w:val="20"/>
        </w:rPr>
        <w:t xml:space="preserve">p </w:t>
      </w:r>
      <w:r w:rsidR="00A75BFF" w:rsidRPr="0080521D">
        <w:rPr>
          <w:rFonts w:ascii="Times New Roman" w:hAnsi="Times New Roman" w:cs="Times New Roman"/>
          <w:sz w:val="20"/>
          <w:szCs w:val="20"/>
        </w:rPr>
        <w:t>= .007) (Chida &amp; Hammer 2008).</w:t>
      </w:r>
    </w:p>
    <w:p w14:paraId="0DD3FFCF" w14:textId="6F466E96" w:rsidR="007F48AD" w:rsidRPr="0080521D" w:rsidRDefault="007F48AD" w:rsidP="00231AA2">
      <w:pPr>
        <w:autoSpaceDE w:val="0"/>
        <w:autoSpaceDN w:val="0"/>
        <w:adjustRightInd w:val="0"/>
        <w:spacing w:before="100"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Farmer et al’s (2013) findings were consistent with this conception. They showed that high </w:t>
      </w:r>
      <w:r w:rsidRPr="0080521D">
        <w:rPr>
          <w:rFonts w:ascii="Times New Roman" w:hAnsi="Times New Roman" w:cs="Times New Roman"/>
          <w:i/>
          <w:sz w:val="20"/>
          <w:szCs w:val="20"/>
        </w:rPr>
        <w:t>‘N’</w:t>
      </w:r>
      <w:r w:rsidRPr="0080521D">
        <w:rPr>
          <w:rFonts w:ascii="Times New Roman" w:hAnsi="Times New Roman" w:cs="Times New Roman"/>
          <w:sz w:val="20"/>
          <w:szCs w:val="20"/>
        </w:rPr>
        <w:t xml:space="preserve"> was independently associated with longer cardiovagal tone</w:t>
      </w:r>
      <w:r w:rsidR="006E55E4" w:rsidRPr="0080521D">
        <w:rPr>
          <w:rFonts w:ascii="Times New Roman" w:hAnsi="Times New Roman" w:cs="Times New Roman"/>
          <w:sz w:val="20"/>
          <w:szCs w:val="20"/>
          <w:vertAlign w:val="superscript"/>
        </w:rPr>
        <w:t>2</w:t>
      </w:r>
      <w:r w:rsidR="00176EC0">
        <w:rPr>
          <w:rFonts w:ascii="Times New Roman" w:hAnsi="Times New Roman" w:cs="Times New Roman"/>
          <w:sz w:val="20"/>
          <w:szCs w:val="20"/>
          <w:vertAlign w:val="superscript"/>
        </w:rPr>
        <w:t>7</w:t>
      </w:r>
      <w:r w:rsidRPr="0080521D">
        <w:rPr>
          <w:rFonts w:ascii="Times New Roman" w:hAnsi="Times New Roman" w:cs="Times New Roman"/>
          <w:sz w:val="20"/>
          <w:szCs w:val="20"/>
        </w:rPr>
        <w:t xml:space="preserve"> (CVT) and cardiac sympathetic index (CSI) recovery times. High-</w:t>
      </w:r>
      <w:r w:rsidRPr="007A5070">
        <w:rPr>
          <w:rFonts w:ascii="Times New Roman" w:hAnsi="Times New Roman" w:cs="Times New Roman"/>
          <w:i/>
          <w:iCs/>
          <w:sz w:val="20"/>
          <w:szCs w:val="20"/>
        </w:rPr>
        <w:t xml:space="preserve">N </w:t>
      </w:r>
      <w:r w:rsidRPr="0080521D">
        <w:rPr>
          <w:rFonts w:ascii="Times New Roman" w:hAnsi="Times New Roman" w:cs="Times New Roman"/>
          <w:sz w:val="20"/>
          <w:szCs w:val="20"/>
        </w:rPr>
        <w:t xml:space="preserve">patients </w:t>
      </w:r>
      <w:r w:rsidR="00AA0C65" w:rsidRPr="0080521D">
        <w:rPr>
          <w:rFonts w:ascii="Times New Roman" w:hAnsi="Times New Roman" w:cs="Times New Roman"/>
          <w:sz w:val="20"/>
          <w:szCs w:val="20"/>
        </w:rPr>
        <w:t>evidenced</w:t>
      </w:r>
      <w:r w:rsidRPr="0080521D">
        <w:rPr>
          <w:rFonts w:ascii="Times New Roman" w:hAnsi="Times New Roman" w:cs="Times New Roman"/>
          <w:sz w:val="20"/>
          <w:szCs w:val="20"/>
        </w:rPr>
        <w:t xml:space="preserve"> prolonged CVT and CSI recovery times after esophageal intubation</w:t>
      </w:r>
      <w:r w:rsidR="006E55E4" w:rsidRPr="0080521D">
        <w:rPr>
          <w:rFonts w:ascii="Times New Roman" w:hAnsi="Times New Roman" w:cs="Times New Roman"/>
          <w:sz w:val="20"/>
          <w:szCs w:val="20"/>
          <w:vertAlign w:val="superscript"/>
        </w:rPr>
        <w:t>2</w:t>
      </w:r>
      <w:r w:rsidR="00176EC0">
        <w:rPr>
          <w:rFonts w:ascii="Times New Roman" w:hAnsi="Times New Roman" w:cs="Times New Roman"/>
          <w:sz w:val="20"/>
          <w:szCs w:val="20"/>
          <w:vertAlign w:val="superscript"/>
        </w:rPr>
        <w:t>8</w:t>
      </w:r>
      <w:r w:rsidRPr="0080521D">
        <w:rPr>
          <w:rFonts w:ascii="Times New Roman" w:hAnsi="Times New Roman" w:cs="Times New Roman"/>
          <w:sz w:val="20"/>
          <w:szCs w:val="20"/>
        </w:rPr>
        <w:t xml:space="preserve"> compared to controls (112.5 s vs 46.5 s, p &lt; 0.0001 and 549 s vs 223.5 s, p &lt; 0.0001, respectively). Di Simplicio et al</w:t>
      </w:r>
      <w:r w:rsidR="00DB01CB">
        <w:rPr>
          <w:rFonts w:ascii="Times New Roman" w:hAnsi="Times New Roman" w:cs="Times New Roman"/>
          <w:sz w:val="20"/>
          <w:szCs w:val="20"/>
        </w:rPr>
        <w:t>.</w:t>
      </w:r>
      <w:r w:rsidRPr="0080521D">
        <w:rPr>
          <w:rFonts w:ascii="Times New Roman" w:hAnsi="Times New Roman" w:cs="Times New Roman"/>
          <w:sz w:val="20"/>
          <w:szCs w:val="20"/>
        </w:rPr>
        <w:t>’s (2012) findings were consistent with this pattern. High-</w:t>
      </w:r>
      <w:r w:rsidRPr="0080521D">
        <w:rPr>
          <w:rFonts w:ascii="Times New Roman" w:hAnsi="Times New Roman" w:cs="Times New Roman"/>
          <w:i/>
          <w:sz w:val="20"/>
          <w:szCs w:val="20"/>
        </w:rPr>
        <w:t>N</w:t>
      </w:r>
      <w:r w:rsidRPr="0080521D">
        <w:rPr>
          <w:rFonts w:ascii="Times New Roman" w:hAnsi="Times New Roman" w:cs="Times New Roman"/>
          <w:sz w:val="20"/>
          <w:szCs w:val="20"/>
        </w:rPr>
        <w:t xml:space="preserve"> subjects in their study </w:t>
      </w:r>
      <w:r w:rsidR="007B0584" w:rsidRPr="0080521D">
        <w:rPr>
          <w:rFonts w:ascii="Times New Roman" w:hAnsi="Times New Roman" w:cs="Times New Roman"/>
          <w:sz w:val="20"/>
          <w:szCs w:val="20"/>
        </w:rPr>
        <w:t>manifested</w:t>
      </w:r>
      <w:r w:rsidRPr="0080521D">
        <w:rPr>
          <w:rFonts w:ascii="Times New Roman" w:hAnsi="Times New Roman" w:cs="Times New Roman"/>
          <w:sz w:val="20"/>
          <w:szCs w:val="20"/>
        </w:rPr>
        <w:t xml:space="preserve"> a longer HF</w:t>
      </w:r>
      <w:r w:rsidR="00496961">
        <w:rPr>
          <w:rFonts w:ascii="Times New Roman" w:hAnsi="Times New Roman" w:cs="Times New Roman"/>
          <w:sz w:val="20"/>
          <w:szCs w:val="20"/>
          <w:vertAlign w:val="superscript"/>
        </w:rPr>
        <w:t>29</w:t>
      </w:r>
      <w:r w:rsidRPr="0080521D">
        <w:rPr>
          <w:rFonts w:ascii="Times New Roman" w:hAnsi="Times New Roman" w:cs="Times New Roman"/>
          <w:sz w:val="20"/>
          <w:szCs w:val="20"/>
        </w:rPr>
        <w:t xml:space="preserve"> recovery after exposure to negative images compared to controls (p=0.016).</w:t>
      </w:r>
    </w:p>
    <w:p w14:paraId="19095A07" w14:textId="5662FB62" w:rsidR="007F48AD" w:rsidRPr="0080521D" w:rsidRDefault="007F48AD" w:rsidP="00231AA2">
      <w:pPr>
        <w:autoSpaceDE w:val="0"/>
        <w:autoSpaceDN w:val="0"/>
        <w:adjustRightInd w:val="0"/>
        <w:spacing w:before="100"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Further, Chida &amp; Hammer’s (2008) meta-analysis (71 studies) showed that anxiety, </w:t>
      </w:r>
      <w:r w:rsidR="00FA6468" w:rsidRPr="0080521D">
        <w:rPr>
          <w:rFonts w:ascii="Times New Roman" w:hAnsi="Times New Roman" w:cs="Times New Roman"/>
          <w:sz w:val="20"/>
          <w:szCs w:val="20"/>
        </w:rPr>
        <w:t>neuroticism,</w:t>
      </w:r>
      <w:r w:rsidRPr="0080521D">
        <w:rPr>
          <w:rFonts w:ascii="Times New Roman" w:hAnsi="Times New Roman" w:cs="Times New Roman"/>
          <w:sz w:val="20"/>
          <w:szCs w:val="20"/>
        </w:rPr>
        <w:t xml:space="preserve"> and negative affect were significantly associated with longer cardiovascular recoveries (</w:t>
      </w:r>
      <w:r w:rsidRPr="0080521D">
        <w:rPr>
          <w:rFonts w:ascii="Times New Roman" w:hAnsi="Times New Roman" w:cs="Times New Roman"/>
          <w:i/>
          <w:iCs/>
          <w:sz w:val="20"/>
          <w:szCs w:val="20"/>
        </w:rPr>
        <w:t xml:space="preserve">r </w:t>
      </w:r>
      <w:r w:rsidRPr="0080521D">
        <w:rPr>
          <w:rFonts w:ascii="Times New Roman" w:hAnsi="Times New Roman" w:cs="Times New Roman"/>
          <w:sz w:val="20"/>
          <w:szCs w:val="20"/>
        </w:rPr>
        <w:t xml:space="preserve">= .104; 95% CI = .029, .178; </w:t>
      </w:r>
      <w:r w:rsidRPr="0080521D">
        <w:rPr>
          <w:rFonts w:ascii="Times New Roman" w:hAnsi="Times New Roman" w:cs="Times New Roman"/>
          <w:i/>
          <w:iCs/>
          <w:sz w:val="20"/>
          <w:szCs w:val="20"/>
        </w:rPr>
        <w:t xml:space="preserve">p </w:t>
      </w:r>
      <w:r w:rsidRPr="0080521D">
        <w:rPr>
          <w:rFonts w:ascii="Times New Roman" w:hAnsi="Times New Roman" w:cs="Times New Roman"/>
          <w:sz w:val="20"/>
          <w:szCs w:val="20"/>
        </w:rPr>
        <w:t>= .007).</w:t>
      </w:r>
    </w:p>
    <w:p w14:paraId="16CF905E" w14:textId="287E6773" w:rsidR="007F48AD" w:rsidRPr="0080521D" w:rsidRDefault="007F48AD" w:rsidP="00231AA2">
      <w:pPr>
        <w:spacing w:before="100" w:after="100" w:line="240" w:lineRule="auto"/>
        <w:jc w:val="both"/>
        <w:rPr>
          <w:rFonts w:ascii="Times New Roman" w:hAnsi="Times New Roman" w:cs="Times New Roman"/>
          <w:bCs/>
          <w:i/>
          <w:iCs/>
          <w:sz w:val="20"/>
          <w:szCs w:val="20"/>
        </w:rPr>
      </w:pPr>
      <w:r w:rsidRPr="0080521D">
        <w:rPr>
          <w:rFonts w:ascii="Times New Roman" w:hAnsi="Times New Roman" w:cs="Times New Roman"/>
          <w:bCs/>
          <w:i/>
          <w:iCs/>
          <w:sz w:val="20"/>
          <w:szCs w:val="20"/>
        </w:rPr>
        <w:t>Impulsiveness</w:t>
      </w:r>
      <w:r w:rsidR="0030710F" w:rsidRPr="0080521D">
        <w:rPr>
          <w:rFonts w:ascii="Times New Roman" w:hAnsi="Times New Roman" w:cs="Times New Roman"/>
          <w:bCs/>
          <w:i/>
          <w:iCs/>
          <w:sz w:val="20"/>
          <w:szCs w:val="20"/>
          <w:vertAlign w:val="superscript"/>
        </w:rPr>
        <w:t>3</w:t>
      </w:r>
      <w:r w:rsidR="00496961">
        <w:rPr>
          <w:rFonts w:ascii="Times New Roman" w:hAnsi="Times New Roman" w:cs="Times New Roman"/>
          <w:bCs/>
          <w:i/>
          <w:iCs/>
          <w:sz w:val="20"/>
          <w:szCs w:val="20"/>
          <w:vertAlign w:val="superscript"/>
        </w:rPr>
        <w:t>0</w:t>
      </w:r>
    </w:p>
    <w:p w14:paraId="33E2271D" w14:textId="546880C0" w:rsidR="007F48AD" w:rsidRPr="0080521D" w:rsidRDefault="007F48AD" w:rsidP="00231AA2">
      <w:pPr>
        <w:spacing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shd w:val="clear" w:color="auto" w:fill="FFFFFF"/>
        </w:rPr>
        <w:t>I</w:t>
      </w:r>
      <w:r w:rsidRPr="0080521D">
        <w:rPr>
          <w:rFonts w:ascii="Times New Roman" w:hAnsi="Times New Roman" w:cs="Times New Roman"/>
          <w:bCs/>
          <w:sz w:val="20"/>
          <w:szCs w:val="20"/>
          <w:shd w:val="clear" w:color="auto" w:fill="FFFFFF"/>
        </w:rPr>
        <w:t>mpulsiveness</w:t>
      </w:r>
      <w:r w:rsidRPr="0080521D">
        <w:rPr>
          <w:rFonts w:ascii="Times New Roman" w:hAnsi="Times New Roman" w:cs="Times New Roman"/>
          <w:sz w:val="20"/>
          <w:szCs w:val="20"/>
          <w:shd w:val="clear" w:color="auto" w:fill="FFFFFF"/>
        </w:rPr>
        <w:t xml:space="preserve"> </w:t>
      </w:r>
      <w:r w:rsidR="006B207A" w:rsidRPr="0080521D">
        <w:rPr>
          <w:rFonts w:ascii="Times New Roman" w:hAnsi="Times New Roman" w:cs="Times New Roman"/>
          <w:sz w:val="20"/>
          <w:szCs w:val="20"/>
          <w:shd w:val="clear" w:color="auto" w:fill="FFFFFF"/>
        </w:rPr>
        <w:t>(</w:t>
      </w:r>
      <w:r w:rsidR="00F27401" w:rsidRPr="0080521D">
        <w:rPr>
          <w:rFonts w:ascii="Times New Roman" w:hAnsi="Times New Roman" w:cs="Times New Roman"/>
          <w:sz w:val="20"/>
          <w:szCs w:val="20"/>
          <w:shd w:val="clear" w:color="auto" w:fill="FFFFFF"/>
        </w:rPr>
        <w:t xml:space="preserve">or </w:t>
      </w:r>
      <w:r w:rsidR="006B207A" w:rsidRPr="0080521D">
        <w:rPr>
          <w:rFonts w:ascii="Times New Roman" w:hAnsi="Times New Roman" w:cs="Times New Roman"/>
          <w:sz w:val="20"/>
          <w:szCs w:val="20"/>
          <w:shd w:val="clear" w:color="auto" w:fill="FFFFFF"/>
        </w:rPr>
        <w:t xml:space="preserve">impulsivity) </w:t>
      </w:r>
      <w:r w:rsidRPr="0080521D">
        <w:rPr>
          <w:rFonts w:ascii="Times New Roman" w:hAnsi="Times New Roman" w:cs="Times New Roman"/>
          <w:sz w:val="20"/>
          <w:szCs w:val="20"/>
          <w:shd w:val="clear" w:color="auto" w:fill="FFFFFF"/>
        </w:rPr>
        <w:t xml:space="preserve">is </w:t>
      </w:r>
      <w:r w:rsidRPr="0080521D">
        <w:rPr>
          <w:rFonts w:ascii="Times New Roman" w:hAnsi="Times New Roman" w:cs="Times New Roman"/>
          <w:i/>
          <w:sz w:val="20"/>
          <w:szCs w:val="20"/>
          <w:shd w:val="clear" w:color="auto" w:fill="FFFFFF"/>
        </w:rPr>
        <w:t>“… behavior characterized by little or no forethought, reflection, or consideration of the consequences of an action, particularly one that involves taking risks</w:t>
      </w:r>
      <w:r w:rsidRPr="0080521D">
        <w:rPr>
          <w:rFonts w:ascii="Times New Roman" w:hAnsi="Times New Roman" w:cs="Times New Roman"/>
          <w:sz w:val="20"/>
          <w:szCs w:val="20"/>
          <w:shd w:val="clear" w:color="auto" w:fill="FFFFFF"/>
        </w:rPr>
        <w:t>” (</w:t>
      </w:r>
      <w:r w:rsidR="00FD5308" w:rsidRPr="0080521D">
        <w:rPr>
          <w:rFonts w:ascii="Times New Roman" w:hAnsi="Times New Roman" w:cs="Times New Roman"/>
          <w:sz w:val="20"/>
          <w:szCs w:val="20"/>
          <w:shd w:val="clear" w:color="auto" w:fill="FFFFFF"/>
        </w:rPr>
        <w:t>VandenBos 2007</w:t>
      </w:r>
      <w:r w:rsidR="00AE0D6F">
        <w:rPr>
          <w:rFonts w:ascii="Times New Roman" w:hAnsi="Times New Roman" w:cs="Times New Roman"/>
          <w:sz w:val="20"/>
          <w:szCs w:val="20"/>
          <w:shd w:val="clear" w:color="auto" w:fill="FFFFFF"/>
        </w:rPr>
        <w:t xml:space="preserve">, </w:t>
      </w:r>
      <w:r w:rsidR="009F3EAB">
        <w:rPr>
          <w:rFonts w:ascii="Times New Roman" w:hAnsi="Times New Roman" w:cs="Times New Roman"/>
          <w:sz w:val="20"/>
          <w:szCs w:val="20"/>
          <w:shd w:val="clear" w:color="auto" w:fill="FFFFFF"/>
        </w:rPr>
        <w:t>243</w:t>
      </w:r>
      <w:r w:rsidR="00FD5308" w:rsidRPr="0080521D">
        <w:rPr>
          <w:rFonts w:ascii="Times New Roman" w:hAnsi="Times New Roman" w:cs="Times New Roman"/>
          <w:sz w:val="20"/>
          <w:szCs w:val="20"/>
          <w:shd w:val="clear" w:color="auto" w:fill="FFFFFF"/>
        </w:rPr>
        <w:t>)</w:t>
      </w:r>
      <w:r w:rsidRPr="0080521D">
        <w:rPr>
          <w:rFonts w:ascii="Times New Roman" w:hAnsi="Times New Roman" w:cs="Times New Roman"/>
          <w:sz w:val="20"/>
          <w:szCs w:val="20"/>
          <w:shd w:val="clear" w:color="auto" w:fill="FFFFFF"/>
        </w:rPr>
        <w:t xml:space="preserve">. </w:t>
      </w:r>
      <w:r w:rsidR="009D3D03" w:rsidRPr="0080521D">
        <w:rPr>
          <w:rFonts w:ascii="Times New Roman" w:hAnsi="Times New Roman" w:cs="Times New Roman"/>
          <w:sz w:val="20"/>
          <w:szCs w:val="20"/>
          <w:shd w:val="clear" w:color="auto" w:fill="FFFFFF"/>
        </w:rPr>
        <w:t>It is</w:t>
      </w:r>
      <w:r w:rsidRPr="0080521D">
        <w:rPr>
          <w:rFonts w:ascii="Times New Roman" w:hAnsi="Times New Roman" w:cs="Times New Roman"/>
          <w:sz w:val="20"/>
          <w:szCs w:val="20"/>
          <w:shd w:val="clear" w:color="auto" w:fill="FFFFFF"/>
        </w:rPr>
        <w:t xml:space="preserve"> a decision-making style </w:t>
      </w:r>
      <w:r w:rsidRPr="0080521D">
        <w:rPr>
          <w:rFonts w:ascii="Times New Roman" w:hAnsi="Times New Roman" w:cs="Times New Roman"/>
          <w:sz w:val="20"/>
          <w:szCs w:val="20"/>
        </w:rPr>
        <w:t xml:space="preserve">that favors short-term decision horizons (Hinson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2003). Though impulsiveness may be viewed as maladaptive in the absence of resource deprivation and under conditions where short-term reward opportunities can be deferred in favor of longer-term ones, it can be viewed as adaptive under conditions where the opposite applies </w:t>
      </w:r>
      <w:r w:rsidR="009F3EAB">
        <w:rPr>
          <w:rFonts w:ascii="Times New Roman" w:hAnsi="Times New Roman" w:cs="Times New Roman"/>
          <w:sz w:val="20"/>
          <w:szCs w:val="20"/>
        </w:rPr>
        <w:t>(</w:t>
      </w:r>
      <w:r w:rsidRPr="0080521D">
        <w:rPr>
          <w:rFonts w:ascii="Times New Roman" w:hAnsi="Times New Roman" w:cs="Times New Roman"/>
          <w:sz w:val="20"/>
          <w:szCs w:val="20"/>
        </w:rPr>
        <w:t>i.e., resource deprivation is high and opportunities for rewards are scarce or unpredictable</w:t>
      </w:r>
      <w:r w:rsidR="009F3EAB">
        <w:rPr>
          <w:rFonts w:ascii="Times New Roman" w:hAnsi="Times New Roman" w:cs="Times New Roman"/>
          <w:sz w:val="20"/>
          <w:szCs w:val="20"/>
        </w:rPr>
        <w:t>)</w:t>
      </w:r>
      <w:r w:rsidRPr="0080521D">
        <w:rPr>
          <w:rFonts w:ascii="Times New Roman" w:hAnsi="Times New Roman" w:cs="Times New Roman"/>
          <w:sz w:val="20"/>
          <w:szCs w:val="20"/>
        </w:rPr>
        <w:t>. Under those circumstances, taking advantage of any reward opportunity may be more conducive to survival</w:t>
      </w:r>
      <w:r w:rsidR="00FA6468" w:rsidRPr="0080521D">
        <w:rPr>
          <w:rFonts w:ascii="Times New Roman" w:hAnsi="Times New Roman" w:cs="Times New Roman"/>
          <w:sz w:val="20"/>
          <w:szCs w:val="20"/>
        </w:rPr>
        <w:t xml:space="preserve">. </w:t>
      </w:r>
    </w:p>
    <w:p w14:paraId="06034986" w14:textId="4FCB9A4A" w:rsidR="007F48AD" w:rsidRPr="0080521D" w:rsidRDefault="007F48AD" w:rsidP="00231AA2">
      <w:pPr>
        <w:spacing w:before="100"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In a study investigating ADHD symptoms in PCOS women, Hergüner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w:t>
      </w:r>
      <w:r w:rsidR="009F3EAB">
        <w:rPr>
          <w:rFonts w:ascii="Times New Roman" w:hAnsi="Times New Roman" w:cs="Times New Roman"/>
          <w:sz w:val="20"/>
          <w:szCs w:val="20"/>
        </w:rPr>
        <w:t>(</w:t>
      </w:r>
      <w:r w:rsidRPr="0080521D">
        <w:rPr>
          <w:rFonts w:ascii="Times New Roman" w:hAnsi="Times New Roman" w:cs="Times New Roman"/>
          <w:sz w:val="20"/>
          <w:szCs w:val="20"/>
        </w:rPr>
        <w:t>2015) found that they scored higher than controls on two subscales of the Adult ADHD Self-Report Scale (ASRS): ‘Hyperactivity-Impulsivity’ (15.28 +/- 6.02 vs. 12.03 +/- 4.67, p = .009) and ‘Behavioral Problems/Impulsivity’ (4.13 +/- 4.22 vs. 2.28+/- 2.62, p= .048).</w:t>
      </w:r>
    </w:p>
    <w:p w14:paraId="47283FD1" w14:textId="5D38BB98" w:rsidR="007F48AD" w:rsidRPr="0080521D" w:rsidRDefault="007F48AD" w:rsidP="00231AA2">
      <w:pPr>
        <w:spacing w:before="100"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In a study examining the relationship between impulsiveness and biochemical parameters, Özdil-Demiryürek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w:t>
      </w:r>
      <w:r w:rsidR="009F3EAB">
        <w:rPr>
          <w:rFonts w:ascii="Times New Roman" w:hAnsi="Times New Roman" w:cs="Times New Roman"/>
          <w:sz w:val="20"/>
          <w:szCs w:val="20"/>
        </w:rPr>
        <w:t>(</w:t>
      </w:r>
      <w:r w:rsidRPr="0080521D">
        <w:rPr>
          <w:rFonts w:ascii="Times New Roman" w:hAnsi="Times New Roman" w:cs="Times New Roman"/>
          <w:sz w:val="20"/>
          <w:szCs w:val="20"/>
        </w:rPr>
        <w:t>2016)</w:t>
      </w:r>
      <w:r w:rsidR="00504120" w:rsidRPr="0080521D">
        <w:rPr>
          <w:rFonts w:ascii="Times New Roman" w:hAnsi="Times New Roman" w:cs="Times New Roman"/>
          <w:sz w:val="20"/>
          <w:szCs w:val="20"/>
          <w:vertAlign w:val="superscript"/>
        </w:rPr>
        <w:t>3</w:t>
      </w:r>
      <w:r w:rsidR="00496961">
        <w:rPr>
          <w:rFonts w:ascii="Times New Roman" w:hAnsi="Times New Roman" w:cs="Times New Roman"/>
          <w:sz w:val="20"/>
          <w:szCs w:val="20"/>
          <w:vertAlign w:val="superscript"/>
        </w:rPr>
        <w:t>1</w:t>
      </w:r>
      <w:r w:rsidRPr="0080521D">
        <w:rPr>
          <w:rFonts w:ascii="Times New Roman" w:hAnsi="Times New Roman" w:cs="Times New Roman"/>
          <w:sz w:val="20"/>
          <w:szCs w:val="20"/>
        </w:rPr>
        <w:t xml:space="preserve"> found significant direct correlations in PCOS women between total testosterone (TT) levels and total impulsiveness scores on the Barratt Impulsiveness Scale (BIS): (r = 0.24, p = 0.027), and the same between free androgen index levels (FAI) and each of two subscales of the BIS: the </w:t>
      </w:r>
      <w:r w:rsidR="00914B39">
        <w:rPr>
          <w:rFonts w:ascii="Times New Roman" w:hAnsi="Times New Roman" w:cs="Times New Roman"/>
          <w:sz w:val="20"/>
          <w:szCs w:val="20"/>
        </w:rPr>
        <w:t>‘</w:t>
      </w:r>
      <w:r w:rsidRPr="0080521D">
        <w:rPr>
          <w:rFonts w:ascii="Times New Roman" w:hAnsi="Times New Roman" w:cs="Times New Roman"/>
          <w:sz w:val="20"/>
          <w:szCs w:val="20"/>
        </w:rPr>
        <w:t>motor impulsiveness</w:t>
      </w:r>
      <w:r w:rsidR="00914B39">
        <w:rPr>
          <w:rFonts w:ascii="Times New Roman" w:hAnsi="Times New Roman" w:cs="Times New Roman"/>
          <w:sz w:val="20"/>
          <w:szCs w:val="20"/>
        </w:rPr>
        <w:t>’</w:t>
      </w:r>
      <w:r w:rsidRPr="0080521D">
        <w:rPr>
          <w:rFonts w:ascii="Times New Roman" w:hAnsi="Times New Roman" w:cs="Times New Roman"/>
          <w:sz w:val="20"/>
          <w:szCs w:val="20"/>
        </w:rPr>
        <w:t xml:space="preserve"> subscale  (r = 0.27, p = 0.015) and the ‘non-planning-related impulsiveness’ subscale (r = 0.26, p = 0.017). Statistically significant negative correlations were also found between sex hormone binding globulin (SHBG) values and total impulsiveness scores (r </w:t>
      </w:r>
      <w:r w:rsidRPr="0080521D">
        <w:rPr>
          <w:rFonts w:ascii="Times New Roman" w:hAnsi="Times New Roman" w:cs="Times New Roman"/>
          <w:sz w:val="20"/>
          <w:szCs w:val="20"/>
        </w:rPr>
        <w:lastRenderedPageBreak/>
        <w:t xml:space="preserve">= -0.256, p = 0.019), and between SHBG values and each of the subscales of ‘non-planning-related impulsiveness’ (r = -0.222, p = 0.042) and </w:t>
      </w:r>
      <w:r w:rsidR="00914B39">
        <w:rPr>
          <w:rFonts w:ascii="Times New Roman" w:hAnsi="Times New Roman" w:cs="Times New Roman"/>
          <w:sz w:val="20"/>
          <w:szCs w:val="20"/>
        </w:rPr>
        <w:t>‘</w:t>
      </w:r>
      <w:r w:rsidRPr="0080521D">
        <w:rPr>
          <w:rFonts w:ascii="Times New Roman" w:hAnsi="Times New Roman" w:cs="Times New Roman"/>
          <w:sz w:val="20"/>
          <w:szCs w:val="20"/>
        </w:rPr>
        <w:t>motor impulsiveness</w:t>
      </w:r>
      <w:r w:rsidR="00914B39">
        <w:rPr>
          <w:rFonts w:ascii="Times New Roman" w:hAnsi="Times New Roman" w:cs="Times New Roman"/>
          <w:sz w:val="20"/>
          <w:szCs w:val="20"/>
        </w:rPr>
        <w:t>’</w:t>
      </w:r>
      <w:r w:rsidRPr="0080521D">
        <w:rPr>
          <w:rFonts w:ascii="Times New Roman" w:hAnsi="Times New Roman" w:cs="Times New Roman"/>
          <w:sz w:val="20"/>
          <w:szCs w:val="20"/>
        </w:rPr>
        <w:t xml:space="preserve"> (r = -0.221, p = 0.044).</w:t>
      </w:r>
    </w:p>
    <w:p w14:paraId="6E252038" w14:textId="0B47E551" w:rsidR="007F48AD" w:rsidRPr="0080521D" w:rsidRDefault="007F48AD" w:rsidP="00231AA2">
      <w:pPr>
        <w:spacing w:before="100"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The biochemical parameters of insulin and DHEA-S</w:t>
      </w:r>
      <w:r w:rsidR="004F10D8" w:rsidRPr="0080521D">
        <w:rPr>
          <w:rFonts w:ascii="Times New Roman" w:hAnsi="Times New Roman" w:cs="Times New Roman"/>
          <w:sz w:val="20"/>
          <w:szCs w:val="20"/>
          <w:vertAlign w:val="superscript"/>
        </w:rPr>
        <w:t>3</w:t>
      </w:r>
      <w:r w:rsidR="00A87B68">
        <w:rPr>
          <w:rFonts w:ascii="Times New Roman" w:hAnsi="Times New Roman" w:cs="Times New Roman"/>
          <w:sz w:val="20"/>
          <w:szCs w:val="20"/>
          <w:vertAlign w:val="superscript"/>
        </w:rPr>
        <w:t>2</w:t>
      </w:r>
      <w:r w:rsidRPr="0080521D">
        <w:rPr>
          <w:rFonts w:ascii="Times New Roman" w:hAnsi="Times New Roman" w:cs="Times New Roman"/>
          <w:sz w:val="20"/>
          <w:szCs w:val="20"/>
        </w:rPr>
        <w:t xml:space="preserve"> evidenced significant correlations as well. Insulin and insulin resistance (IR) levels were directly correlated with scores on the ‘non-planning-related impulsiveness’ subscale (r = 0.26, p = 0.018; and r = 0.26, p = 0.019, respectively) and DHEA-S directly correlated with scores on the total impulsiveness subscale (r = 0.219, p = 0.045) and the ‘attentional impulsiveness’ subscale (r = 0.252, p = 0.021). Özdil-Demiryürek et al. (2016) concluded that PCOS women with high DHEA-S levels </w:t>
      </w:r>
      <w:r w:rsidR="005539CC">
        <w:rPr>
          <w:rFonts w:ascii="Times New Roman" w:hAnsi="Times New Roman" w:cs="Times New Roman"/>
          <w:sz w:val="20"/>
          <w:szCs w:val="20"/>
        </w:rPr>
        <w:t>experienced more attention</w:t>
      </w:r>
      <w:r w:rsidR="00C77559">
        <w:rPr>
          <w:rFonts w:ascii="Times New Roman" w:hAnsi="Times New Roman" w:cs="Times New Roman"/>
          <w:sz w:val="20"/>
          <w:szCs w:val="20"/>
        </w:rPr>
        <w:t xml:space="preserve"> problems and </w:t>
      </w:r>
      <w:r w:rsidRPr="0080521D">
        <w:rPr>
          <w:rFonts w:ascii="Times New Roman" w:hAnsi="Times New Roman" w:cs="Times New Roman"/>
          <w:sz w:val="20"/>
          <w:szCs w:val="20"/>
        </w:rPr>
        <w:t>made more impulsive decisions</w:t>
      </w:r>
      <w:r w:rsidR="004F10D8" w:rsidRPr="0080521D">
        <w:rPr>
          <w:rFonts w:ascii="Times New Roman" w:hAnsi="Times New Roman" w:cs="Times New Roman"/>
          <w:sz w:val="20"/>
          <w:szCs w:val="20"/>
          <w:vertAlign w:val="superscript"/>
        </w:rPr>
        <w:t>3</w:t>
      </w:r>
      <w:r w:rsidR="00A87B68">
        <w:rPr>
          <w:rFonts w:ascii="Times New Roman" w:hAnsi="Times New Roman" w:cs="Times New Roman"/>
          <w:sz w:val="20"/>
          <w:szCs w:val="20"/>
          <w:vertAlign w:val="superscript"/>
        </w:rPr>
        <w:t>3</w:t>
      </w:r>
      <w:r w:rsidR="00C77559">
        <w:rPr>
          <w:rFonts w:ascii="Times New Roman" w:hAnsi="Times New Roman" w:cs="Times New Roman"/>
          <w:sz w:val="20"/>
          <w:szCs w:val="20"/>
        </w:rPr>
        <w:t>.</w:t>
      </w:r>
    </w:p>
    <w:p w14:paraId="253DE4A0" w14:textId="77777777" w:rsidR="004F3239" w:rsidRPr="0080521D" w:rsidRDefault="004F3239" w:rsidP="00231AA2">
      <w:pPr>
        <w:spacing w:before="100" w:after="100" w:line="240" w:lineRule="auto"/>
        <w:jc w:val="both"/>
        <w:rPr>
          <w:rFonts w:ascii="Times New Roman" w:hAnsi="Times New Roman" w:cs="Times New Roman"/>
          <w:bCs/>
          <w:i/>
          <w:iCs/>
          <w:sz w:val="20"/>
          <w:szCs w:val="20"/>
        </w:rPr>
      </w:pPr>
      <w:r w:rsidRPr="0080521D">
        <w:rPr>
          <w:rFonts w:ascii="Times New Roman" w:hAnsi="Times New Roman" w:cs="Times New Roman"/>
          <w:bCs/>
          <w:i/>
          <w:iCs/>
          <w:sz w:val="20"/>
          <w:szCs w:val="20"/>
        </w:rPr>
        <w:t xml:space="preserve">Criminal behavior </w:t>
      </w:r>
    </w:p>
    <w:p w14:paraId="5278A1F8" w14:textId="3A6F2B84" w:rsidR="004F3239" w:rsidRPr="0080521D" w:rsidRDefault="004F3239" w:rsidP="00231AA2">
      <w:pPr>
        <w:spacing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From data gathered from Swedish population-based registers (n = 12,730</w:t>
      </w:r>
      <w:r w:rsidR="00914B39">
        <w:rPr>
          <w:rFonts w:ascii="Times New Roman" w:hAnsi="Times New Roman" w:cs="Times New Roman"/>
          <w:sz w:val="20"/>
          <w:szCs w:val="20"/>
        </w:rPr>
        <w:t xml:space="preserve"> (PCOS)</w:t>
      </w:r>
      <w:r w:rsidRPr="0080521D">
        <w:rPr>
          <w:rFonts w:ascii="Times New Roman" w:hAnsi="Times New Roman" w:cs="Times New Roman"/>
          <w:sz w:val="20"/>
          <w:szCs w:val="20"/>
        </w:rPr>
        <w:t>; n = 1,273,000</w:t>
      </w:r>
      <w:r w:rsidR="00914B39">
        <w:rPr>
          <w:rFonts w:ascii="Times New Roman" w:hAnsi="Times New Roman" w:cs="Times New Roman"/>
          <w:sz w:val="20"/>
          <w:szCs w:val="20"/>
        </w:rPr>
        <w:t xml:space="preserve"> (controls)</w:t>
      </w:r>
      <w:r w:rsidRPr="0080521D">
        <w:rPr>
          <w:rFonts w:ascii="Times New Roman" w:hAnsi="Times New Roman" w:cs="Times New Roman"/>
          <w:sz w:val="20"/>
          <w:szCs w:val="20"/>
        </w:rPr>
        <w:t>), the odds of women with PCOS committing any crime are 1.16 higher than that of controls (OR: 1.16; 95% CI: 1.10</w:t>
      </w:r>
      <w:r w:rsidR="00914B39">
        <w:rPr>
          <w:rFonts w:ascii="Times New Roman" w:hAnsi="Times New Roman" w:cs="Times New Roman"/>
          <w:sz w:val="20"/>
          <w:szCs w:val="20"/>
        </w:rPr>
        <w:t xml:space="preserve"> to </w:t>
      </w:r>
      <w:r w:rsidRPr="0080521D">
        <w:rPr>
          <w:rFonts w:ascii="Times New Roman" w:hAnsi="Times New Roman" w:cs="Times New Roman"/>
          <w:sz w:val="20"/>
          <w:szCs w:val="20"/>
        </w:rPr>
        <w:t>1.23, p = 0.05) and 1.27 higher for violent crime compared to controls (OR: 1.27; 95% CI: 1.08</w:t>
      </w:r>
      <w:r w:rsidR="00914B39">
        <w:rPr>
          <w:rFonts w:ascii="Times New Roman" w:hAnsi="Times New Roman" w:cs="Times New Roman"/>
          <w:sz w:val="20"/>
          <w:szCs w:val="20"/>
        </w:rPr>
        <w:t xml:space="preserve"> to </w:t>
      </w:r>
      <w:r w:rsidRPr="0080521D">
        <w:rPr>
          <w:rFonts w:ascii="Times New Roman" w:hAnsi="Times New Roman" w:cs="Times New Roman"/>
          <w:sz w:val="20"/>
          <w:szCs w:val="20"/>
        </w:rPr>
        <w:t xml:space="preserve">1.49, p = 0.05) (Ohlsson-Gotby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2015)</w:t>
      </w:r>
      <w:r w:rsidR="008941D2" w:rsidRPr="0080521D">
        <w:rPr>
          <w:rFonts w:ascii="Times New Roman" w:hAnsi="Times New Roman" w:cs="Times New Roman"/>
          <w:sz w:val="20"/>
          <w:szCs w:val="20"/>
        </w:rPr>
        <w:t xml:space="preserve">. </w:t>
      </w:r>
    </w:p>
    <w:p w14:paraId="215208BF" w14:textId="6F294751" w:rsidR="007F48AD" w:rsidRPr="0080521D" w:rsidRDefault="007F48AD" w:rsidP="00231AA2">
      <w:pPr>
        <w:spacing w:before="100" w:after="100" w:line="240" w:lineRule="auto"/>
        <w:jc w:val="both"/>
        <w:rPr>
          <w:rFonts w:ascii="Times New Roman" w:hAnsi="Times New Roman" w:cs="Times New Roman"/>
          <w:bCs/>
          <w:i/>
          <w:iCs/>
          <w:sz w:val="20"/>
          <w:szCs w:val="20"/>
        </w:rPr>
      </w:pPr>
      <w:r w:rsidRPr="0080521D">
        <w:rPr>
          <w:rFonts w:ascii="Times New Roman" w:hAnsi="Times New Roman" w:cs="Times New Roman"/>
          <w:bCs/>
          <w:i/>
          <w:iCs/>
          <w:sz w:val="20"/>
          <w:szCs w:val="20"/>
        </w:rPr>
        <w:t>Anxiety</w:t>
      </w:r>
      <w:r w:rsidR="00504120" w:rsidRPr="0080521D">
        <w:rPr>
          <w:rFonts w:ascii="Times New Roman" w:hAnsi="Times New Roman" w:cs="Times New Roman"/>
          <w:bCs/>
          <w:i/>
          <w:iCs/>
          <w:sz w:val="20"/>
          <w:szCs w:val="20"/>
          <w:vertAlign w:val="superscript"/>
        </w:rPr>
        <w:t>3</w:t>
      </w:r>
      <w:r w:rsidR="00A87B68">
        <w:rPr>
          <w:rFonts w:ascii="Times New Roman" w:hAnsi="Times New Roman" w:cs="Times New Roman"/>
          <w:bCs/>
          <w:i/>
          <w:iCs/>
          <w:sz w:val="20"/>
          <w:szCs w:val="20"/>
          <w:vertAlign w:val="superscript"/>
        </w:rPr>
        <w:t>4</w:t>
      </w:r>
    </w:p>
    <w:p w14:paraId="6326395D" w14:textId="1143DBBB" w:rsidR="007F48AD" w:rsidRPr="0080521D" w:rsidRDefault="007F48AD" w:rsidP="00231AA2">
      <w:pPr>
        <w:spacing w:after="0" w:line="240" w:lineRule="auto"/>
        <w:ind w:firstLine="720"/>
        <w:jc w:val="both"/>
        <w:rPr>
          <w:rFonts w:ascii="Times New Roman" w:hAnsi="Times New Roman" w:cs="Times New Roman"/>
          <w:sz w:val="20"/>
          <w:szCs w:val="20"/>
          <w:shd w:val="clear" w:color="auto" w:fill="FFFFFF"/>
        </w:rPr>
      </w:pPr>
      <w:r w:rsidRPr="0080521D">
        <w:rPr>
          <w:rFonts w:ascii="Times New Roman" w:hAnsi="Times New Roman" w:cs="Times New Roman"/>
          <w:sz w:val="20"/>
          <w:szCs w:val="20"/>
          <w:shd w:val="clear" w:color="auto" w:fill="FFFFFF"/>
        </w:rPr>
        <w:t xml:space="preserve">Anxiety is “… </w:t>
      </w:r>
      <w:r w:rsidRPr="0080521D">
        <w:rPr>
          <w:rFonts w:ascii="Times New Roman" w:hAnsi="Times New Roman" w:cs="Times New Roman"/>
          <w:i/>
          <w:sz w:val="20"/>
          <w:szCs w:val="20"/>
          <w:shd w:val="clear" w:color="auto" w:fill="FFFFFF"/>
        </w:rPr>
        <w:t xml:space="preserve">an emotion characterized by apprehension and somatic symptoms of tension in which an individual anticipates impending danger, catastrophe, or misfortune.” It is “…considered a future-oriented, long-acting response broadly focused on a diffuse threat.” </w:t>
      </w:r>
      <w:r w:rsidR="00AE64A2" w:rsidRPr="0080521D">
        <w:rPr>
          <w:rFonts w:ascii="Times New Roman" w:hAnsi="Times New Roman" w:cs="Times New Roman"/>
          <w:sz w:val="20"/>
          <w:szCs w:val="20"/>
          <w:shd w:val="clear" w:color="auto" w:fill="FFFFFF"/>
        </w:rPr>
        <w:t>(</w:t>
      </w:r>
      <w:r w:rsidR="00FD6E6A" w:rsidRPr="0080521D">
        <w:rPr>
          <w:rFonts w:ascii="Times New Roman" w:hAnsi="Times New Roman" w:cs="Times New Roman"/>
          <w:sz w:val="20"/>
          <w:szCs w:val="20"/>
          <w:shd w:val="clear" w:color="auto" w:fill="FFFFFF"/>
        </w:rPr>
        <w:t>APA Dictionary 2019</w:t>
      </w:r>
      <w:r w:rsidR="004F6359">
        <w:rPr>
          <w:rFonts w:ascii="Times New Roman" w:hAnsi="Times New Roman" w:cs="Times New Roman"/>
          <w:sz w:val="20"/>
          <w:szCs w:val="20"/>
          <w:shd w:val="clear" w:color="auto" w:fill="FFFFFF"/>
        </w:rPr>
        <w:t xml:space="preserve">, </w:t>
      </w:r>
      <w:r w:rsidR="009F3EAB">
        <w:rPr>
          <w:rFonts w:ascii="Times New Roman" w:hAnsi="Times New Roman" w:cs="Times New Roman"/>
          <w:sz w:val="20"/>
          <w:szCs w:val="20"/>
          <w:shd w:val="clear" w:color="auto" w:fill="FFFFFF"/>
        </w:rPr>
        <w:t>66</w:t>
      </w:r>
      <w:r w:rsidR="00FD6E6A" w:rsidRPr="0080521D">
        <w:rPr>
          <w:rFonts w:ascii="Times New Roman" w:hAnsi="Times New Roman" w:cs="Times New Roman"/>
          <w:sz w:val="20"/>
          <w:szCs w:val="20"/>
          <w:shd w:val="clear" w:color="auto" w:fill="FFFFFF"/>
        </w:rPr>
        <w:t xml:space="preserve">). </w:t>
      </w:r>
      <w:r w:rsidRPr="0080521D">
        <w:rPr>
          <w:rFonts w:ascii="Times New Roman" w:hAnsi="Times New Roman" w:cs="Times New Roman"/>
          <w:sz w:val="20"/>
          <w:szCs w:val="20"/>
          <w:shd w:val="clear" w:color="auto" w:fill="FFFFFF"/>
        </w:rPr>
        <w:t xml:space="preserve">Threat is defined as the presence (or potential presence) of </w:t>
      </w:r>
      <w:r w:rsidRPr="0080521D">
        <w:rPr>
          <w:rFonts w:ascii="Times New Roman" w:hAnsi="Times New Roman" w:cs="Times New Roman"/>
          <w:sz w:val="20"/>
          <w:szCs w:val="20"/>
        </w:rPr>
        <w:t>predators, resource scarcity (e.g., famine), social rejection, social stigma, illness, open spaces, strangers, and the unspoken negative intentions of others (Nettle 200</w:t>
      </w:r>
      <w:r w:rsidR="00A711F7" w:rsidRPr="0080521D">
        <w:rPr>
          <w:rFonts w:ascii="Times New Roman" w:hAnsi="Times New Roman" w:cs="Times New Roman"/>
          <w:sz w:val="20"/>
          <w:szCs w:val="20"/>
        </w:rPr>
        <w:t>7</w:t>
      </w:r>
      <w:r w:rsidRPr="0080521D">
        <w:rPr>
          <w:rFonts w:ascii="Times New Roman" w:hAnsi="Times New Roman" w:cs="Times New Roman"/>
          <w:sz w:val="20"/>
          <w:szCs w:val="20"/>
        </w:rPr>
        <w:t xml:space="preserve">). </w:t>
      </w:r>
    </w:p>
    <w:p w14:paraId="4C73848B" w14:textId="773C0FFE" w:rsidR="007F48AD" w:rsidRPr="0080521D" w:rsidRDefault="007F48AD" w:rsidP="00231AA2">
      <w:pPr>
        <w:spacing w:before="100"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Anxiety in evolutionary terms relates to the detection and identification of threat signals and to the management of the associated error. Anxiety functions much like a smoke alarm (Nesse 2005). Under the analogy, missing </w:t>
      </w:r>
      <w:r w:rsidR="00FA6468" w:rsidRPr="0080521D">
        <w:rPr>
          <w:rFonts w:ascii="Times New Roman" w:hAnsi="Times New Roman" w:cs="Times New Roman"/>
          <w:sz w:val="20"/>
          <w:szCs w:val="20"/>
        </w:rPr>
        <w:t>threats</w:t>
      </w:r>
      <w:r w:rsidRPr="0080521D">
        <w:rPr>
          <w:rFonts w:ascii="Times New Roman" w:hAnsi="Times New Roman" w:cs="Times New Roman"/>
          <w:sz w:val="20"/>
          <w:szCs w:val="20"/>
        </w:rPr>
        <w:t xml:space="preserve"> and dangers (</w:t>
      </w:r>
      <w:r w:rsidR="00914B39">
        <w:rPr>
          <w:rFonts w:ascii="Times New Roman" w:hAnsi="Times New Roman" w:cs="Times New Roman"/>
          <w:sz w:val="20"/>
          <w:szCs w:val="20"/>
        </w:rPr>
        <w:t>i.e</w:t>
      </w:r>
      <w:r w:rsidR="00232E23">
        <w:rPr>
          <w:rFonts w:ascii="Times New Roman" w:hAnsi="Times New Roman" w:cs="Times New Roman"/>
          <w:sz w:val="20"/>
          <w:szCs w:val="20"/>
        </w:rPr>
        <w:t xml:space="preserve">., </w:t>
      </w:r>
      <w:r w:rsidRPr="0080521D">
        <w:rPr>
          <w:rFonts w:ascii="Times New Roman" w:hAnsi="Times New Roman" w:cs="Times New Roman"/>
          <w:sz w:val="20"/>
          <w:szCs w:val="20"/>
        </w:rPr>
        <w:t>an actual fire) have higher fitness costs than identifying threats and dangers that are in fact not real (</w:t>
      </w:r>
      <w:r w:rsidR="00914B39">
        <w:rPr>
          <w:rFonts w:ascii="Times New Roman" w:hAnsi="Times New Roman" w:cs="Times New Roman"/>
          <w:sz w:val="20"/>
          <w:szCs w:val="20"/>
        </w:rPr>
        <w:t xml:space="preserve">i.e., </w:t>
      </w:r>
      <w:r w:rsidRPr="0080521D">
        <w:rPr>
          <w:rFonts w:ascii="Times New Roman" w:hAnsi="Times New Roman" w:cs="Times New Roman"/>
          <w:sz w:val="20"/>
          <w:szCs w:val="20"/>
        </w:rPr>
        <w:t>false alarms). Were the anxiety system to err, it would be biased, because of the error asymmetry, towards the less expensive error (false alarms) and biased against false negatives (not alarming during an actual fire). Sustaining multiple false alarms is less expensive than missing a fire (a false negative). Essentially, the anxiety system is designed not to miss true positives and be biased, when it errs, against false negatives. By analogy, heightened sensitivity of the alarm is equivalent to heightened anxiety and a bias towards identifying more non-threats as actual threats.</w:t>
      </w:r>
    </w:p>
    <w:p w14:paraId="06B0A795" w14:textId="2A82411A" w:rsidR="007F48AD" w:rsidRPr="0080521D" w:rsidRDefault="007F48AD" w:rsidP="00231AA2">
      <w:pPr>
        <w:spacing w:before="100"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In their meta-analysis of nine studies looking at anxiety symptoms in women with PCOS, Cooney et al. (2017) reported that they were almost 6 times more likely than controls to experience anxiety symptoms (Odds ratio (OR): 5.62; 95% CI: 3.22</w:t>
      </w:r>
      <w:r w:rsidR="00914B39">
        <w:rPr>
          <w:rFonts w:ascii="Times New Roman" w:hAnsi="Times New Roman" w:cs="Times New Roman"/>
          <w:sz w:val="20"/>
          <w:szCs w:val="20"/>
        </w:rPr>
        <w:t xml:space="preserve"> to </w:t>
      </w:r>
      <w:r w:rsidRPr="0080521D">
        <w:rPr>
          <w:rFonts w:ascii="Times New Roman" w:hAnsi="Times New Roman" w:cs="Times New Roman"/>
          <w:sz w:val="20"/>
          <w:szCs w:val="20"/>
        </w:rPr>
        <w:t>9.80, p &lt; 0.05) and 6.55 times more likely to experience moderate to severe anxiety symptoms (OR: 6.55; 95% CI: 2.87, 14.93, p &lt; 0.05; five studies). The median prevalence of any anxiety symptom was 41.9% (</w:t>
      </w:r>
      <w:r w:rsidRPr="0080521D">
        <w:rPr>
          <w:rFonts w:ascii="Times New Roman" w:hAnsi="Times New Roman" w:cs="Times New Roman"/>
          <w:sz w:val="20"/>
          <w:szCs w:val="20"/>
          <w:shd w:val="clear" w:color="auto" w:fill="FFFFFF"/>
        </w:rPr>
        <w:t>Interquartile range (</w:t>
      </w:r>
      <w:r w:rsidRPr="0080521D">
        <w:rPr>
          <w:rFonts w:ascii="Times New Roman" w:hAnsi="Times New Roman" w:cs="Times New Roman"/>
          <w:sz w:val="20"/>
          <w:szCs w:val="20"/>
        </w:rPr>
        <w:t>IQR): 13.6, 52.0%) in the PCOS group and 8.5% (IQR: 3.3, 12.0%) in the control group.</w:t>
      </w:r>
    </w:p>
    <w:p w14:paraId="4219C5DD" w14:textId="6D26B592" w:rsidR="007F48AD" w:rsidRPr="0080521D" w:rsidRDefault="007F48AD" w:rsidP="00231AA2">
      <w:pPr>
        <w:spacing w:before="100" w:after="100" w:line="240" w:lineRule="auto"/>
        <w:jc w:val="both"/>
        <w:rPr>
          <w:rFonts w:ascii="Times New Roman" w:hAnsi="Times New Roman" w:cs="Times New Roman"/>
          <w:bCs/>
          <w:i/>
          <w:iCs/>
          <w:sz w:val="20"/>
          <w:szCs w:val="20"/>
        </w:rPr>
      </w:pPr>
      <w:r w:rsidRPr="0080521D">
        <w:rPr>
          <w:rFonts w:ascii="Times New Roman" w:hAnsi="Times New Roman" w:cs="Times New Roman"/>
          <w:bCs/>
          <w:i/>
          <w:iCs/>
          <w:sz w:val="20"/>
          <w:szCs w:val="20"/>
        </w:rPr>
        <w:t>Anger</w:t>
      </w:r>
      <w:r w:rsidR="003E5258" w:rsidRPr="0080521D">
        <w:rPr>
          <w:rFonts w:ascii="Times New Roman" w:hAnsi="Times New Roman" w:cs="Times New Roman"/>
          <w:bCs/>
          <w:i/>
          <w:iCs/>
          <w:sz w:val="20"/>
          <w:szCs w:val="20"/>
          <w:vertAlign w:val="superscript"/>
        </w:rPr>
        <w:t>3</w:t>
      </w:r>
      <w:r w:rsidR="003859C0">
        <w:rPr>
          <w:rFonts w:ascii="Times New Roman" w:hAnsi="Times New Roman" w:cs="Times New Roman"/>
          <w:bCs/>
          <w:i/>
          <w:iCs/>
          <w:sz w:val="20"/>
          <w:szCs w:val="20"/>
          <w:vertAlign w:val="superscript"/>
        </w:rPr>
        <w:t>5</w:t>
      </w:r>
    </w:p>
    <w:p w14:paraId="71C874BE" w14:textId="2955F74F" w:rsidR="007F48AD" w:rsidRPr="0080521D" w:rsidRDefault="007F48AD" w:rsidP="00231AA2">
      <w:pPr>
        <w:spacing w:after="0" w:line="240" w:lineRule="auto"/>
        <w:ind w:firstLine="720"/>
        <w:jc w:val="both"/>
        <w:rPr>
          <w:rFonts w:ascii="Times New Roman" w:hAnsi="Times New Roman" w:cs="Times New Roman"/>
          <w:sz w:val="20"/>
          <w:szCs w:val="20"/>
          <w:shd w:val="clear" w:color="auto" w:fill="FFFFFF"/>
        </w:rPr>
      </w:pPr>
      <w:r w:rsidRPr="0080521D">
        <w:rPr>
          <w:rFonts w:ascii="Times New Roman" w:hAnsi="Times New Roman" w:cs="Times New Roman"/>
          <w:sz w:val="20"/>
          <w:szCs w:val="20"/>
        </w:rPr>
        <w:t>Anger is defined as “…</w:t>
      </w:r>
      <w:r w:rsidRPr="0080521D">
        <w:rPr>
          <w:rFonts w:ascii="Times New Roman" w:hAnsi="Times New Roman" w:cs="Times New Roman"/>
          <w:i/>
          <w:sz w:val="20"/>
          <w:szCs w:val="20"/>
          <w:shd w:val="clear" w:color="auto" w:fill="FFFFFF"/>
        </w:rPr>
        <w:t>an emotion characterized by tension and hostility arising from frustration, real or imagined injury by another, or perceived injustice</w:t>
      </w:r>
      <w:r w:rsidR="008D4F22" w:rsidRPr="0080521D">
        <w:rPr>
          <w:rFonts w:ascii="Times New Roman" w:hAnsi="Times New Roman" w:cs="Times New Roman"/>
          <w:sz w:val="20"/>
          <w:szCs w:val="20"/>
          <w:shd w:val="clear" w:color="auto" w:fill="FFFFFF"/>
        </w:rPr>
        <w:t>…</w:t>
      </w:r>
      <w:r w:rsidRPr="0080521D">
        <w:rPr>
          <w:rFonts w:ascii="Times New Roman" w:hAnsi="Times New Roman" w:cs="Times New Roman"/>
          <w:sz w:val="20"/>
          <w:szCs w:val="20"/>
          <w:shd w:val="clear" w:color="auto" w:fill="FFFFFF"/>
        </w:rPr>
        <w:t>”</w:t>
      </w:r>
      <w:r w:rsidR="008D4F22" w:rsidRPr="0080521D">
        <w:rPr>
          <w:rFonts w:ascii="Times New Roman" w:hAnsi="Times New Roman" w:cs="Times New Roman"/>
          <w:sz w:val="20"/>
          <w:szCs w:val="20"/>
          <w:shd w:val="clear" w:color="auto" w:fill="FFFFFF"/>
        </w:rPr>
        <w:t xml:space="preserve"> </w:t>
      </w:r>
      <w:r w:rsidR="00E1127D" w:rsidRPr="0080521D">
        <w:rPr>
          <w:rFonts w:ascii="Times New Roman" w:hAnsi="Times New Roman" w:cs="Times New Roman"/>
          <w:sz w:val="20"/>
          <w:szCs w:val="20"/>
          <w:shd w:val="clear" w:color="auto" w:fill="FFFFFF"/>
        </w:rPr>
        <w:t>(APA Dictionary 2019</w:t>
      </w:r>
      <w:r w:rsidR="00AE0D6F">
        <w:rPr>
          <w:rFonts w:ascii="Times New Roman" w:hAnsi="Times New Roman" w:cs="Times New Roman"/>
          <w:sz w:val="20"/>
          <w:szCs w:val="20"/>
          <w:shd w:val="clear" w:color="auto" w:fill="FFFFFF"/>
        </w:rPr>
        <w:t xml:space="preserve">, </w:t>
      </w:r>
      <w:r w:rsidR="00232E23">
        <w:rPr>
          <w:rFonts w:ascii="Times New Roman" w:hAnsi="Times New Roman" w:cs="Times New Roman"/>
          <w:sz w:val="20"/>
          <w:szCs w:val="20"/>
          <w:shd w:val="clear" w:color="auto" w:fill="FFFFFF"/>
        </w:rPr>
        <w:t>55</w:t>
      </w:r>
      <w:r w:rsidR="00E1127D" w:rsidRPr="0080521D">
        <w:rPr>
          <w:rFonts w:ascii="Times New Roman" w:hAnsi="Times New Roman" w:cs="Times New Roman"/>
          <w:sz w:val="20"/>
          <w:szCs w:val="20"/>
          <w:shd w:val="clear" w:color="auto" w:fill="FFFFFF"/>
        </w:rPr>
        <w:t>).</w:t>
      </w:r>
      <w:r w:rsidRPr="0080521D">
        <w:rPr>
          <w:rFonts w:ascii="Times New Roman" w:hAnsi="Times New Roman" w:cs="Times New Roman"/>
          <w:sz w:val="20"/>
          <w:szCs w:val="20"/>
          <w:shd w:val="clear" w:color="auto" w:fill="FFFFFF"/>
        </w:rPr>
        <w:t xml:space="preserve"> It may motivate behavior designed </w:t>
      </w:r>
      <w:r w:rsidR="008D4F22" w:rsidRPr="0080521D">
        <w:rPr>
          <w:rFonts w:ascii="Times New Roman" w:hAnsi="Times New Roman" w:cs="Times New Roman"/>
          <w:sz w:val="20"/>
          <w:szCs w:val="20"/>
          <w:shd w:val="clear" w:color="auto" w:fill="FFFFFF"/>
        </w:rPr>
        <w:t>“...</w:t>
      </w:r>
      <w:r w:rsidR="009E3089" w:rsidRPr="0080521D">
        <w:rPr>
          <w:rFonts w:ascii="Times New Roman" w:hAnsi="Times New Roman" w:cs="Times New Roman"/>
          <w:sz w:val="20"/>
          <w:szCs w:val="20"/>
          <w:shd w:val="clear" w:color="auto" w:fill="FFFFFF"/>
        </w:rPr>
        <w:t xml:space="preserve"> </w:t>
      </w:r>
      <w:r w:rsidRPr="0080521D">
        <w:rPr>
          <w:rFonts w:ascii="Times New Roman" w:hAnsi="Times New Roman" w:cs="Times New Roman"/>
          <w:i/>
          <w:iCs/>
          <w:sz w:val="20"/>
          <w:szCs w:val="20"/>
          <w:shd w:val="clear" w:color="auto" w:fill="FFFFFF"/>
        </w:rPr>
        <w:t>to remove the object of the anger (e.g., determined action) or express the emotion itself (e.g., swearing)</w:t>
      </w:r>
      <w:r w:rsidR="002C46B7" w:rsidRPr="0080521D">
        <w:rPr>
          <w:rFonts w:ascii="Times New Roman" w:hAnsi="Times New Roman" w:cs="Times New Roman"/>
          <w:sz w:val="20"/>
          <w:szCs w:val="20"/>
          <w:shd w:val="clear" w:color="auto" w:fill="FFFFFF"/>
        </w:rPr>
        <w:t>”</w:t>
      </w:r>
      <w:r w:rsidR="003B391B" w:rsidRPr="0080521D">
        <w:rPr>
          <w:rFonts w:ascii="Times New Roman" w:hAnsi="Times New Roman" w:cs="Times New Roman"/>
          <w:sz w:val="20"/>
          <w:szCs w:val="20"/>
          <w:shd w:val="clear" w:color="auto" w:fill="FFFFFF"/>
        </w:rPr>
        <w:t xml:space="preserve"> </w:t>
      </w:r>
      <w:r w:rsidR="00B816BC" w:rsidRPr="0080521D">
        <w:rPr>
          <w:rFonts w:ascii="Times New Roman" w:hAnsi="Times New Roman" w:cs="Times New Roman"/>
          <w:sz w:val="20"/>
          <w:szCs w:val="20"/>
          <w:shd w:val="clear" w:color="auto" w:fill="FFFFFF"/>
        </w:rPr>
        <w:t>(APA Dictionary 2019</w:t>
      </w:r>
      <w:r w:rsidR="00AE0D6F">
        <w:rPr>
          <w:rFonts w:ascii="Times New Roman" w:hAnsi="Times New Roman" w:cs="Times New Roman"/>
          <w:sz w:val="20"/>
          <w:szCs w:val="20"/>
          <w:shd w:val="clear" w:color="auto" w:fill="FFFFFF"/>
        </w:rPr>
        <w:t xml:space="preserve">, </w:t>
      </w:r>
      <w:r w:rsidR="00232E23">
        <w:rPr>
          <w:rFonts w:ascii="Times New Roman" w:hAnsi="Times New Roman" w:cs="Times New Roman"/>
          <w:sz w:val="20"/>
          <w:szCs w:val="20"/>
          <w:shd w:val="clear" w:color="auto" w:fill="FFFFFF"/>
        </w:rPr>
        <w:t>55</w:t>
      </w:r>
      <w:r w:rsidR="00B816BC" w:rsidRPr="0080521D">
        <w:rPr>
          <w:rFonts w:ascii="Times New Roman" w:hAnsi="Times New Roman" w:cs="Times New Roman"/>
          <w:sz w:val="20"/>
          <w:szCs w:val="20"/>
          <w:shd w:val="clear" w:color="auto" w:fill="FFFFFF"/>
        </w:rPr>
        <w:t>).</w:t>
      </w:r>
    </w:p>
    <w:p w14:paraId="3233857A" w14:textId="2119DC37" w:rsidR="007F48AD" w:rsidRPr="0080521D" w:rsidRDefault="007F48AD" w:rsidP="00231AA2">
      <w:pPr>
        <w:spacing w:before="100"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shd w:val="clear" w:color="auto" w:fill="FFFFFF"/>
        </w:rPr>
        <w:t xml:space="preserve">Relative to controls, women with PCOS </w:t>
      </w:r>
      <w:r w:rsidRPr="0080521D">
        <w:rPr>
          <w:rFonts w:ascii="Times New Roman" w:hAnsi="Times New Roman" w:cs="Times New Roman"/>
          <w:sz w:val="20"/>
          <w:szCs w:val="20"/>
        </w:rPr>
        <w:t xml:space="preserve">exhibit more anger (2.82 (+/-1.36) vs. 2.02 (+/-1.36) 2.69, p &lt;.05- 2 tailed) and a greater tendency to suppress it (1.41 (+/- 0.96) vs. 0.84 (+/- 0.92) 4.71, p &lt;.05- 2 tailed) (Barry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2011b). Further, their trait anger scores directly correlated with DHEA-S, insulin, insulin resistance (IR), total testosterone</w:t>
      </w:r>
      <w:r w:rsidR="00914B39">
        <w:rPr>
          <w:rFonts w:ascii="Times New Roman" w:hAnsi="Times New Roman" w:cs="Times New Roman"/>
          <w:sz w:val="20"/>
          <w:szCs w:val="20"/>
        </w:rPr>
        <w:t xml:space="preserve"> (TT)</w:t>
      </w:r>
      <w:r w:rsidRPr="0080521D">
        <w:rPr>
          <w:rFonts w:ascii="Times New Roman" w:hAnsi="Times New Roman" w:cs="Times New Roman"/>
          <w:sz w:val="20"/>
          <w:szCs w:val="20"/>
        </w:rPr>
        <w:t xml:space="preserve">, and FAI (respectively, r= 0.272, p = 0.012; r=0.221, p = 0.044; r=0.226, p = 0.039; r=0.408, p &lt; 0.001, and r=0.507, p &lt; 0.001) (Özdil-Demiryürek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2016). Özdil-Demiryürek et al. (2016) also found a statistically significant negative correlation between trait anger scores and SHBG (r= - 0.293, p = 0.007) and anger control scores and SHBG (r=0.230, p = 0.035).</w:t>
      </w:r>
    </w:p>
    <w:p w14:paraId="1934C4E1" w14:textId="77777777" w:rsidR="007F48AD" w:rsidRPr="0080521D" w:rsidRDefault="007F48AD" w:rsidP="00231AA2">
      <w:pPr>
        <w:spacing w:before="100" w:after="100" w:line="240" w:lineRule="auto"/>
        <w:jc w:val="both"/>
        <w:rPr>
          <w:rFonts w:ascii="Times New Roman" w:hAnsi="Times New Roman" w:cs="Times New Roman"/>
          <w:bCs/>
          <w:i/>
          <w:iCs/>
          <w:sz w:val="20"/>
          <w:szCs w:val="20"/>
        </w:rPr>
      </w:pPr>
      <w:r w:rsidRPr="0080521D">
        <w:rPr>
          <w:rFonts w:ascii="Times New Roman" w:hAnsi="Times New Roman" w:cs="Times New Roman"/>
          <w:bCs/>
          <w:i/>
          <w:iCs/>
          <w:sz w:val="20"/>
          <w:szCs w:val="20"/>
        </w:rPr>
        <w:t>Conclusions</w:t>
      </w:r>
    </w:p>
    <w:p w14:paraId="1871B82B" w14:textId="0AF49C95" w:rsidR="007F48AD" w:rsidRPr="0080521D" w:rsidRDefault="007F48AD" w:rsidP="00231AA2">
      <w:pPr>
        <w:spacing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These data suggest that the PCOS women, because of their generally higher </w:t>
      </w:r>
      <w:r w:rsidR="00232E23">
        <w:rPr>
          <w:rFonts w:ascii="Times New Roman" w:hAnsi="Times New Roman" w:cs="Times New Roman"/>
          <w:sz w:val="20"/>
          <w:szCs w:val="20"/>
        </w:rPr>
        <w:t>‘</w:t>
      </w:r>
      <w:r w:rsidRPr="0080521D">
        <w:rPr>
          <w:rFonts w:ascii="Times New Roman" w:hAnsi="Times New Roman" w:cs="Times New Roman"/>
          <w:i/>
          <w:sz w:val="20"/>
          <w:szCs w:val="20"/>
        </w:rPr>
        <w:t>N</w:t>
      </w:r>
      <w:r w:rsidR="00232E23">
        <w:rPr>
          <w:rFonts w:ascii="Times New Roman" w:hAnsi="Times New Roman" w:cs="Times New Roman"/>
          <w:i/>
          <w:sz w:val="20"/>
          <w:szCs w:val="20"/>
        </w:rPr>
        <w:t>’</w:t>
      </w:r>
      <w:r w:rsidRPr="0080521D">
        <w:rPr>
          <w:rFonts w:ascii="Times New Roman" w:hAnsi="Times New Roman" w:cs="Times New Roman"/>
          <w:sz w:val="20"/>
          <w:szCs w:val="20"/>
        </w:rPr>
        <w:t xml:space="preserve"> and resulting higher false positive bias, may be more reactive to potential threats and dangers and</w:t>
      </w:r>
      <w:r w:rsidR="00232E23">
        <w:rPr>
          <w:rFonts w:ascii="Times New Roman" w:hAnsi="Times New Roman" w:cs="Times New Roman"/>
          <w:sz w:val="20"/>
          <w:szCs w:val="20"/>
        </w:rPr>
        <w:t>,</w:t>
      </w:r>
      <w:r w:rsidRPr="0080521D">
        <w:rPr>
          <w:rFonts w:ascii="Times New Roman" w:hAnsi="Times New Roman" w:cs="Times New Roman"/>
          <w:sz w:val="20"/>
          <w:szCs w:val="20"/>
        </w:rPr>
        <w:t xml:space="preserve"> given the general adaptation syndrome (GAS) (Selye</w:t>
      </w:r>
      <w:r w:rsidR="00F571BC">
        <w:rPr>
          <w:rFonts w:ascii="Times New Roman" w:hAnsi="Times New Roman" w:cs="Times New Roman"/>
          <w:sz w:val="20"/>
          <w:szCs w:val="20"/>
        </w:rPr>
        <w:t xml:space="preserve"> </w:t>
      </w:r>
      <w:r w:rsidRPr="0080521D">
        <w:rPr>
          <w:rFonts w:ascii="Times New Roman" w:hAnsi="Times New Roman" w:cs="Times New Roman"/>
          <w:sz w:val="20"/>
          <w:szCs w:val="20"/>
        </w:rPr>
        <w:t>1950)</w:t>
      </w:r>
      <w:r w:rsidR="00232E23">
        <w:rPr>
          <w:rFonts w:ascii="Times New Roman" w:hAnsi="Times New Roman" w:cs="Times New Roman"/>
          <w:sz w:val="20"/>
          <w:szCs w:val="20"/>
        </w:rPr>
        <w:t>,</w:t>
      </w:r>
      <w:r w:rsidRPr="0080521D">
        <w:rPr>
          <w:rFonts w:ascii="Times New Roman" w:hAnsi="Times New Roman" w:cs="Times New Roman"/>
          <w:sz w:val="20"/>
          <w:szCs w:val="20"/>
        </w:rPr>
        <w:t xml:space="preserve"> may experience the alarm stage more frequently than individuals with lower </w:t>
      </w:r>
      <w:r w:rsidR="00232E23">
        <w:rPr>
          <w:rFonts w:ascii="Times New Roman" w:hAnsi="Times New Roman" w:cs="Times New Roman"/>
          <w:sz w:val="20"/>
          <w:szCs w:val="20"/>
        </w:rPr>
        <w:t>‘</w:t>
      </w:r>
      <w:r w:rsidRPr="0080521D">
        <w:rPr>
          <w:rFonts w:ascii="Times New Roman" w:hAnsi="Times New Roman" w:cs="Times New Roman"/>
          <w:i/>
          <w:sz w:val="20"/>
          <w:szCs w:val="20"/>
        </w:rPr>
        <w:t>N</w:t>
      </w:r>
      <w:r w:rsidR="00232E23">
        <w:rPr>
          <w:rFonts w:ascii="Times New Roman" w:hAnsi="Times New Roman" w:cs="Times New Roman"/>
          <w:i/>
          <w:sz w:val="20"/>
          <w:szCs w:val="20"/>
        </w:rPr>
        <w:t>’</w:t>
      </w:r>
      <w:r w:rsidRPr="0080521D">
        <w:rPr>
          <w:rFonts w:ascii="Times New Roman" w:hAnsi="Times New Roman" w:cs="Times New Roman"/>
          <w:sz w:val="20"/>
          <w:szCs w:val="20"/>
        </w:rPr>
        <w:t xml:space="preserve">. This may equate to sustaining more </w:t>
      </w:r>
      <w:r w:rsidRPr="0080521D">
        <w:rPr>
          <w:rFonts w:ascii="Times New Roman" w:hAnsi="Times New Roman" w:cs="Times New Roman"/>
          <w:sz w:val="20"/>
          <w:szCs w:val="20"/>
          <w:shd w:val="clear" w:color="auto" w:fill="FFFFFF"/>
        </w:rPr>
        <w:t>sympathetic “bursts of activity</w:t>
      </w:r>
      <w:r w:rsidR="009D3D03">
        <w:rPr>
          <w:rFonts w:ascii="Times New Roman" w:hAnsi="Times New Roman" w:cs="Times New Roman"/>
          <w:sz w:val="20"/>
          <w:szCs w:val="20"/>
          <w:shd w:val="clear" w:color="auto" w:fill="FFFFFF"/>
        </w:rPr>
        <w:t>.”</w:t>
      </w:r>
      <w:r w:rsidRPr="0080521D">
        <w:rPr>
          <w:rFonts w:ascii="Times New Roman" w:hAnsi="Times New Roman" w:cs="Times New Roman"/>
          <w:sz w:val="20"/>
          <w:szCs w:val="20"/>
        </w:rPr>
        <w:t xml:space="preserve"> </w:t>
      </w:r>
    </w:p>
    <w:p w14:paraId="5DB30796" w14:textId="454166D1" w:rsidR="007F48AD" w:rsidRPr="0080521D" w:rsidRDefault="007F48AD" w:rsidP="00231AA2">
      <w:pPr>
        <w:spacing w:before="100"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lastRenderedPageBreak/>
        <w:t xml:space="preserve">Because of the decreased parasympathetic reactivity, PCOS women may take longer to </w:t>
      </w:r>
      <w:r w:rsidR="00A01DC9" w:rsidRPr="0080521D">
        <w:rPr>
          <w:rFonts w:ascii="Times New Roman" w:hAnsi="Times New Roman" w:cs="Times New Roman"/>
          <w:sz w:val="20"/>
          <w:szCs w:val="20"/>
        </w:rPr>
        <w:t>return</w:t>
      </w:r>
      <w:r w:rsidRPr="0080521D">
        <w:rPr>
          <w:rFonts w:ascii="Times New Roman" w:hAnsi="Times New Roman" w:cs="Times New Roman"/>
          <w:sz w:val="20"/>
          <w:szCs w:val="20"/>
        </w:rPr>
        <w:t xml:space="preserve"> to homeostasis or alternatively, because of the longer recovery, may remain in the resistance stage longer </w:t>
      </w:r>
      <w:r w:rsidR="00232E23">
        <w:rPr>
          <w:rFonts w:ascii="Times New Roman" w:hAnsi="Times New Roman" w:cs="Times New Roman"/>
          <w:sz w:val="20"/>
          <w:szCs w:val="20"/>
        </w:rPr>
        <w:t>(</w:t>
      </w:r>
      <w:r w:rsidRPr="0080521D">
        <w:rPr>
          <w:rFonts w:ascii="Times New Roman" w:hAnsi="Times New Roman" w:cs="Times New Roman"/>
          <w:sz w:val="20"/>
          <w:szCs w:val="20"/>
        </w:rPr>
        <w:t>i.e., remain vigilant longer, and thus potentially be more likely to reach the exhaustion stage</w:t>
      </w:r>
      <w:r w:rsidR="00232E23">
        <w:rPr>
          <w:rFonts w:ascii="Times New Roman" w:hAnsi="Times New Roman" w:cs="Times New Roman"/>
          <w:sz w:val="20"/>
          <w:szCs w:val="20"/>
        </w:rPr>
        <w:t>)</w:t>
      </w:r>
      <w:r w:rsidRPr="0080521D">
        <w:rPr>
          <w:rFonts w:ascii="Times New Roman" w:hAnsi="Times New Roman" w:cs="Times New Roman"/>
          <w:sz w:val="20"/>
          <w:szCs w:val="20"/>
        </w:rPr>
        <w:t>.</w:t>
      </w:r>
    </w:p>
    <w:p w14:paraId="3836E7A6" w14:textId="442650EB" w:rsidR="007F48AD" w:rsidRPr="0080521D" w:rsidRDefault="007F48AD" w:rsidP="00231AA2">
      <w:pPr>
        <w:spacing w:before="100"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shd w:val="clear" w:color="auto" w:fill="FFFFFF"/>
        </w:rPr>
        <w:t>In a study that examined stress responses in PCOS patients to a public speaking task, PCOS women</w:t>
      </w:r>
      <w:r w:rsidR="00433011" w:rsidRPr="0080521D">
        <w:rPr>
          <w:rFonts w:ascii="Times New Roman" w:hAnsi="Times New Roman" w:cs="Times New Roman"/>
          <w:sz w:val="20"/>
          <w:szCs w:val="20"/>
          <w:shd w:val="clear" w:color="auto" w:fill="FFFFFF"/>
        </w:rPr>
        <w:t xml:space="preserve"> expressed</w:t>
      </w:r>
      <w:r w:rsidRPr="0080521D">
        <w:rPr>
          <w:rFonts w:ascii="Times New Roman" w:hAnsi="Times New Roman" w:cs="Times New Roman"/>
          <w:sz w:val="20"/>
          <w:szCs w:val="20"/>
          <w:shd w:val="clear" w:color="auto" w:fill="FFFFFF"/>
        </w:rPr>
        <w:t xml:space="preserve"> enhanced </w:t>
      </w:r>
      <w:r w:rsidRPr="0080521D">
        <w:rPr>
          <w:rFonts w:ascii="Times New Roman" w:hAnsi="Times New Roman" w:cs="Times New Roman"/>
          <w:sz w:val="20"/>
          <w:szCs w:val="20"/>
        </w:rPr>
        <w:t xml:space="preserve">ACTH and cortisol stress responses compared to controls (ACTH: F = 3.6, p &lt; 0.05; for serum cortisol: F = </w:t>
      </w:r>
      <w:r w:rsidR="004F7E9F" w:rsidRPr="0080521D">
        <w:rPr>
          <w:rFonts w:ascii="Times New Roman" w:hAnsi="Times New Roman" w:cs="Times New Roman"/>
          <w:sz w:val="20"/>
          <w:szCs w:val="20"/>
        </w:rPr>
        <w:t>2.7, p</w:t>
      </w:r>
      <w:r w:rsidRPr="0080521D">
        <w:rPr>
          <w:rFonts w:ascii="Times New Roman" w:hAnsi="Times New Roman" w:cs="Times New Roman"/>
          <w:sz w:val="20"/>
          <w:szCs w:val="20"/>
        </w:rPr>
        <w:t xml:space="preserve"> &lt; 0.05) (Benson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2009). The study also found that they demonstrated a significantly enhanced stress-induced heart-rate response (F = 3.6, p &lt; 0.05) with significantly increased heart rates both pre-task and at two intervals post-task (F = 4.9, p &lt; 0.05; group effect). These effects are consistent with a higher reactivity to stress and a longer recovery period post-stressor.</w:t>
      </w:r>
    </w:p>
    <w:p w14:paraId="2D61A332" w14:textId="254AEA3B" w:rsidR="007F48AD" w:rsidRPr="0080521D" w:rsidRDefault="007F48AD" w:rsidP="00231AA2">
      <w:pPr>
        <w:spacing w:before="100"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Looking specifically at the </w:t>
      </w:r>
      <w:r w:rsidR="00C136EC">
        <w:rPr>
          <w:rFonts w:ascii="Times New Roman" w:hAnsi="Times New Roman" w:cs="Times New Roman"/>
          <w:sz w:val="20"/>
          <w:szCs w:val="20"/>
        </w:rPr>
        <w:t>‘</w:t>
      </w:r>
      <w:r w:rsidR="00C136EC">
        <w:rPr>
          <w:rFonts w:ascii="Times New Roman" w:hAnsi="Times New Roman" w:cs="Times New Roman"/>
          <w:i/>
          <w:iCs/>
          <w:sz w:val="20"/>
          <w:szCs w:val="20"/>
        </w:rPr>
        <w:t>N’</w:t>
      </w:r>
      <w:r w:rsidR="00C136EC" w:rsidRPr="0080521D">
        <w:rPr>
          <w:rFonts w:ascii="Times New Roman" w:hAnsi="Times New Roman" w:cs="Times New Roman"/>
          <w:sz w:val="20"/>
          <w:szCs w:val="20"/>
        </w:rPr>
        <w:t xml:space="preserve"> </w:t>
      </w:r>
      <w:r w:rsidRPr="0080521D">
        <w:rPr>
          <w:rFonts w:ascii="Times New Roman" w:hAnsi="Times New Roman" w:cs="Times New Roman"/>
          <w:sz w:val="20"/>
          <w:szCs w:val="20"/>
        </w:rPr>
        <w:t>finding, one would expect to find higher rates of mood disorders in PCOS</w:t>
      </w:r>
      <w:r w:rsidR="00302E7F" w:rsidRPr="0080521D">
        <w:rPr>
          <w:rFonts w:ascii="Times New Roman" w:hAnsi="Times New Roman" w:cs="Times New Roman"/>
          <w:sz w:val="20"/>
          <w:szCs w:val="20"/>
        </w:rPr>
        <w:t xml:space="preserve">. </w:t>
      </w:r>
      <w:r w:rsidRPr="0080521D">
        <w:rPr>
          <w:rFonts w:ascii="Times New Roman" w:hAnsi="Times New Roman" w:cs="Times New Roman"/>
          <w:sz w:val="20"/>
          <w:szCs w:val="20"/>
        </w:rPr>
        <w:t xml:space="preserve">That is, in fact, the case. There is a significantly increased prevalence of </w:t>
      </w:r>
      <w:r w:rsidR="003C48C2" w:rsidRPr="0080521D">
        <w:rPr>
          <w:rFonts w:ascii="Times New Roman" w:hAnsi="Times New Roman" w:cs="Times New Roman"/>
          <w:sz w:val="20"/>
          <w:szCs w:val="20"/>
        </w:rPr>
        <w:t xml:space="preserve">major depressive </w:t>
      </w:r>
      <w:r w:rsidR="003416D6" w:rsidRPr="0080521D">
        <w:rPr>
          <w:rFonts w:ascii="Times New Roman" w:hAnsi="Times New Roman" w:cs="Times New Roman"/>
          <w:sz w:val="20"/>
          <w:szCs w:val="20"/>
        </w:rPr>
        <w:t xml:space="preserve">(or unipolar) </w:t>
      </w:r>
      <w:r w:rsidR="003C48C2" w:rsidRPr="0080521D">
        <w:rPr>
          <w:rFonts w:ascii="Times New Roman" w:hAnsi="Times New Roman" w:cs="Times New Roman"/>
          <w:sz w:val="20"/>
          <w:szCs w:val="20"/>
        </w:rPr>
        <w:t>disorder</w:t>
      </w:r>
      <w:r w:rsidR="003416D6" w:rsidRPr="0080521D">
        <w:rPr>
          <w:rFonts w:ascii="Times New Roman" w:hAnsi="Times New Roman" w:cs="Times New Roman"/>
          <w:sz w:val="20"/>
          <w:szCs w:val="20"/>
        </w:rPr>
        <w:t xml:space="preserve"> </w:t>
      </w:r>
      <w:r w:rsidR="00A178F2" w:rsidRPr="0080521D">
        <w:rPr>
          <w:rFonts w:ascii="Times New Roman" w:hAnsi="Times New Roman" w:cs="Times New Roman"/>
          <w:sz w:val="20"/>
          <w:szCs w:val="20"/>
        </w:rPr>
        <w:t>(MDD)</w:t>
      </w:r>
      <w:r w:rsidR="003E5258" w:rsidRPr="0080521D">
        <w:rPr>
          <w:rFonts w:ascii="Times New Roman" w:hAnsi="Times New Roman" w:cs="Times New Roman"/>
          <w:sz w:val="20"/>
          <w:szCs w:val="20"/>
          <w:vertAlign w:val="superscript"/>
        </w:rPr>
        <w:t>3</w:t>
      </w:r>
      <w:r w:rsidR="0078574E">
        <w:rPr>
          <w:rFonts w:ascii="Times New Roman" w:hAnsi="Times New Roman" w:cs="Times New Roman"/>
          <w:sz w:val="20"/>
          <w:szCs w:val="20"/>
          <w:vertAlign w:val="superscript"/>
        </w:rPr>
        <w:t>6</w:t>
      </w:r>
      <w:r w:rsidR="00A178F2" w:rsidRPr="0080521D">
        <w:rPr>
          <w:rFonts w:ascii="Times New Roman" w:hAnsi="Times New Roman" w:cs="Times New Roman"/>
          <w:sz w:val="20"/>
          <w:szCs w:val="20"/>
        </w:rPr>
        <w:t xml:space="preserve"> </w:t>
      </w:r>
      <w:r w:rsidRPr="0080521D">
        <w:rPr>
          <w:rFonts w:ascii="Times New Roman" w:hAnsi="Times New Roman" w:cs="Times New Roman"/>
          <w:sz w:val="20"/>
          <w:szCs w:val="20"/>
        </w:rPr>
        <w:t xml:space="preserve">(Cooney et al. 2017; Hung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2014), bipolar disorder (Cesta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2016)</w:t>
      </w:r>
      <w:r w:rsidR="00E95B07" w:rsidRPr="0080521D">
        <w:rPr>
          <w:rFonts w:ascii="Times New Roman" w:hAnsi="Times New Roman" w:cs="Times New Roman"/>
          <w:sz w:val="20"/>
          <w:szCs w:val="20"/>
        </w:rPr>
        <w:t xml:space="preserve">, </w:t>
      </w:r>
      <w:r w:rsidR="001D4E0C" w:rsidRPr="0080521D">
        <w:rPr>
          <w:rFonts w:ascii="Times New Roman" w:hAnsi="Times New Roman" w:cs="Times New Roman"/>
          <w:sz w:val="20"/>
          <w:szCs w:val="20"/>
        </w:rPr>
        <w:t>anxiety</w:t>
      </w:r>
      <w:r w:rsidR="00E95B07" w:rsidRPr="0080521D">
        <w:rPr>
          <w:rFonts w:ascii="Times New Roman" w:hAnsi="Times New Roman" w:cs="Times New Roman"/>
          <w:sz w:val="20"/>
          <w:szCs w:val="20"/>
        </w:rPr>
        <w:t>,</w:t>
      </w:r>
      <w:r w:rsidR="001D4E0C" w:rsidRPr="0080521D">
        <w:rPr>
          <w:rFonts w:ascii="Times New Roman" w:hAnsi="Times New Roman" w:cs="Times New Roman"/>
          <w:sz w:val="20"/>
          <w:szCs w:val="20"/>
        </w:rPr>
        <w:t xml:space="preserve"> </w:t>
      </w:r>
      <w:r w:rsidRPr="0080521D">
        <w:rPr>
          <w:rFonts w:ascii="Times New Roman" w:hAnsi="Times New Roman" w:cs="Times New Roman"/>
          <w:sz w:val="20"/>
          <w:szCs w:val="20"/>
        </w:rPr>
        <w:t xml:space="preserve">and personality disorders among PCOS women (Cesta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2016</w:t>
      </w:r>
      <w:r w:rsidR="00671A51">
        <w:rPr>
          <w:rFonts w:ascii="Times New Roman" w:hAnsi="Times New Roman" w:cs="Times New Roman"/>
          <w:sz w:val="20"/>
          <w:szCs w:val="20"/>
        </w:rPr>
        <w:t>;</w:t>
      </w:r>
      <w:r w:rsidR="00671A51" w:rsidRPr="00671A51">
        <w:rPr>
          <w:rFonts w:ascii="Times New Roman" w:hAnsi="Times New Roman" w:cs="Times New Roman"/>
          <w:sz w:val="20"/>
          <w:szCs w:val="20"/>
        </w:rPr>
        <w:t xml:space="preserve"> </w:t>
      </w:r>
      <w:r w:rsidR="00671A51" w:rsidRPr="0080521D">
        <w:rPr>
          <w:rFonts w:ascii="Times New Roman" w:hAnsi="Times New Roman" w:cs="Times New Roman"/>
          <w:sz w:val="20"/>
          <w:szCs w:val="20"/>
        </w:rPr>
        <w:t xml:space="preserve">Scaruffi et </w:t>
      </w:r>
      <w:r w:rsidR="00671A51">
        <w:rPr>
          <w:rFonts w:ascii="Times New Roman" w:hAnsi="Times New Roman" w:cs="Times New Roman"/>
          <w:sz w:val="20"/>
          <w:szCs w:val="20"/>
        </w:rPr>
        <w:t>al.</w:t>
      </w:r>
      <w:r w:rsidR="00671A51" w:rsidRPr="0080521D">
        <w:rPr>
          <w:rFonts w:ascii="Times New Roman" w:hAnsi="Times New Roman" w:cs="Times New Roman"/>
          <w:sz w:val="20"/>
          <w:szCs w:val="20"/>
        </w:rPr>
        <w:t xml:space="preserve"> 2014</w:t>
      </w:r>
      <w:r w:rsidRPr="0080521D">
        <w:rPr>
          <w:rFonts w:ascii="Times New Roman" w:hAnsi="Times New Roman" w:cs="Times New Roman"/>
          <w:sz w:val="20"/>
          <w:szCs w:val="20"/>
        </w:rPr>
        <w:t xml:space="preserve">). </w:t>
      </w:r>
    </w:p>
    <w:p w14:paraId="15BE917B" w14:textId="529986BA" w:rsidR="007F48AD" w:rsidRPr="0080521D" w:rsidRDefault="007F48AD" w:rsidP="00231AA2">
      <w:pPr>
        <w:spacing w:before="100"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The impulsiveness</w:t>
      </w:r>
      <w:r w:rsidR="003E5258" w:rsidRPr="0080521D">
        <w:rPr>
          <w:rFonts w:ascii="Times New Roman" w:hAnsi="Times New Roman" w:cs="Times New Roman"/>
          <w:sz w:val="20"/>
          <w:szCs w:val="20"/>
          <w:vertAlign w:val="superscript"/>
        </w:rPr>
        <w:t>3</w:t>
      </w:r>
      <w:r w:rsidR="0078574E">
        <w:rPr>
          <w:rFonts w:ascii="Times New Roman" w:hAnsi="Times New Roman" w:cs="Times New Roman"/>
          <w:sz w:val="20"/>
          <w:szCs w:val="20"/>
          <w:vertAlign w:val="superscript"/>
        </w:rPr>
        <w:t>7</w:t>
      </w:r>
      <w:r w:rsidRPr="0080521D">
        <w:rPr>
          <w:rFonts w:ascii="Times New Roman" w:hAnsi="Times New Roman" w:cs="Times New Roman"/>
          <w:sz w:val="20"/>
          <w:szCs w:val="20"/>
        </w:rPr>
        <w:t xml:space="preserve"> data suggest that PCOS women may exhibit lower behavioral thresholds before acting, be it to take advantage of a reward or avoid punishment, and because of that may reflect an “activation” bias. </w:t>
      </w:r>
      <w:r w:rsidR="00232E23">
        <w:rPr>
          <w:rFonts w:ascii="Times New Roman" w:hAnsi="Times New Roman" w:cs="Times New Roman"/>
          <w:sz w:val="20"/>
          <w:szCs w:val="20"/>
        </w:rPr>
        <w:t xml:space="preserve">This </w:t>
      </w:r>
      <w:r w:rsidRPr="0080521D">
        <w:rPr>
          <w:rFonts w:ascii="Times New Roman" w:hAnsi="Times New Roman" w:cs="Times New Roman"/>
          <w:sz w:val="20"/>
          <w:szCs w:val="20"/>
        </w:rPr>
        <w:t xml:space="preserve">lends itself towards earlier rather than later action and thus may contribute towards more of a short-term rather than long-term decision-making style. This style may be better suited towards surviving in a higher deprivation state where opportunities for rewards are fewer and predicting them less reliable. </w:t>
      </w:r>
    </w:p>
    <w:p w14:paraId="4ADFC6C4" w14:textId="4445A5F4" w:rsidR="007F48AD" w:rsidRPr="0080521D" w:rsidRDefault="007F48AD" w:rsidP="00231AA2">
      <w:pPr>
        <w:spacing w:before="100" w:after="0" w:line="240" w:lineRule="auto"/>
        <w:ind w:firstLine="720"/>
        <w:jc w:val="both"/>
        <w:rPr>
          <w:rFonts w:ascii="Times New Roman" w:hAnsi="Times New Roman" w:cs="Times New Roman"/>
          <w:sz w:val="20"/>
          <w:szCs w:val="20"/>
        </w:rPr>
      </w:pPr>
      <w:r w:rsidRPr="0080521D">
        <w:rPr>
          <w:rFonts w:ascii="Times New Roman" w:hAnsi="Times New Roman" w:cs="Times New Roman"/>
          <w:sz w:val="20"/>
          <w:szCs w:val="20"/>
        </w:rPr>
        <w:t xml:space="preserve">This tendency may have </w:t>
      </w:r>
      <w:r w:rsidR="00BB61B5" w:rsidRPr="0080521D">
        <w:rPr>
          <w:rFonts w:ascii="Times New Roman" w:hAnsi="Times New Roman" w:cs="Times New Roman"/>
          <w:sz w:val="20"/>
          <w:szCs w:val="20"/>
        </w:rPr>
        <w:t>a</w:t>
      </w:r>
      <w:r w:rsidRPr="0080521D">
        <w:rPr>
          <w:rFonts w:ascii="Times New Roman" w:hAnsi="Times New Roman" w:cs="Times New Roman"/>
          <w:sz w:val="20"/>
          <w:szCs w:val="20"/>
        </w:rPr>
        <w:t xml:space="preserve"> basis in testosterone metabolism. As reported earlier, significant direct correlations have been found between impulsiveness scales and both </w:t>
      </w:r>
      <w:r w:rsidR="00232E23">
        <w:rPr>
          <w:rFonts w:ascii="Times New Roman" w:hAnsi="Times New Roman" w:cs="Times New Roman"/>
          <w:sz w:val="20"/>
          <w:szCs w:val="20"/>
        </w:rPr>
        <w:t>TT</w:t>
      </w:r>
      <w:r w:rsidRPr="0080521D">
        <w:rPr>
          <w:rFonts w:ascii="Times New Roman" w:hAnsi="Times New Roman" w:cs="Times New Roman"/>
          <w:sz w:val="20"/>
          <w:szCs w:val="20"/>
        </w:rPr>
        <w:t xml:space="preserve"> and the </w:t>
      </w:r>
      <w:r w:rsidR="00C27CB7">
        <w:rPr>
          <w:rFonts w:ascii="Times New Roman" w:hAnsi="Times New Roman" w:cs="Times New Roman"/>
          <w:sz w:val="20"/>
          <w:szCs w:val="20"/>
        </w:rPr>
        <w:t>FAI</w:t>
      </w:r>
      <w:r w:rsidRPr="0080521D">
        <w:rPr>
          <w:rFonts w:ascii="Times New Roman" w:hAnsi="Times New Roman" w:cs="Times New Roman"/>
          <w:sz w:val="20"/>
          <w:szCs w:val="20"/>
        </w:rPr>
        <w:t xml:space="preserve">, and a negative correlation between those scales and SHBG levels (Özdil-Demiryürek et </w:t>
      </w:r>
      <w:r w:rsidR="00E748A7">
        <w:rPr>
          <w:rFonts w:ascii="Times New Roman" w:hAnsi="Times New Roman" w:cs="Times New Roman"/>
          <w:sz w:val="20"/>
          <w:szCs w:val="20"/>
        </w:rPr>
        <w:t>al.</w:t>
      </w:r>
      <w:r w:rsidRPr="0080521D">
        <w:rPr>
          <w:rFonts w:ascii="Times New Roman" w:hAnsi="Times New Roman" w:cs="Times New Roman"/>
          <w:sz w:val="20"/>
          <w:szCs w:val="20"/>
        </w:rPr>
        <w:t xml:space="preserve"> 2016). The same study reported the same with respect to anger and the same forms of testosterone including DHEA-S. </w:t>
      </w:r>
    </w:p>
    <w:p w14:paraId="015AF3EA" w14:textId="77777777" w:rsidR="00462E71" w:rsidRPr="0080521D" w:rsidRDefault="00462E71" w:rsidP="00231AA2">
      <w:pPr>
        <w:autoSpaceDE w:val="0"/>
        <w:autoSpaceDN w:val="0"/>
        <w:adjustRightInd w:val="0"/>
        <w:spacing w:before="100" w:after="100" w:line="240" w:lineRule="auto"/>
        <w:jc w:val="both"/>
        <w:rPr>
          <w:rFonts w:ascii="Times New Roman" w:hAnsi="Times New Roman" w:cs="Times New Roman"/>
          <w:b/>
          <w:sz w:val="20"/>
          <w:szCs w:val="20"/>
        </w:rPr>
      </w:pPr>
      <w:r w:rsidRPr="0080521D">
        <w:rPr>
          <w:rFonts w:ascii="Times New Roman" w:hAnsi="Times New Roman" w:cs="Times New Roman"/>
          <w:b/>
          <w:sz w:val="20"/>
          <w:szCs w:val="20"/>
        </w:rPr>
        <w:t>Final Conclusions</w:t>
      </w:r>
    </w:p>
    <w:p w14:paraId="194C0903" w14:textId="7E9AAB26" w:rsidR="00462E71" w:rsidRPr="0080521D" w:rsidRDefault="00462E71" w:rsidP="00231AA2">
      <w:pPr>
        <w:spacing w:after="60" w:line="240" w:lineRule="auto"/>
        <w:ind w:firstLine="360"/>
        <w:jc w:val="both"/>
        <w:rPr>
          <w:rFonts w:ascii="Times New Roman" w:hAnsi="Times New Roman" w:cs="Times New Roman"/>
          <w:sz w:val="20"/>
          <w:szCs w:val="20"/>
        </w:rPr>
      </w:pPr>
      <w:r w:rsidRPr="0080521D">
        <w:rPr>
          <w:rFonts w:ascii="Times New Roman" w:hAnsi="Times New Roman" w:cs="Times New Roman"/>
          <w:sz w:val="20"/>
          <w:szCs w:val="20"/>
        </w:rPr>
        <w:t xml:space="preserve">This paper attempted to define the </w:t>
      </w:r>
      <w:r w:rsidR="00CE6393" w:rsidRPr="0080521D">
        <w:rPr>
          <w:rFonts w:ascii="Times New Roman" w:hAnsi="Times New Roman" w:cs="Times New Roman"/>
          <w:sz w:val="20"/>
          <w:szCs w:val="20"/>
        </w:rPr>
        <w:t>metabolic</w:t>
      </w:r>
      <w:r w:rsidRPr="0080521D">
        <w:rPr>
          <w:rFonts w:ascii="Times New Roman" w:hAnsi="Times New Roman" w:cs="Times New Roman"/>
          <w:sz w:val="20"/>
          <w:szCs w:val="20"/>
        </w:rPr>
        <w:t xml:space="preserve">, </w:t>
      </w:r>
      <w:r w:rsidR="001A1A26" w:rsidRPr="0080521D">
        <w:rPr>
          <w:rFonts w:ascii="Times New Roman" w:hAnsi="Times New Roman" w:cs="Times New Roman"/>
          <w:sz w:val="20"/>
          <w:szCs w:val="20"/>
        </w:rPr>
        <w:t>physical</w:t>
      </w:r>
      <w:r w:rsidRPr="0080521D">
        <w:rPr>
          <w:rFonts w:ascii="Times New Roman" w:hAnsi="Times New Roman" w:cs="Times New Roman"/>
          <w:sz w:val="20"/>
          <w:szCs w:val="20"/>
        </w:rPr>
        <w:t xml:space="preserve">, </w:t>
      </w:r>
      <w:r w:rsidR="00802D3B" w:rsidRPr="0080521D">
        <w:rPr>
          <w:rFonts w:ascii="Times New Roman" w:hAnsi="Times New Roman" w:cs="Times New Roman"/>
          <w:sz w:val="20"/>
          <w:szCs w:val="20"/>
        </w:rPr>
        <w:t xml:space="preserve">neurological, and </w:t>
      </w:r>
      <w:r w:rsidRPr="0080521D">
        <w:rPr>
          <w:rFonts w:ascii="Times New Roman" w:hAnsi="Times New Roman" w:cs="Times New Roman"/>
          <w:sz w:val="20"/>
          <w:szCs w:val="20"/>
        </w:rPr>
        <w:t xml:space="preserve">psychobehavioral </w:t>
      </w:r>
      <w:r w:rsidR="00802D3B" w:rsidRPr="0080521D">
        <w:rPr>
          <w:rFonts w:ascii="Times New Roman" w:hAnsi="Times New Roman" w:cs="Times New Roman"/>
          <w:sz w:val="20"/>
          <w:szCs w:val="20"/>
        </w:rPr>
        <w:t>markers</w:t>
      </w:r>
      <w:r w:rsidRPr="0080521D">
        <w:rPr>
          <w:rFonts w:ascii="Times New Roman" w:hAnsi="Times New Roman" w:cs="Times New Roman"/>
          <w:sz w:val="20"/>
          <w:szCs w:val="20"/>
        </w:rPr>
        <w:t xml:space="preserve"> of PCOS. The compiled picture highlights as follows:</w:t>
      </w:r>
    </w:p>
    <w:p w14:paraId="18DC2883" w14:textId="6DC79367" w:rsidR="00DC3A2F" w:rsidRPr="0080521D" w:rsidRDefault="00BC3805" w:rsidP="00231AA2">
      <w:pPr>
        <w:pStyle w:val="ListParagraph"/>
        <w:numPr>
          <w:ilvl w:val="0"/>
          <w:numId w:val="21"/>
        </w:numPr>
        <w:spacing w:after="0" w:line="240" w:lineRule="auto"/>
        <w:ind w:left="360"/>
        <w:jc w:val="both"/>
        <w:rPr>
          <w:rFonts w:ascii="Times New Roman" w:hAnsi="Times New Roman" w:cs="Times New Roman"/>
          <w:sz w:val="20"/>
          <w:szCs w:val="20"/>
        </w:rPr>
      </w:pPr>
      <w:r w:rsidRPr="0080521D">
        <w:rPr>
          <w:rFonts w:ascii="Times New Roman" w:hAnsi="Times New Roman" w:cs="Times New Roman"/>
          <w:sz w:val="20"/>
          <w:szCs w:val="20"/>
        </w:rPr>
        <w:t xml:space="preserve">Hyperandrogenism </w:t>
      </w:r>
      <w:r w:rsidR="009B59FF" w:rsidRPr="0080521D">
        <w:rPr>
          <w:rFonts w:ascii="Times New Roman" w:hAnsi="Times New Roman" w:cs="Times New Roman"/>
          <w:sz w:val="20"/>
          <w:szCs w:val="20"/>
        </w:rPr>
        <w:t>is the most common and defining condition of PCOS</w:t>
      </w:r>
      <w:r w:rsidR="001213BE" w:rsidRPr="0080521D">
        <w:rPr>
          <w:rFonts w:ascii="Times New Roman" w:hAnsi="Times New Roman" w:cs="Times New Roman"/>
          <w:sz w:val="20"/>
          <w:szCs w:val="20"/>
        </w:rPr>
        <w:t>.</w:t>
      </w:r>
    </w:p>
    <w:p w14:paraId="1D748258" w14:textId="4388C1F3" w:rsidR="00462E71" w:rsidRPr="0080521D" w:rsidRDefault="00462E71" w:rsidP="00231AA2">
      <w:pPr>
        <w:pStyle w:val="ListParagraph"/>
        <w:numPr>
          <w:ilvl w:val="0"/>
          <w:numId w:val="21"/>
        </w:numPr>
        <w:spacing w:after="0" w:line="240" w:lineRule="auto"/>
        <w:ind w:left="360"/>
        <w:jc w:val="both"/>
        <w:rPr>
          <w:rFonts w:ascii="Times New Roman" w:hAnsi="Times New Roman" w:cs="Times New Roman"/>
          <w:sz w:val="20"/>
          <w:szCs w:val="20"/>
        </w:rPr>
      </w:pPr>
      <w:r w:rsidRPr="0080521D">
        <w:rPr>
          <w:rFonts w:ascii="Times New Roman" w:hAnsi="Times New Roman" w:cs="Times New Roman"/>
          <w:sz w:val="20"/>
          <w:szCs w:val="20"/>
        </w:rPr>
        <w:t xml:space="preserve">Metabolic dysfunction involving insulin and glucose metabolism is present in </w:t>
      </w:r>
      <w:r w:rsidR="00157187" w:rsidRPr="0080521D">
        <w:rPr>
          <w:rFonts w:ascii="Times New Roman" w:hAnsi="Times New Roman" w:cs="Times New Roman"/>
          <w:sz w:val="20"/>
          <w:szCs w:val="20"/>
        </w:rPr>
        <w:t>most</w:t>
      </w:r>
      <w:r w:rsidRPr="0080521D">
        <w:rPr>
          <w:rFonts w:ascii="Times New Roman" w:hAnsi="Times New Roman" w:cs="Times New Roman"/>
          <w:sz w:val="20"/>
          <w:szCs w:val="20"/>
        </w:rPr>
        <w:t xml:space="preserve"> PCOS cases.</w:t>
      </w:r>
    </w:p>
    <w:p w14:paraId="311299AE" w14:textId="62DA57C9" w:rsidR="00F340B8" w:rsidRPr="0080521D" w:rsidRDefault="00F340B8" w:rsidP="00231AA2">
      <w:pPr>
        <w:pStyle w:val="ListParagraph"/>
        <w:numPr>
          <w:ilvl w:val="0"/>
          <w:numId w:val="21"/>
        </w:numPr>
        <w:spacing w:after="0" w:line="240" w:lineRule="auto"/>
        <w:ind w:left="360"/>
        <w:jc w:val="both"/>
        <w:rPr>
          <w:rFonts w:ascii="Times New Roman" w:hAnsi="Times New Roman" w:cs="Times New Roman"/>
          <w:sz w:val="20"/>
          <w:szCs w:val="20"/>
        </w:rPr>
      </w:pPr>
      <w:r w:rsidRPr="0080521D">
        <w:rPr>
          <w:rFonts w:ascii="Times New Roman" w:hAnsi="Times New Roman" w:cs="Times New Roman"/>
          <w:sz w:val="20"/>
          <w:szCs w:val="20"/>
        </w:rPr>
        <w:t xml:space="preserve">Women with PCOS possess higher concentrations of central adiposity, which may </w:t>
      </w:r>
      <w:r w:rsidR="000E15EC" w:rsidRPr="0080521D">
        <w:rPr>
          <w:rFonts w:ascii="Times New Roman" w:hAnsi="Times New Roman" w:cs="Times New Roman"/>
          <w:sz w:val="20"/>
          <w:szCs w:val="20"/>
        </w:rPr>
        <w:t xml:space="preserve">drive </w:t>
      </w:r>
      <w:r w:rsidR="00CE4C3D" w:rsidRPr="0080521D">
        <w:rPr>
          <w:rFonts w:ascii="Times New Roman" w:hAnsi="Times New Roman" w:cs="Times New Roman"/>
          <w:sz w:val="20"/>
          <w:szCs w:val="20"/>
        </w:rPr>
        <w:t>in a vicious cycle</w:t>
      </w:r>
      <w:r w:rsidR="000E15EC" w:rsidRPr="0080521D">
        <w:rPr>
          <w:rFonts w:ascii="Times New Roman" w:hAnsi="Times New Roman" w:cs="Times New Roman"/>
          <w:sz w:val="20"/>
          <w:szCs w:val="20"/>
        </w:rPr>
        <w:t xml:space="preserve">, </w:t>
      </w:r>
      <w:r w:rsidRPr="0080521D">
        <w:rPr>
          <w:rFonts w:ascii="Times New Roman" w:hAnsi="Times New Roman" w:cs="Times New Roman"/>
          <w:sz w:val="20"/>
          <w:szCs w:val="20"/>
        </w:rPr>
        <w:t>an inflammatory process whereby hyperandrogenism</w:t>
      </w:r>
      <w:r w:rsidR="00E91F40" w:rsidRPr="0080521D">
        <w:rPr>
          <w:rFonts w:ascii="Times New Roman" w:hAnsi="Times New Roman" w:cs="Times New Roman"/>
          <w:sz w:val="20"/>
          <w:szCs w:val="20"/>
        </w:rPr>
        <w:t xml:space="preserve">, </w:t>
      </w:r>
      <w:r w:rsidRPr="0080521D">
        <w:rPr>
          <w:rFonts w:ascii="Times New Roman" w:hAnsi="Times New Roman" w:cs="Times New Roman"/>
          <w:sz w:val="20"/>
          <w:szCs w:val="20"/>
        </w:rPr>
        <w:t xml:space="preserve">insulin </w:t>
      </w:r>
      <w:r w:rsidR="00E91F40" w:rsidRPr="0080521D">
        <w:rPr>
          <w:rFonts w:ascii="Times New Roman" w:hAnsi="Times New Roman" w:cs="Times New Roman"/>
          <w:sz w:val="20"/>
          <w:szCs w:val="20"/>
        </w:rPr>
        <w:t xml:space="preserve">resistance, and central adiposity </w:t>
      </w:r>
      <w:r w:rsidR="0070574B" w:rsidRPr="0080521D">
        <w:rPr>
          <w:rFonts w:ascii="Times New Roman" w:hAnsi="Times New Roman" w:cs="Times New Roman"/>
          <w:sz w:val="20"/>
          <w:szCs w:val="20"/>
        </w:rPr>
        <w:t xml:space="preserve">all </w:t>
      </w:r>
      <w:r w:rsidR="001F6E6B" w:rsidRPr="0080521D">
        <w:rPr>
          <w:rFonts w:ascii="Times New Roman" w:hAnsi="Times New Roman" w:cs="Times New Roman"/>
          <w:sz w:val="20"/>
          <w:szCs w:val="20"/>
        </w:rPr>
        <w:t xml:space="preserve">come to </w:t>
      </w:r>
      <w:r w:rsidR="00972300" w:rsidRPr="0080521D">
        <w:rPr>
          <w:rFonts w:ascii="Times New Roman" w:hAnsi="Times New Roman" w:cs="Times New Roman"/>
          <w:sz w:val="20"/>
          <w:szCs w:val="20"/>
        </w:rPr>
        <w:t>potentiate</w:t>
      </w:r>
      <w:r w:rsidRPr="0080521D">
        <w:rPr>
          <w:rFonts w:ascii="Times New Roman" w:hAnsi="Times New Roman" w:cs="Times New Roman"/>
          <w:sz w:val="20"/>
          <w:szCs w:val="20"/>
        </w:rPr>
        <w:t xml:space="preserve"> each other.</w:t>
      </w:r>
    </w:p>
    <w:p w14:paraId="72054DF8" w14:textId="0C298CFE" w:rsidR="00462E71" w:rsidRPr="0080521D" w:rsidRDefault="00462E71" w:rsidP="00231AA2">
      <w:pPr>
        <w:pStyle w:val="ListParagraph"/>
        <w:numPr>
          <w:ilvl w:val="0"/>
          <w:numId w:val="21"/>
        </w:numPr>
        <w:spacing w:after="0" w:line="240" w:lineRule="auto"/>
        <w:ind w:left="360"/>
        <w:jc w:val="both"/>
        <w:rPr>
          <w:rFonts w:ascii="Times New Roman" w:hAnsi="Times New Roman" w:cs="Times New Roman"/>
          <w:sz w:val="20"/>
          <w:szCs w:val="20"/>
        </w:rPr>
      </w:pPr>
      <w:r w:rsidRPr="0080521D">
        <w:rPr>
          <w:rFonts w:ascii="Times New Roman" w:hAnsi="Times New Roman" w:cs="Times New Roman"/>
          <w:sz w:val="20"/>
          <w:szCs w:val="20"/>
        </w:rPr>
        <w:t>They may also have a sturdier constitution with a higher level of physical strength, an increased level of bone density, and more lean body mass.</w:t>
      </w:r>
    </w:p>
    <w:p w14:paraId="50C54583" w14:textId="483BF3F8" w:rsidR="00462E71" w:rsidRPr="0080521D" w:rsidRDefault="00462E71" w:rsidP="00231AA2">
      <w:pPr>
        <w:pStyle w:val="ListParagraph"/>
        <w:numPr>
          <w:ilvl w:val="0"/>
          <w:numId w:val="21"/>
        </w:numPr>
        <w:spacing w:after="0" w:line="240" w:lineRule="auto"/>
        <w:ind w:left="360"/>
        <w:jc w:val="both"/>
        <w:rPr>
          <w:rFonts w:ascii="Times New Roman" w:hAnsi="Times New Roman" w:cs="Times New Roman"/>
          <w:sz w:val="20"/>
          <w:szCs w:val="20"/>
        </w:rPr>
      </w:pPr>
      <w:r w:rsidRPr="0080521D">
        <w:rPr>
          <w:rFonts w:ascii="Times New Roman" w:hAnsi="Times New Roman" w:cs="Times New Roman"/>
          <w:sz w:val="20"/>
          <w:szCs w:val="20"/>
        </w:rPr>
        <w:t xml:space="preserve">Women with PCOS may have differentially calibrated autonomic nervous systems, ones with a tendency towards augmented sympathetic nerve activity, reduced parasympathetic nerve activity, or </w:t>
      </w:r>
      <w:r w:rsidR="00C229E7" w:rsidRPr="0080521D">
        <w:rPr>
          <w:rFonts w:ascii="Times New Roman" w:hAnsi="Times New Roman" w:cs="Times New Roman"/>
          <w:sz w:val="20"/>
          <w:szCs w:val="20"/>
        </w:rPr>
        <w:t xml:space="preserve">a </w:t>
      </w:r>
      <w:r w:rsidRPr="0080521D">
        <w:rPr>
          <w:rFonts w:ascii="Times New Roman" w:hAnsi="Times New Roman" w:cs="Times New Roman"/>
          <w:sz w:val="20"/>
          <w:szCs w:val="20"/>
        </w:rPr>
        <w:t>combination of both.</w:t>
      </w:r>
    </w:p>
    <w:p w14:paraId="24F239A4" w14:textId="250F3685" w:rsidR="00505BB3" w:rsidRPr="0080521D" w:rsidRDefault="00505BB3" w:rsidP="00231AA2">
      <w:pPr>
        <w:pStyle w:val="ListParagraph"/>
        <w:numPr>
          <w:ilvl w:val="0"/>
          <w:numId w:val="21"/>
        </w:numPr>
        <w:spacing w:after="0" w:line="240" w:lineRule="auto"/>
        <w:ind w:left="360"/>
        <w:jc w:val="both"/>
        <w:rPr>
          <w:rFonts w:ascii="Times New Roman" w:hAnsi="Times New Roman" w:cs="Times New Roman"/>
          <w:sz w:val="20"/>
          <w:szCs w:val="20"/>
        </w:rPr>
      </w:pPr>
      <w:r w:rsidRPr="0080521D">
        <w:rPr>
          <w:rFonts w:ascii="Times New Roman" w:hAnsi="Times New Roman" w:cs="Times New Roman"/>
          <w:sz w:val="20"/>
          <w:szCs w:val="20"/>
        </w:rPr>
        <w:t xml:space="preserve">PCOS women are likely more neurotic than controls </w:t>
      </w:r>
      <w:r w:rsidR="00C27CB7">
        <w:rPr>
          <w:rFonts w:ascii="Times New Roman" w:hAnsi="Times New Roman" w:cs="Times New Roman"/>
          <w:sz w:val="20"/>
          <w:szCs w:val="20"/>
        </w:rPr>
        <w:t>(</w:t>
      </w:r>
      <w:r w:rsidRPr="0080521D">
        <w:rPr>
          <w:rFonts w:ascii="Times New Roman" w:hAnsi="Times New Roman" w:cs="Times New Roman"/>
          <w:sz w:val="20"/>
          <w:szCs w:val="20"/>
        </w:rPr>
        <w:t xml:space="preserve">e.g., more </w:t>
      </w:r>
      <w:r w:rsidR="00BB07FC" w:rsidRPr="0080521D">
        <w:rPr>
          <w:rFonts w:ascii="Times New Roman" w:hAnsi="Times New Roman" w:cs="Times New Roman"/>
          <w:sz w:val="20"/>
          <w:szCs w:val="20"/>
        </w:rPr>
        <w:t>anxious</w:t>
      </w:r>
      <w:r w:rsidR="00093B5C">
        <w:rPr>
          <w:rFonts w:ascii="Times New Roman" w:hAnsi="Times New Roman" w:cs="Times New Roman"/>
          <w:sz w:val="20"/>
          <w:szCs w:val="20"/>
        </w:rPr>
        <w:t xml:space="preserve"> </w:t>
      </w:r>
      <w:r w:rsidRPr="0080521D">
        <w:rPr>
          <w:rFonts w:ascii="Times New Roman" w:hAnsi="Times New Roman" w:cs="Times New Roman"/>
          <w:sz w:val="20"/>
          <w:szCs w:val="20"/>
        </w:rPr>
        <w:t>and impulsive with a bias towards assuming the presence of threats and dangers</w:t>
      </w:r>
      <w:r w:rsidR="00FA6468" w:rsidRPr="0080521D">
        <w:rPr>
          <w:rFonts w:ascii="Times New Roman" w:hAnsi="Times New Roman" w:cs="Times New Roman"/>
          <w:sz w:val="20"/>
          <w:szCs w:val="20"/>
        </w:rPr>
        <w:t xml:space="preserve">. </w:t>
      </w:r>
    </w:p>
    <w:p w14:paraId="3028B69C" w14:textId="77777777" w:rsidR="00505BB3" w:rsidRPr="0080521D" w:rsidRDefault="00505BB3" w:rsidP="00231AA2">
      <w:pPr>
        <w:pStyle w:val="ListParagraph"/>
        <w:spacing w:after="0" w:line="240" w:lineRule="auto"/>
        <w:ind w:left="360"/>
        <w:jc w:val="both"/>
        <w:rPr>
          <w:rFonts w:ascii="Times New Roman" w:hAnsi="Times New Roman" w:cs="Times New Roman"/>
          <w:sz w:val="20"/>
          <w:szCs w:val="20"/>
        </w:rPr>
      </w:pPr>
    </w:p>
    <w:p w14:paraId="13ED1263" w14:textId="77777777" w:rsidR="00DA3E16" w:rsidRPr="00DE08AE" w:rsidRDefault="002C697A" w:rsidP="00231AA2">
      <w:pPr>
        <w:spacing w:before="240" w:after="120" w:line="240" w:lineRule="auto"/>
        <w:jc w:val="both"/>
        <w:rPr>
          <w:rFonts w:ascii="Times New Roman" w:hAnsi="Times New Roman" w:cs="Times New Roman"/>
          <w:b/>
          <w:bCs/>
          <w:sz w:val="16"/>
          <w:szCs w:val="16"/>
        </w:rPr>
      </w:pPr>
      <w:r w:rsidRPr="00DE08AE">
        <w:rPr>
          <w:b/>
          <w:bCs/>
          <w:noProof/>
          <w:sz w:val="16"/>
          <w:szCs w:val="16"/>
        </w:rPr>
        <mc:AlternateContent>
          <mc:Choice Requires="wps">
            <w:drawing>
              <wp:anchor distT="0" distB="0" distL="114300" distR="114300" simplePos="0" relativeHeight="251656192" behindDoc="1" locked="0" layoutInCell="0" allowOverlap="1" wp14:anchorId="0C974456" wp14:editId="222553B6">
                <wp:simplePos x="0" y="0"/>
                <wp:positionH relativeFrom="margin">
                  <wp:posOffset>0</wp:posOffset>
                </wp:positionH>
                <wp:positionV relativeFrom="paragraph">
                  <wp:posOffset>-635</wp:posOffset>
                </wp:positionV>
                <wp:extent cx="5925312" cy="12192"/>
                <wp:effectExtent l="0" t="0" r="37465" b="26035"/>
                <wp:wrapNone/>
                <wp:docPr id="5" name="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25312" cy="12192"/>
                        </a:xfrm>
                        <a:prstGeom prst="line">
                          <a:avLst/>
                        </a:prstGeom>
                        <a:solidFill>
                          <a:srgbClr val="FFFFFF"/>
                        </a:solidFill>
                        <a:ln w="12700">
                          <a:solidFill>
                            <a:srgbClr val="000000"/>
                          </a:solidFill>
                          <a:miter lim="800000"/>
                          <a:headEnd/>
                          <a:tailEnd/>
                        </a:ln>
                      </wps:spPr>
                      <wps:bodyPr/>
                    </wps:wsp>
                  </a:graphicData>
                </a:graphic>
                <wp14:sizeRelH relativeFrom="margin">
                  <wp14:pctWidth>0</wp14:pctWidth>
                </wp14:sizeRelH>
                <wp14:sizeRelV relativeFrom="margin">
                  <wp14:pctHeight>0</wp14:pctHeight>
                </wp14:sizeRelV>
              </wp:anchor>
            </w:drawing>
          </mc:Choice>
          <mc:Fallback>
            <w:pict>
              <v:line w14:anchorId="40B96B06" id="Shape 7" o:spid="_x0000_s1026" style="position:absolute;flip:y;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5pt" to="466.5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" o:allowincell="f" filled="t" strokeweight="1pt">
                <v:stroke joinstyle="miter"/>
                <o:lock v:ext="edit" shapetype="f"/>
                <w10:wrap anchorx="margin"/>
              </v:line>
            </w:pict>
          </mc:Fallback>
        </mc:AlternateContent>
      </w:r>
      <w:r w:rsidR="006B28C0" w:rsidRPr="00DE08AE">
        <w:rPr>
          <w:rFonts w:ascii="Times New Roman" w:hAnsi="Times New Roman" w:cs="Times New Roman"/>
          <w:b/>
          <w:bCs/>
          <w:sz w:val="16"/>
          <w:szCs w:val="16"/>
        </w:rPr>
        <w:t xml:space="preserve">Notes </w:t>
      </w:r>
    </w:p>
    <w:p w14:paraId="4FC4C63D" w14:textId="2F76B719" w:rsidR="00BA2CCE" w:rsidRPr="007614A6" w:rsidRDefault="00BA2CCE" w:rsidP="00231AA2">
      <w:pPr>
        <w:pStyle w:val="Summary"/>
        <w:spacing w:after="0"/>
        <w:jc w:val="both"/>
        <w:rPr>
          <w:rFonts w:ascii="Times New Roman" w:hAnsi="Times New Roman" w:cs="Times New Roman"/>
          <w:color w:val="FF0000"/>
          <w:sz w:val="16"/>
          <w:szCs w:val="16"/>
        </w:rPr>
      </w:pPr>
      <w:r w:rsidRPr="007614A6">
        <w:rPr>
          <w:rStyle w:val="FootnoteReference"/>
          <w:rFonts w:ascii="Times New Roman" w:hAnsi="Times New Roman" w:cs="Times New Roman"/>
          <w:sz w:val="16"/>
          <w:szCs w:val="16"/>
        </w:rPr>
        <w:footnoteRef/>
      </w:r>
      <w:r w:rsidRPr="007614A6">
        <w:rPr>
          <w:rFonts w:ascii="Times New Roman" w:hAnsi="Times New Roman" w:cs="Times New Roman"/>
          <w:sz w:val="16"/>
          <w:szCs w:val="16"/>
        </w:rPr>
        <w:t xml:space="preserve"> Though PCOS is more commonly studied in reproductive age women, it is also observable in adolescents (Rothenberg et </w:t>
      </w:r>
      <w:r w:rsidR="00656A5A">
        <w:rPr>
          <w:rFonts w:ascii="Times New Roman" w:hAnsi="Times New Roman" w:cs="Times New Roman"/>
          <w:sz w:val="16"/>
          <w:szCs w:val="16"/>
        </w:rPr>
        <w:t>al.</w:t>
      </w:r>
      <w:r w:rsidRPr="007614A6">
        <w:rPr>
          <w:rFonts w:ascii="Times New Roman" w:hAnsi="Times New Roman" w:cs="Times New Roman"/>
          <w:sz w:val="16"/>
          <w:szCs w:val="16"/>
        </w:rPr>
        <w:t xml:space="preserve"> 2018; Diamanti-Kandarakis 2010) and may express as soon as prenatally (Barsky et </w:t>
      </w:r>
      <w:r w:rsidR="00656A5A">
        <w:rPr>
          <w:rFonts w:ascii="Times New Roman" w:hAnsi="Times New Roman" w:cs="Times New Roman"/>
          <w:sz w:val="16"/>
          <w:szCs w:val="16"/>
        </w:rPr>
        <w:t>al.</w:t>
      </w:r>
      <w:r w:rsidRPr="007614A6">
        <w:rPr>
          <w:rFonts w:ascii="Times New Roman" w:hAnsi="Times New Roman" w:cs="Times New Roman"/>
          <w:sz w:val="16"/>
          <w:szCs w:val="16"/>
        </w:rPr>
        <w:t xml:space="preserve"> 2021; Siemienowicz 2018; Abbott et </w:t>
      </w:r>
      <w:r w:rsidR="00656A5A">
        <w:rPr>
          <w:rFonts w:ascii="Times New Roman" w:hAnsi="Times New Roman" w:cs="Times New Roman"/>
          <w:sz w:val="16"/>
          <w:szCs w:val="16"/>
        </w:rPr>
        <w:t>al.</w:t>
      </w:r>
      <w:r w:rsidRPr="007614A6">
        <w:rPr>
          <w:rFonts w:ascii="Times New Roman" w:hAnsi="Times New Roman" w:cs="Times New Roman"/>
          <w:sz w:val="16"/>
          <w:szCs w:val="16"/>
        </w:rPr>
        <w:t xml:space="preserve"> 2005).</w:t>
      </w:r>
    </w:p>
    <w:p w14:paraId="4AF5E2DC" w14:textId="7F0A634E"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2</w:t>
      </w:r>
      <w:r w:rsidRPr="007614A6">
        <w:rPr>
          <w:rFonts w:ascii="Times New Roman" w:hAnsi="Times New Roman" w:cs="Times New Roman"/>
          <w:sz w:val="16"/>
          <w:szCs w:val="16"/>
        </w:rPr>
        <w:t xml:space="preserve"> Its prevalence depends on the diagnostic criteria used and the geography of the population being studied (Bozdag et </w:t>
      </w:r>
      <w:r w:rsidR="00656A5A">
        <w:rPr>
          <w:rFonts w:ascii="Times New Roman" w:hAnsi="Times New Roman" w:cs="Times New Roman"/>
          <w:sz w:val="16"/>
          <w:szCs w:val="16"/>
        </w:rPr>
        <w:t>al.</w:t>
      </w:r>
      <w:r w:rsidRPr="007614A6">
        <w:rPr>
          <w:rFonts w:ascii="Times New Roman" w:hAnsi="Times New Roman" w:cs="Times New Roman"/>
          <w:sz w:val="16"/>
          <w:szCs w:val="16"/>
        </w:rPr>
        <w:t xml:space="preserve"> 2016). The Rotterdam consensus has the most inclusive criteria and accounts significantly for the upper range of the estimate (Dumesic et </w:t>
      </w:r>
      <w:r w:rsidR="00656A5A">
        <w:rPr>
          <w:rFonts w:ascii="Times New Roman" w:hAnsi="Times New Roman" w:cs="Times New Roman"/>
          <w:sz w:val="16"/>
          <w:szCs w:val="16"/>
        </w:rPr>
        <w:t>al.</w:t>
      </w:r>
      <w:r w:rsidR="002D4EAD">
        <w:rPr>
          <w:rFonts w:ascii="Times New Roman" w:hAnsi="Times New Roman" w:cs="Times New Roman"/>
          <w:sz w:val="16"/>
          <w:szCs w:val="16"/>
        </w:rPr>
        <w:t>;</w:t>
      </w:r>
      <w:r w:rsidRPr="007614A6">
        <w:rPr>
          <w:rFonts w:ascii="Times New Roman" w:hAnsi="Times New Roman" w:cs="Times New Roman"/>
          <w:sz w:val="16"/>
          <w:szCs w:val="16"/>
        </w:rPr>
        <w:t xml:space="preserve"> Skiba et </w:t>
      </w:r>
      <w:r w:rsidR="00656A5A">
        <w:rPr>
          <w:rFonts w:ascii="Times New Roman" w:hAnsi="Times New Roman" w:cs="Times New Roman"/>
          <w:sz w:val="16"/>
          <w:szCs w:val="16"/>
        </w:rPr>
        <w:t>al.</w:t>
      </w:r>
      <w:r w:rsidRPr="007614A6">
        <w:rPr>
          <w:rFonts w:ascii="Times New Roman" w:hAnsi="Times New Roman" w:cs="Times New Roman"/>
          <w:sz w:val="16"/>
          <w:szCs w:val="16"/>
        </w:rPr>
        <w:t xml:space="preserve"> 2018)</w:t>
      </w:r>
    </w:p>
    <w:p w14:paraId="560CDD73" w14:textId="77777777"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3</w:t>
      </w:r>
      <w:r w:rsidRPr="007614A6">
        <w:rPr>
          <w:rFonts w:ascii="Times New Roman" w:hAnsi="Times New Roman" w:cs="Times New Roman"/>
          <w:sz w:val="16"/>
          <w:szCs w:val="16"/>
        </w:rPr>
        <w:t xml:space="preserve"> These mediators are discussed later in the paper in the BMI section.</w:t>
      </w:r>
    </w:p>
    <w:p w14:paraId="46986236" w14:textId="7A3A2C79"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4</w:t>
      </w:r>
      <w:r w:rsidRPr="007614A6">
        <w:rPr>
          <w:rFonts w:ascii="Times New Roman" w:hAnsi="Times New Roman" w:cs="Times New Roman"/>
          <w:sz w:val="16"/>
          <w:szCs w:val="16"/>
        </w:rPr>
        <w:t xml:space="preserve"> This only reflected in Hachim et al’s 2015 sample of overweight PCOS women and </w:t>
      </w:r>
      <w:r w:rsidR="003C2312" w:rsidRPr="007614A6">
        <w:rPr>
          <w:rFonts w:ascii="Times New Roman" w:hAnsi="Times New Roman" w:cs="Times New Roman"/>
          <w:sz w:val="16"/>
          <w:szCs w:val="16"/>
        </w:rPr>
        <w:t>controls.</w:t>
      </w:r>
    </w:p>
    <w:p w14:paraId="5EFC9EDC" w14:textId="6F31C356"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5</w:t>
      </w:r>
      <w:r w:rsidRPr="007614A6">
        <w:rPr>
          <w:rFonts w:ascii="Times New Roman" w:hAnsi="Times New Roman" w:cs="Times New Roman"/>
          <w:sz w:val="16"/>
          <w:szCs w:val="16"/>
        </w:rPr>
        <w:t xml:space="preserve"> Lean body mass was calculated by dividing total lean mass by height in centimeters (Carmina et </w:t>
      </w:r>
      <w:r w:rsidR="00656A5A">
        <w:rPr>
          <w:rFonts w:ascii="Times New Roman" w:hAnsi="Times New Roman" w:cs="Times New Roman"/>
          <w:sz w:val="16"/>
          <w:szCs w:val="16"/>
        </w:rPr>
        <w:t>al.</w:t>
      </w:r>
      <w:r w:rsidRPr="007614A6">
        <w:rPr>
          <w:rFonts w:ascii="Times New Roman" w:hAnsi="Times New Roman" w:cs="Times New Roman"/>
          <w:sz w:val="16"/>
          <w:szCs w:val="16"/>
        </w:rPr>
        <w:t xml:space="preserve"> 2009)</w:t>
      </w:r>
    </w:p>
    <w:p w14:paraId="1C6757AF" w14:textId="534ED870"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6</w:t>
      </w:r>
      <w:r w:rsidRPr="007614A6">
        <w:rPr>
          <w:rFonts w:ascii="Times New Roman" w:hAnsi="Times New Roman" w:cs="Times New Roman"/>
          <w:sz w:val="16"/>
          <w:szCs w:val="16"/>
        </w:rPr>
        <w:t xml:space="preserve"> The c</w:t>
      </w:r>
      <w:r w:rsidRPr="007614A6">
        <w:rPr>
          <w:rFonts w:ascii="Times New Roman" w:hAnsi="Times New Roman" w:cs="Times New Roman"/>
          <w:sz w:val="16"/>
          <w:szCs w:val="16"/>
          <w:shd w:val="clear" w:color="auto" w:fill="FFFFFF"/>
        </w:rPr>
        <w:t xml:space="preserve">lassic PCOS phenotype includes all the following criteria: chronic anovulation, hyperandrogenism, and polycystic ovaries (El Hayek et </w:t>
      </w:r>
      <w:r w:rsidR="00656A5A">
        <w:rPr>
          <w:rFonts w:ascii="Times New Roman" w:hAnsi="Times New Roman" w:cs="Times New Roman"/>
          <w:sz w:val="16"/>
          <w:szCs w:val="16"/>
          <w:shd w:val="clear" w:color="auto" w:fill="FFFFFF"/>
        </w:rPr>
        <w:t>al.</w:t>
      </w:r>
      <w:r w:rsidRPr="007614A6">
        <w:rPr>
          <w:rFonts w:ascii="Times New Roman" w:hAnsi="Times New Roman" w:cs="Times New Roman"/>
          <w:sz w:val="16"/>
          <w:szCs w:val="16"/>
          <w:shd w:val="clear" w:color="auto" w:fill="FFFFFF"/>
        </w:rPr>
        <w:t xml:space="preserve"> 2016)</w:t>
      </w:r>
    </w:p>
    <w:p w14:paraId="439B8E6B" w14:textId="23E880D8"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7</w:t>
      </w:r>
      <w:r w:rsidRPr="007614A6">
        <w:rPr>
          <w:rFonts w:ascii="Times New Roman" w:hAnsi="Times New Roman" w:cs="Times New Roman"/>
          <w:sz w:val="16"/>
          <w:szCs w:val="16"/>
        </w:rPr>
        <w:t xml:space="preserve"> FAI: total testosterone (nmol/l)/SHBG (nmol/l) x 100) (Carmina et </w:t>
      </w:r>
      <w:r w:rsidR="00656A5A">
        <w:rPr>
          <w:rFonts w:ascii="Times New Roman" w:hAnsi="Times New Roman" w:cs="Times New Roman"/>
          <w:sz w:val="16"/>
          <w:szCs w:val="16"/>
        </w:rPr>
        <w:t>al.</w:t>
      </w:r>
      <w:r w:rsidRPr="007614A6">
        <w:rPr>
          <w:rFonts w:ascii="Times New Roman" w:hAnsi="Times New Roman" w:cs="Times New Roman"/>
          <w:sz w:val="16"/>
          <w:szCs w:val="16"/>
        </w:rPr>
        <w:t xml:space="preserve"> 2009)</w:t>
      </w:r>
    </w:p>
    <w:p w14:paraId="41B38167" w14:textId="77777777"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8</w:t>
      </w:r>
      <w:r w:rsidRPr="007614A6">
        <w:rPr>
          <w:rFonts w:ascii="Times New Roman" w:hAnsi="Times New Roman" w:cs="Times New Roman"/>
          <w:sz w:val="16"/>
          <w:szCs w:val="16"/>
        </w:rPr>
        <w:t xml:space="preserve"> PCOS connections to the autonomic nervous system will be explored later in the paper.</w:t>
      </w:r>
    </w:p>
    <w:p w14:paraId="1E7820CA" w14:textId="63595456"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9</w:t>
      </w:r>
      <w:r w:rsidRPr="007614A6">
        <w:rPr>
          <w:rFonts w:ascii="Times New Roman" w:hAnsi="Times New Roman" w:cs="Times New Roman"/>
          <w:sz w:val="16"/>
          <w:szCs w:val="16"/>
        </w:rPr>
        <w:t xml:space="preserve"> This only was evident in Hachim et al’s 2015 overweight sample of PCOS women and </w:t>
      </w:r>
      <w:r w:rsidR="003C2312" w:rsidRPr="007614A6">
        <w:rPr>
          <w:rFonts w:ascii="Times New Roman" w:hAnsi="Times New Roman" w:cs="Times New Roman"/>
          <w:sz w:val="16"/>
          <w:szCs w:val="16"/>
        </w:rPr>
        <w:t>controls.</w:t>
      </w:r>
    </w:p>
    <w:p w14:paraId="018EAD18" w14:textId="75261884" w:rsidR="00BA2CCE" w:rsidRPr="007614A6" w:rsidRDefault="00BA2CCE" w:rsidP="00231AA2">
      <w:pPr>
        <w:pStyle w:val="FootnoteText"/>
        <w:jc w:val="both"/>
        <w:rPr>
          <w:rFonts w:ascii="Times New Roman" w:hAnsi="Times New Roman" w:cs="Times New Roman"/>
          <w:sz w:val="16"/>
          <w:szCs w:val="16"/>
        </w:rPr>
      </w:pPr>
      <w:r w:rsidRPr="007614A6">
        <w:rPr>
          <w:rFonts w:ascii="Times New Roman" w:hAnsi="Times New Roman" w:cs="Times New Roman"/>
          <w:sz w:val="16"/>
          <w:szCs w:val="16"/>
          <w:vertAlign w:val="superscript"/>
        </w:rPr>
        <w:t>10</w:t>
      </w:r>
      <w:r w:rsidRPr="007614A6">
        <w:rPr>
          <w:rFonts w:ascii="Times New Roman" w:hAnsi="Times New Roman" w:cs="Times New Roman"/>
          <w:sz w:val="16"/>
          <w:szCs w:val="16"/>
        </w:rPr>
        <w:t xml:space="preserve"> SDNN is defined as the standard deviation of the mean interval between heartbeats (ETF 1996). M</w:t>
      </w:r>
      <w:r w:rsidRPr="007614A6">
        <w:rPr>
          <w:rFonts w:ascii="Times New Roman" w:hAnsi="Times New Roman" w:cs="Times New Roman"/>
          <w:sz w:val="16"/>
          <w:szCs w:val="16"/>
          <w:shd w:val="clear" w:color="auto" w:fill="FFFFFF"/>
        </w:rPr>
        <w:t>ore variable SDNN correlates with a more dominant parasympathetic presence about the ANS (</w:t>
      </w:r>
      <w:r w:rsidR="001D7300">
        <w:rPr>
          <w:rFonts w:ascii="Times New Roman" w:hAnsi="Times New Roman" w:cs="Times New Roman"/>
          <w:sz w:val="16"/>
          <w:szCs w:val="16"/>
          <w:shd w:val="clear" w:color="auto" w:fill="FFFFFF"/>
        </w:rPr>
        <w:t>ETF</w:t>
      </w:r>
      <w:r w:rsidRPr="007614A6">
        <w:rPr>
          <w:rFonts w:ascii="Times New Roman" w:hAnsi="Times New Roman" w:cs="Times New Roman"/>
          <w:sz w:val="16"/>
          <w:szCs w:val="16"/>
          <w:shd w:val="clear" w:color="auto" w:fill="FFFFFF"/>
        </w:rPr>
        <w:t xml:space="preserve"> 1996)</w:t>
      </w:r>
    </w:p>
    <w:p w14:paraId="59931EAD" w14:textId="77777777" w:rsidR="00BA2CCE" w:rsidRPr="007614A6" w:rsidRDefault="00BA2CCE" w:rsidP="00231AA2">
      <w:pPr>
        <w:pStyle w:val="FootnoteText"/>
        <w:jc w:val="both"/>
        <w:rPr>
          <w:rFonts w:ascii="Times New Roman" w:hAnsi="Times New Roman" w:cs="Times New Roman"/>
          <w:sz w:val="16"/>
          <w:szCs w:val="16"/>
        </w:rPr>
      </w:pPr>
      <w:r w:rsidRPr="007614A6">
        <w:rPr>
          <w:rFonts w:ascii="Times New Roman" w:hAnsi="Times New Roman" w:cs="Times New Roman"/>
          <w:sz w:val="16"/>
          <w:szCs w:val="16"/>
          <w:vertAlign w:val="superscript"/>
        </w:rPr>
        <w:t>1</w:t>
      </w:r>
      <w:r w:rsidRPr="007614A6">
        <w:rPr>
          <w:rStyle w:val="FootnoteReference"/>
          <w:rFonts w:ascii="Times New Roman" w:hAnsi="Times New Roman" w:cs="Times New Roman"/>
          <w:sz w:val="16"/>
          <w:szCs w:val="16"/>
        </w:rPr>
        <w:footnoteRef/>
      </w:r>
      <w:r w:rsidRPr="007614A6">
        <w:rPr>
          <w:rFonts w:ascii="Times New Roman" w:hAnsi="Times New Roman" w:cs="Times New Roman"/>
          <w:sz w:val="16"/>
          <w:szCs w:val="16"/>
        </w:rPr>
        <w:t xml:space="preserve"> BMI’s of ≥ 35</w:t>
      </w:r>
    </w:p>
    <w:p w14:paraId="7C0CAC16" w14:textId="7360B5ED" w:rsidR="00BA2CCE" w:rsidRPr="007614A6" w:rsidRDefault="00BA2CCE" w:rsidP="00231AA2">
      <w:pPr>
        <w:pStyle w:val="FootnoteText"/>
        <w:spacing w:after="20"/>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footnoteRef/>
      </w:r>
      <w:r w:rsidRPr="007614A6">
        <w:rPr>
          <w:rFonts w:ascii="Times New Roman" w:hAnsi="Times New Roman" w:cs="Times New Roman"/>
          <w:sz w:val="16"/>
          <w:szCs w:val="16"/>
          <w:vertAlign w:val="superscript"/>
        </w:rPr>
        <w:t>2</w:t>
      </w:r>
      <w:r w:rsidRPr="007614A6">
        <w:rPr>
          <w:rFonts w:ascii="Times New Roman" w:hAnsi="Times New Roman" w:cs="Times New Roman"/>
          <w:sz w:val="16"/>
          <w:szCs w:val="16"/>
        </w:rPr>
        <w:t xml:space="preserve"> Higher PNS activity may be associated with a lower, higher, or no SNS activity at all and vice-versa. The relative activity of the two branches </w:t>
      </w:r>
      <w:r w:rsidR="009D3D03" w:rsidRPr="007614A6">
        <w:rPr>
          <w:rFonts w:ascii="Times New Roman" w:hAnsi="Times New Roman" w:cs="Times New Roman"/>
          <w:sz w:val="16"/>
          <w:szCs w:val="16"/>
        </w:rPr>
        <w:t>is not</w:t>
      </w:r>
      <w:r w:rsidRPr="007614A6">
        <w:rPr>
          <w:rFonts w:ascii="Times New Roman" w:hAnsi="Times New Roman" w:cs="Times New Roman"/>
          <w:sz w:val="16"/>
          <w:szCs w:val="16"/>
        </w:rPr>
        <w:t xml:space="preserve"> a zero-sum relationship, but a dynamic one (Shaffer &amp; Ginsberg 2017)</w:t>
      </w:r>
    </w:p>
    <w:p w14:paraId="0D32BA1D" w14:textId="2146A084"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lastRenderedPageBreak/>
        <w:t>1</w:t>
      </w:r>
      <w:r w:rsidRPr="007614A6">
        <w:rPr>
          <w:rFonts w:ascii="Times New Roman" w:hAnsi="Times New Roman" w:cs="Times New Roman"/>
          <w:sz w:val="16"/>
          <w:szCs w:val="16"/>
          <w:vertAlign w:val="superscript"/>
        </w:rPr>
        <w:t>3</w:t>
      </w:r>
      <w:r w:rsidRPr="007614A6">
        <w:rPr>
          <w:rFonts w:ascii="Times New Roman" w:hAnsi="Times New Roman" w:cs="Times New Roman"/>
          <w:sz w:val="16"/>
          <w:szCs w:val="16"/>
        </w:rPr>
        <w:t xml:space="preserve"> Gui and Wang (2017) examined cardiovascular autonomic dysfunction in women with </w:t>
      </w:r>
      <w:r w:rsidR="003C2312" w:rsidRPr="007614A6">
        <w:rPr>
          <w:rFonts w:ascii="Times New Roman" w:hAnsi="Times New Roman" w:cs="Times New Roman"/>
          <w:sz w:val="16"/>
          <w:szCs w:val="16"/>
        </w:rPr>
        <w:t>PCOS.</w:t>
      </w:r>
    </w:p>
    <w:p w14:paraId="6E1A9039" w14:textId="570FC77C" w:rsidR="00BA2CCE" w:rsidRPr="007614A6" w:rsidRDefault="00BA2CCE" w:rsidP="00231AA2">
      <w:pPr>
        <w:pStyle w:val="FootnoteText"/>
        <w:spacing w:before="20" w:after="20"/>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1</w:t>
      </w:r>
      <w:r w:rsidRPr="007614A6">
        <w:rPr>
          <w:rFonts w:ascii="Times New Roman" w:hAnsi="Times New Roman" w:cs="Times New Roman"/>
          <w:sz w:val="16"/>
          <w:szCs w:val="16"/>
          <w:vertAlign w:val="superscript"/>
        </w:rPr>
        <w:t>4</w:t>
      </w:r>
      <w:r w:rsidRPr="007614A6">
        <w:rPr>
          <w:rFonts w:ascii="Times New Roman" w:hAnsi="Times New Roman" w:cs="Times New Roman"/>
          <w:sz w:val="16"/>
          <w:szCs w:val="16"/>
        </w:rPr>
        <w:t xml:space="preserve"> HRV is </w:t>
      </w:r>
      <w:r w:rsidRPr="007614A6">
        <w:rPr>
          <w:rFonts w:ascii="Times New Roman" w:hAnsi="Times New Roman" w:cs="Times New Roman"/>
          <w:sz w:val="16"/>
          <w:szCs w:val="16"/>
          <w:shd w:val="clear" w:color="auto" w:fill="FFFFFF"/>
        </w:rPr>
        <w:t>the variation of the time intervals between consecutive heartbeats in a given amount of time, usually about 15 minutes or 24 hrs. (Shaffer &amp; Ginsberg 2017).</w:t>
      </w:r>
    </w:p>
    <w:p w14:paraId="2003B880" w14:textId="066F9F4F" w:rsidR="00BA2CCE" w:rsidRPr="007614A6" w:rsidRDefault="00BA2CCE" w:rsidP="00231AA2">
      <w:pPr>
        <w:pStyle w:val="FootnoteText"/>
        <w:spacing w:before="20" w:after="20"/>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1</w:t>
      </w:r>
      <w:r w:rsidR="00132C74">
        <w:rPr>
          <w:rFonts w:ascii="Times New Roman" w:hAnsi="Times New Roman" w:cs="Times New Roman"/>
          <w:sz w:val="16"/>
          <w:szCs w:val="16"/>
          <w:vertAlign w:val="superscript"/>
        </w:rPr>
        <w:t>5</w:t>
      </w:r>
      <w:r w:rsidRPr="007614A6">
        <w:rPr>
          <w:rFonts w:ascii="Times New Roman" w:hAnsi="Times New Roman" w:cs="Times New Roman"/>
          <w:sz w:val="16"/>
          <w:szCs w:val="16"/>
        </w:rPr>
        <w:t xml:space="preserve"> The NN term refers to the interval of time between heartbeats (</w:t>
      </w:r>
      <w:r w:rsidR="001D7300">
        <w:rPr>
          <w:rFonts w:ascii="Times New Roman" w:hAnsi="Times New Roman" w:cs="Times New Roman"/>
          <w:sz w:val="16"/>
          <w:szCs w:val="16"/>
        </w:rPr>
        <w:t>ETF</w:t>
      </w:r>
      <w:r w:rsidRPr="007614A6">
        <w:rPr>
          <w:rFonts w:ascii="Times New Roman" w:hAnsi="Times New Roman" w:cs="Times New Roman"/>
          <w:sz w:val="16"/>
          <w:szCs w:val="16"/>
        </w:rPr>
        <w:t xml:space="preserve"> 1996).</w:t>
      </w:r>
    </w:p>
    <w:p w14:paraId="49C9C417" w14:textId="2EFC2376" w:rsidR="00BA2CCE" w:rsidRPr="007614A6" w:rsidRDefault="00BA2CCE" w:rsidP="00BA2CCE">
      <w:pPr>
        <w:pStyle w:val="FootnoteText"/>
        <w:spacing w:before="20" w:after="20"/>
        <w:rPr>
          <w:rFonts w:ascii="Times New Roman" w:hAnsi="Times New Roman" w:cs="Times New Roman"/>
          <w:sz w:val="16"/>
          <w:szCs w:val="16"/>
        </w:rPr>
      </w:pPr>
      <w:r w:rsidRPr="007614A6">
        <w:rPr>
          <w:rStyle w:val="FootnoteReference"/>
          <w:rFonts w:ascii="Times New Roman" w:hAnsi="Times New Roman" w:cs="Times New Roman"/>
          <w:sz w:val="16"/>
          <w:szCs w:val="16"/>
        </w:rPr>
        <w:t>1</w:t>
      </w:r>
      <w:r w:rsidR="00132C74">
        <w:rPr>
          <w:rFonts w:ascii="Times New Roman" w:hAnsi="Times New Roman" w:cs="Times New Roman"/>
          <w:sz w:val="16"/>
          <w:szCs w:val="16"/>
          <w:vertAlign w:val="superscript"/>
        </w:rPr>
        <w:t>6</w:t>
      </w:r>
      <w:r w:rsidRPr="007614A6">
        <w:rPr>
          <w:rFonts w:ascii="Times New Roman" w:hAnsi="Times New Roman" w:cs="Times New Roman"/>
          <w:sz w:val="16"/>
          <w:szCs w:val="16"/>
        </w:rPr>
        <w:t xml:space="preserve"> pNN50 refers to </w:t>
      </w:r>
      <w:r w:rsidRPr="007614A6">
        <w:rPr>
          <w:rFonts w:ascii="Times New Roman" w:hAnsi="Times New Roman" w:cs="Times New Roman"/>
          <w:sz w:val="16"/>
          <w:szCs w:val="16"/>
          <w:shd w:val="clear" w:color="auto" w:fill="FFFFFF"/>
        </w:rPr>
        <w:t xml:space="preserve">the percentage derived by dividing the number of interval differences of successive heartbeat intervals greater than fifty </w:t>
      </w:r>
      <w:r w:rsidRPr="009E614D">
        <w:rPr>
          <w:rFonts w:ascii="Times New Roman" w:hAnsi="Times New Roman" w:cs="Times New Roman"/>
          <w:i/>
          <w:iCs/>
          <w:sz w:val="16"/>
          <w:szCs w:val="16"/>
          <w:shd w:val="clear" w:color="auto" w:fill="FFFFFF"/>
        </w:rPr>
        <w:t>ms</w:t>
      </w:r>
      <w:r w:rsidRPr="007614A6">
        <w:rPr>
          <w:rFonts w:ascii="Times New Roman" w:hAnsi="Times New Roman" w:cs="Times New Roman"/>
          <w:sz w:val="16"/>
          <w:szCs w:val="16"/>
          <w:shd w:val="clear" w:color="auto" w:fill="FFFFFF"/>
        </w:rPr>
        <w:t xml:space="preserve"> by the total number of heartbeat intervals </w:t>
      </w:r>
      <w:r w:rsidRPr="007614A6">
        <w:rPr>
          <w:rFonts w:ascii="Times New Roman" w:hAnsi="Times New Roman" w:cs="Times New Roman"/>
          <w:sz w:val="16"/>
          <w:szCs w:val="16"/>
        </w:rPr>
        <w:t>(</w:t>
      </w:r>
      <w:r w:rsidR="00E63F9C">
        <w:rPr>
          <w:rFonts w:ascii="Times New Roman" w:hAnsi="Times New Roman" w:cs="Times New Roman"/>
          <w:sz w:val="16"/>
          <w:szCs w:val="16"/>
        </w:rPr>
        <w:t>ETF</w:t>
      </w:r>
      <w:r w:rsidRPr="007614A6">
        <w:rPr>
          <w:rFonts w:ascii="Times New Roman" w:hAnsi="Times New Roman" w:cs="Times New Roman"/>
          <w:sz w:val="16"/>
          <w:szCs w:val="16"/>
        </w:rPr>
        <w:t xml:space="preserve"> 1996).</w:t>
      </w:r>
    </w:p>
    <w:p w14:paraId="5C748C08" w14:textId="209D7534" w:rsidR="00BA2CCE" w:rsidRPr="007614A6" w:rsidRDefault="00BA2CCE" w:rsidP="00231AA2">
      <w:pPr>
        <w:pStyle w:val="FootnoteText"/>
        <w:spacing w:before="20" w:after="20"/>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1</w:t>
      </w:r>
      <w:r w:rsidR="00132C74">
        <w:rPr>
          <w:rFonts w:ascii="Times New Roman" w:hAnsi="Times New Roman" w:cs="Times New Roman"/>
          <w:sz w:val="16"/>
          <w:szCs w:val="16"/>
          <w:vertAlign w:val="superscript"/>
        </w:rPr>
        <w:t>7</w:t>
      </w:r>
      <w:r w:rsidRPr="007614A6">
        <w:rPr>
          <w:rFonts w:ascii="Times New Roman" w:hAnsi="Times New Roman" w:cs="Times New Roman"/>
          <w:sz w:val="16"/>
          <w:szCs w:val="16"/>
        </w:rPr>
        <w:t xml:space="preserve"> Low frequency power is a low frequency oscillatory component of heart rate (Reyes Del Paso et </w:t>
      </w:r>
      <w:r w:rsidR="00656A5A">
        <w:rPr>
          <w:rFonts w:ascii="Times New Roman" w:hAnsi="Times New Roman" w:cs="Times New Roman"/>
          <w:sz w:val="16"/>
          <w:szCs w:val="16"/>
        </w:rPr>
        <w:t>al.</w:t>
      </w:r>
      <w:r w:rsidRPr="007614A6">
        <w:rPr>
          <w:rFonts w:ascii="Times New Roman" w:hAnsi="Times New Roman" w:cs="Times New Roman"/>
          <w:sz w:val="16"/>
          <w:szCs w:val="16"/>
        </w:rPr>
        <w:t xml:space="preserve"> 2013) </w:t>
      </w:r>
    </w:p>
    <w:p w14:paraId="7E2CFB66" w14:textId="49F05E85" w:rsidR="00BA2CCE" w:rsidRPr="007614A6" w:rsidRDefault="00BA2CCE" w:rsidP="00231AA2">
      <w:pPr>
        <w:pStyle w:val="FootnoteText"/>
        <w:spacing w:before="20" w:after="20"/>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1</w:t>
      </w:r>
      <w:r w:rsidR="002007E5">
        <w:rPr>
          <w:rFonts w:ascii="Times New Roman" w:hAnsi="Times New Roman" w:cs="Times New Roman"/>
          <w:sz w:val="16"/>
          <w:szCs w:val="16"/>
          <w:vertAlign w:val="superscript"/>
        </w:rPr>
        <w:t>8</w:t>
      </w:r>
      <w:r w:rsidRPr="007614A6">
        <w:rPr>
          <w:rFonts w:ascii="Times New Roman" w:hAnsi="Times New Roman" w:cs="Times New Roman"/>
          <w:sz w:val="16"/>
          <w:szCs w:val="16"/>
        </w:rPr>
        <w:t xml:space="preserve"> High frequency power is a high frequency oscillatory component of heart rate (Reyes Del Paso et </w:t>
      </w:r>
      <w:r w:rsidR="00656A5A">
        <w:rPr>
          <w:rFonts w:ascii="Times New Roman" w:hAnsi="Times New Roman" w:cs="Times New Roman"/>
          <w:sz w:val="16"/>
          <w:szCs w:val="16"/>
        </w:rPr>
        <w:t>al.</w:t>
      </w:r>
      <w:r w:rsidRPr="007614A6">
        <w:rPr>
          <w:rFonts w:ascii="Times New Roman" w:hAnsi="Times New Roman" w:cs="Times New Roman"/>
          <w:sz w:val="16"/>
          <w:szCs w:val="16"/>
        </w:rPr>
        <w:t xml:space="preserve"> 2013)</w:t>
      </w:r>
    </w:p>
    <w:p w14:paraId="1EB578DC" w14:textId="692F9C36" w:rsidR="00BA2CCE" w:rsidRPr="007614A6" w:rsidRDefault="00DF45E2" w:rsidP="00231AA2">
      <w:pPr>
        <w:pStyle w:val="FootnoteText"/>
        <w:jc w:val="both"/>
        <w:rPr>
          <w:rFonts w:ascii="Times New Roman" w:hAnsi="Times New Roman" w:cs="Times New Roman"/>
          <w:sz w:val="16"/>
          <w:szCs w:val="16"/>
        </w:rPr>
      </w:pPr>
      <w:r w:rsidRPr="00DF45E2">
        <w:rPr>
          <w:rFonts w:ascii="Times New Roman" w:hAnsi="Times New Roman" w:cs="Times New Roman"/>
          <w:sz w:val="16"/>
          <w:szCs w:val="16"/>
          <w:vertAlign w:val="superscript"/>
        </w:rPr>
        <w:t>19</w:t>
      </w:r>
      <w:r w:rsidR="00BA2CCE" w:rsidRPr="007614A6">
        <w:rPr>
          <w:rFonts w:ascii="Times New Roman" w:hAnsi="Times New Roman" w:cs="Times New Roman"/>
          <w:sz w:val="16"/>
          <w:szCs w:val="16"/>
          <w:vertAlign w:val="superscript"/>
        </w:rPr>
        <w:t xml:space="preserve"> </w:t>
      </w:r>
      <w:r w:rsidR="00BA2CCE" w:rsidRPr="007614A6">
        <w:rPr>
          <w:rFonts w:ascii="Times New Roman" w:hAnsi="Times New Roman" w:cs="Times New Roman"/>
          <w:sz w:val="16"/>
          <w:szCs w:val="16"/>
        </w:rPr>
        <w:t xml:space="preserve">‘Total powers’ is considered equivalent to </w:t>
      </w:r>
      <w:r w:rsidR="005E6449">
        <w:rPr>
          <w:rFonts w:ascii="Times New Roman" w:hAnsi="Times New Roman" w:cs="Times New Roman"/>
          <w:sz w:val="16"/>
          <w:szCs w:val="16"/>
        </w:rPr>
        <w:t xml:space="preserve">SDNN </w:t>
      </w:r>
      <w:r w:rsidR="00BA2CCE" w:rsidRPr="007614A6">
        <w:rPr>
          <w:rFonts w:ascii="Times New Roman" w:hAnsi="Times New Roman" w:cs="Times New Roman"/>
          <w:sz w:val="16"/>
          <w:szCs w:val="16"/>
        </w:rPr>
        <w:t>in diagnostic value and as such it will not be covered (</w:t>
      </w:r>
      <w:r w:rsidR="00E63F9C">
        <w:rPr>
          <w:rFonts w:ascii="Times New Roman" w:hAnsi="Times New Roman" w:cs="Times New Roman"/>
          <w:sz w:val="16"/>
          <w:szCs w:val="16"/>
        </w:rPr>
        <w:t xml:space="preserve">ETF </w:t>
      </w:r>
      <w:r w:rsidR="00BA2CCE" w:rsidRPr="007614A6">
        <w:rPr>
          <w:rFonts w:ascii="Times New Roman" w:hAnsi="Times New Roman" w:cs="Times New Roman"/>
          <w:sz w:val="16"/>
          <w:szCs w:val="16"/>
        </w:rPr>
        <w:t>1996)</w:t>
      </w:r>
    </w:p>
    <w:p w14:paraId="32EA4CB1" w14:textId="3168DC82"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2</w:t>
      </w:r>
      <w:r w:rsidR="00DF45E2">
        <w:rPr>
          <w:rFonts w:ascii="Times New Roman" w:hAnsi="Times New Roman" w:cs="Times New Roman"/>
          <w:sz w:val="16"/>
          <w:szCs w:val="16"/>
          <w:vertAlign w:val="superscript"/>
        </w:rPr>
        <w:t>0</w:t>
      </w:r>
      <w:r w:rsidRPr="007614A6">
        <w:rPr>
          <w:rFonts w:ascii="Times New Roman" w:hAnsi="Times New Roman" w:cs="Times New Roman"/>
          <w:sz w:val="16"/>
          <w:szCs w:val="16"/>
        </w:rPr>
        <w:t xml:space="preserve"> This was seen observed in Hachim et al’s 2015 overweight sample of PCOS women and </w:t>
      </w:r>
      <w:r w:rsidR="00F9255E" w:rsidRPr="007614A6">
        <w:rPr>
          <w:rFonts w:ascii="Times New Roman" w:hAnsi="Times New Roman" w:cs="Times New Roman"/>
          <w:sz w:val="16"/>
          <w:szCs w:val="16"/>
        </w:rPr>
        <w:t>controls.</w:t>
      </w:r>
    </w:p>
    <w:p w14:paraId="618CE1B0" w14:textId="1B6C6384"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2</w:t>
      </w:r>
      <w:r w:rsidR="00DF45E2">
        <w:rPr>
          <w:rFonts w:ascii="Times New Roman" w:hAnsi="Times New Roman" w:cs="Times New Roman"/>
          <w:sz w:val="16"/>
          <w:szCs w:val="16"/>
          <w:vertAlign w:val="superscript"/>
        </w:rPr>
        <w:t>1</w:t>
      </w:r>
      <w:r w:rsidRPr="007614A6">
        <w:rPr>
          <w:rFonts w:ascii="Times New Roman" w:hAnsi="Times New Roman" w:cs="Times New Roman"/>
          <w:sz w:val="16"/>
          <w:szCs w:val="16"/>
        </w:rPr>
        <w:t xml:space="preserve"> LF</w:t>
      </w:r>
      <w:r w:rsidRPr="007614A6">
        <w:rPr>
          <w:rFonts w:ascii="Times New Roman" w:hAnsi="Times New Roman" w:cs="Times New Roman"/>
          <w:sz w:val="16"/>
          <w:szCs w:val="16"/>
          <w:vertAlign w:val="subscript"/>
        </w:rPr>
        <w:t xml:space="preserve">nu </w:t>
      </w:r>
      <w:r w:rsidRPr="007614A6">
        <w:rPr>
          <w:rFonts w:ascii="Times New Roman" w:hAnsi="Times New Roman" w:cs="Times New Roman"/>
          <w:sz w:val="16"/>
          <w:szCs w:val="16"/>
        </w:rPr>
        <w:t>is LF in normalized units (</w:t>
      </w:r>
      <w:r w:rsidR="00E63F9C">
        <w:rPr>
          <w:rFonts w:ascii="Times New Roman" w:hAnsi="Times New Roman" w:cs="Times New Roman"/>
          <w:sz w:val="16"/>
          <w:szCs w:val="16"/>
        </w:rPr>
        <w:t>ETF</w:t>
      </w:r>
      <w:r w:rsidRPr="007614A6">
        <w:rPr>
          <w:rFonts w:ascii="Times New Roman" w:hAnsi="Times New Roman" w:cs="Times New Roman"/>
          <w:sz w:val="16"/>
          <w:szCs w:val="16"/>
        </w:rPr>
        <w:t xml:space="preserve"> 1996).</w:t>
      </w:r>
    </w:p>
    <w:p w14:paraId="74BB1066" w14:textId="336DCB59"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2</w:t>
      </w:r>
      <w:r w:rsidR="00DF45E2">
        <w:rPr>
          <w:rFonts w:ascii="Times New Roman" w:hAnsi="Times New Roman" w:cs="Times New Roman"/>
          <w:sz w:val="16"/>
          <w:szCs w:val="16"/>
          <w:vertAlign w:val="superscript"/>
        </w:rPr>
        <w:t>2</w:t>
      </w:r>
      <w:r w:rsidRPr="007614A6">
        <w:rPr>
          <w:rFonts w:ascii="Times New Roman" w:hAnsi="Times New Roman" w:cs="Times New Roman"/>
          <w:sz w:val="16"/>
          <w:szCs w:val="16"/>
        </w:rPr>
        <w:t xml:space="preserve"> The finding only held for HF</w:t>
      </w:r>
      <w:r w:rsidRPr="007614A6">
        <w:rPr>
          <w:rFonts w:ascii="Times New Roman" w:hAnsi="Times New Roman" w:cs="Times New Roman"/>
          <w:sz w:val="16"/>
          <w:szCs w:val="16"/>
          <w:vertAlign w:val="subscript"/>
        </w:rPr>
        <w:t xml:space="preserve">nu </w:t>
      </w:r>
      <w:r w:rsidRPr="007614A6">
        <w:rPr>
          <w:rFonts w:ascii="Times New Roman" w:hAnsi="Times New Roman" w:cs="Times New Roman"/>
          <w:sz w:val="16"/>
          <w:szCs w:val="16"/>
        </w:rPr>
        <w:t>not HF.</w:t>
      </w:r>
    </w:p>
    <w:p w14:paraId="477115BC" w14:textId="677C403C"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2</w:t>
      </w:r>
      <w:r w:rsidR="00E929E4">
        <w:rPr>
          <w:rFonts w:ascii="Times New Roman" w:hAnsi="Times New Roman" w:cs="Times New Roman"/>
          <w:sz w:val="16"/>
          <w:szCs w:val="16"/>
          <w:vertAlign w:val="superscript"/>
        </w:rPr>
        <w:t>3</w:t>
      </w:r>
      <w:r w:rsidRPr="007614A6">
        <w:rPr>
          <w:rFonts w:ascii="Times New Roman" w:hAnsi="Times New Roman" w:cs="Times New Roman"/>
          <w:sz w:val="16"/>
          <w:szCs w:val="16"/>
        </w:rPr>
        <w:t xml:space="preserve"> The vagus nerve is a principal component of the parasympathetic nervous system (Breit et </w:t>
      </w:r>
      <w:r w:rsidR="00656A5A">
        <w:rPr>
          <w:rFonts w:ascii="Times New Roman" w:hAnsi="Times New Roman" w:cs="Times New Roman"/>
          <w:sz w:val="16"/>
          <w:szCs w:val="16"/>
        </w:rPr>
        <w:t>al.</w:t>
      </w:r>
      <w:r w:rsidRPr="007614A6">
        <w:rPr>
          <w:rFonts w:ascii="Times New Roman" w:hAnsi="Times New Roman" w:cs="Times New Roman"/>
          <w:sz w:val="16"/>
          <w:szCs w:val="16"/>
        </w:rPr>
        <w:t xml:space="preserve"> 2018)</w:t>
      </w:r>
    </w:p>
    <w:p w14:paraId="585BB0BA" w14:textId="6E5BFC66"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2</w:t>
      </w:r>
      <w:r w:rsidR="00E929E4">
        <w:rPr>
          <w:rFonts w:ascii="Times New Roman" w:hAnsi="Times New Roman" w:cs="Times New Roman"/>
          <w:sz w:val="16"/>
          <w:szCs w:val="16"/>
          <w:vertAlign w:val="superscript"/>
        </w:rPr>
        <w:t>4</w:t>
      </w:r>
      <w:r w:rsidRPr="007614A6">
        <w:rPr>
          <w:rFonts w:ascii="Times New Roman" w:hAnsi="Times New Roman" w:cs="Times New Roman"/>
          <w:sz w:val="16"/>
          <w:szCs w:val="16"/>
        </w:rPr>
        <w:t xml:space="preserve"> This was only observed in Hachim et al’s 2015 overweight sample of PCOS women and controls.</w:t>
      </w:r>
    </w:p>
    <w:p w14:paraId="5097AAD5" w14:textId="37927817"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2</w:t>
      </w:r>
      <w:r w:rsidR="00E929E4">
        <w:rPr>
          <w:rFonts w:ascii="Times New Roman" w:hAnsi="Times New Roman" w:cs="Times New Roman"/>
          <w:sz w:val="16"/>
          <w:szCs w:val="16"/>
          <w:vertAlign w:val="superscript"/>
        </w:rPr>
        <w:t>5</w:t>
      </w:r>
      <w:r w:rsidRPr="007614A6">
        <w:rPr>
          <w:rFonts w:ascii="Times New Roman" w:hAnsi="Times New Roman" w:cs="Times New Roman"/>
          <w:sz w:val="16"/>
          <w:szCs w:val="16"/>
        </w:rPr>
        <w:t xml:space="preserve"> For the purposes of overall length and relatedness to the other sections, only the cognitive facets of impulsiveness, anger, and anxiety (and their related behaviors) will be covered here.</w:t>
      </w:r>
    </w:p>
    <w:p w14:paraId="6581905B" w14:textId="27368B78"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2</w:t>
      </w:r>
      <w:r w:rsidR="00E929E4">
        <w:rPr>
          <w:rFonts w:ascii="Times New Roman" w:hAnsi="Times New Roman" w:cs="Times New Roman"/>
          <w:sz w:val="16"/>
          <w:szCs w:val="16"/>
          <w:vertAlign w:val="superscript"/>
        </w:rPr>
        <w:t>6</w:t>
      </w:r>
      <w:r w:rsidRPr="007614A6">
        <w:rPr>
          <w:rFonts w:ascii="Times New Roman" w:hAnsi="Times New Roman" w:cs="Times New Roman"/>
          <w:sz w:val="16"/>
          <w:szCs w:val="16"/>
        </w:rPr>
        <w:t xml:space="preserve"> Parasympathetic nerves activate more rapidly (&lt;1 s) than sympathetic nerves (&gt;5 s) (Shaffer &amp; Ginsberg 2017)</w:t>
      </w:r>
    </w:p>
    <w:p w14:paraId="368BF13D" w14:textId="4881449D"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2</w:t>
      </w:r>
      <w:r w:rsidR="00E929E4">
        <w:rPr>
          <w:rFonts w:ascii="Times New Roman" w:hAnsi="Times New Roman" w:cs="Times New Roman"/>
          <w:sz w:val="16"/>
          <w:szCs w:val="16"/>
          <w:vertAlign w:val="superscript"/>
        </w:rPr>
        <w:t>7</w:t>
      </w:r>
      <w:r w:rsidRPr="007614A6">
        <w:rPr>
          <w:rFonts w:ascii="Times New Roman" w:hAnsi="Times New Roman" w:cs="Times New Roman"/>
          <w:sz w:val="16"/>
          <w:szCs w:val="16"/>
        </w:rPr>
        <w:t xml:space="preserve"> Because HR is a mixed measure of ANS tone, Farmer et al. (2013) used CSI and CVT as surrogate markers of ANS </w:t>
      </w:r>
      <w:r w:rsidR="00F9255E" w:rsidRPr="007614A6">
        <w:rPr>
          <w:rFonts w:ascii="Times New Roman" w:hAnsi="Times New Roman" w:cs="Times New Roman"/>
          <w:sz w:val="16"/>
          <w:szCs w:val="16"/>
        </w:rPr>
        <w:t>recovery.</w:t>
      </w:r>
    </w:p>
    <w:p w14:paraId="31B28681" w14:textId="76A263AE"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2</w:t>
      </w:r>
      <w:r w:rsidR="00E929E4">
        <w:rPr>
          <w:rFonts w:ascii="Times New Roman" w:hAnsi="Times New Roman" w:cs="Times New Roman"/>
          <w:sz w:val="16"/>
          <w:szCs w:val="16"/>
          <w:vertAlign w:val="superscript"/>
        </w:rPr>
        <w:t>8</w:t>
      </w:r>
      <w:r w:rsidRPr="007614A6">
        <w:rPr>
          <w:rFonts w:ascii="Times New Roman" w:hAnsi="Times New Roman" w:cs="Times New Roman"/>
          <w:sz w:val="16"/>
          <w:szCs w:val="16"/>
        </w:rPr>
        <w:t xml:space="preserve"> Most people find esophageal intubation particularly stressful while conscious. For that reason, it is considered an acute autonomic nervous system (ANS) stressor (Farmer et </w:t>
      </w:r>
      <w:r w:rsidR="00656A5A">
        <w:rPr>
          <w:rFonts w:ascii="Times New Roman" w:hAnsi="Times New Roman" w:cs="Times New Roman"/>
          <w:sz w:val="16"/>
          <w:szCs w:val="16"/>
        </w:rPr>
        <w:t>al.</w:t>
      </w:r>
      <w:r w:rsidRPr="007614A6">
        <w:rPr>
          <w:rFonts w:ascii="Times New Roman" w:hAnsi="Times New Roman" w:cs="Times New Roman"/>
          <w:sz w:val="16"/>
          <w:szCs w:val="16"/>
        </w:rPr>
        <w:t xml:space="preserve"> 2013) </w:t>
      </w:r>
    </w:p>
    <w:p w14:paraId="28DED86F" w14:textId="6BA8346E" w:rsidR="00BA2CCE" w:rsidRPr="007614A6" w:rsidRDefault="005F200F" w:rsidP="00231AA2">
      <w:pPr>
        <w:pStyle w:val="FootnoteText"/>
        <w:jc w:val="both"/>
        <w:rPr>
          <w:rFonts w:ascii="Times New Roman" w:hAnsi="Times New Roman" w:cs="Times New Roman"/>
          <w:sz w:val="16"/>
          <w:szCs w:val="16"/>
        </w:rPr>
      </w:pPr>
      <w:r w:rsidRPr="005F200F">
        <w:rPr>
          <w:rFonts w:ascii="Times New Roman" w:hAnsi="Times New Roman" w:cs="Times New Roman"/>
          <w:sz w:val="16"/>
          <w:szCs w:val="16"/>
          <w:vertAlign w:val="superscript"/>
        </w:rPr>
        <w:t>29</w:t>
      </w:r>
      <w:r w:rsidR="00BA2CCE" w:rsidRPr="007614A6">
        <w:rPr>
          <w:rFonts w:ascii="Times New Roman" w:hAnsi="Times New Roman" w:cs="Times New Roman"/>
          <w:sz w:val="16"/>
          <w:szCs w:val="16"/>
          <w:vertAlign w:val="superscript"/>
        </w:rPr>
        <w:t xml:space="preserve"> </w:t>
      </w:r>
      <w:r w:rsidR="00BA2CCE" w:rsidRPr="007614A6">
        <w:rPr>
          <w:rFonts w:ascii="Times New Roman" w:hAnsi="Times New Roman" w:cs="Times New Roman"/>
          <w:sz w:val="16"/>
          <w:szCs w:val="16"/>
        </w:rPr>
        <w:t>Higher values reflect increased parasympathetic (vagal) activity (ETF 1996)</w:t>
      </w:r>
    </w:p>
    <w:p w14:paraId="0821DE70" w14:textId="55332DC3"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3</w:t>
      </w:r>
      <w:r w:rsidR="005F200F">
        <w:rPr>
          <w:rFonts w:ascii="Times New Roman" w:hAnsi="Times New Roman" w:cs="Times New Roman"/>
          <w:sz w:val="16"/>
          <w:szCs w:val="16"/>
          <w:vertAlign w:val="superscript"/>
        </w:rPr>
        <w:t>0</w:t>
      </w:r>
      <w:r w:rsidRPr="007614A6">
        <w:rPr>
          <w:rFonts w:ascii="Times New Roman" w:hAnsi="Times New Roman" w:cs="Times New Roman"/>
          <w:sz w:val="16"/>
          <w:szCs w:val="16"/>
          <w:vertAlign w:val="superscript"/>
        </w:rPr>
        <w:t xml:space="preserve"> </w:t>
      </w:r>
      <w:r w:rsidRPr="007614A6">
        <w:rPr>
          <w:rFonts w:ascii="Times New Roman" w:hAnsi="Times New Roman" w:cs="Times New Roman"/>
          <w:sz w:val="16"/>
          <w:szCs w:val="16"/>
        </w:rPr>
        <w:t>Impulsiveness is a sub-facet of Neuroticism (Costa &amp; McCrae 1995).</w:t>
      </w:r>
    </w:p>
    <w:p w14:paraId="165F2670" w14:textId="7774308E"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3</w:t>
      </w:r>
      <w:r w:rsidR="005F200F">
        <w:rPr>
          <w:rFonts w:ascii="Times New Roman" w:hAnsi="Times New Roman" w:cs="Times New Roman"/>
          <w:sz w:val="16"/>
          <w:szCs w:val="16"/>
          <w:vertAlign w:val="superscript"/>
        </w:rPr>
        <w:t>1</w:t>
      </w:r>
      <w:r w:rsidRPr="007614A6">
        <w:rPr>
          <w:rFonts w:ascii="Times New Roman" w:hAnsi="Times New Roman" w:cs="Times New Roman"/>
          <w:sz w:val="16"/>
          <w:szCs w:val="16"/>
        </w:rPr>
        <w:t xml:space="preserve"> To the author’s knowledge, this is the only study that</w:t>
      </w:r>
      <w:r w:rsidR="009D3D03">
        <w:rPr>
          <w:rFonts w:ascii="Times New Roman" w:hAnsi="Times New Roman" w:cs="Times New Roman"/>
          <w:sz w:val="16"/>
          <w:szCs w:val="16"/>
        </w:rPr>
        <w:t xml:space="preserve"> has</w:t>
      </w:r>
      <w:r w:rsidRPr="007614A6">
        <w:rPr>
          <w:rFonts w:ascii="Times New Roman" w:hAnsi="Times New Roman" w:cs="Times New Roman"/>
          <w:sz w:val="16"/>
          <w:szCs w:val="16"/>
        </w:rPr>
        <w:t xml:space="preserve"> examined the relationship between androgens and impulsiveness in women with PCOS. </w:t>
      </w:r>
    </w:p>
    <w:p w14:paraId="5B524F8F" w14:textId="70C9CBB1"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3</w:t>
      </w:r>
      <w:r w:rsidR="005F200F">
        <w:rPr>
          <w:rFonts w:ascii="Times New Roman" w:hAnsi="Times New Roman" w:cs="Times New Roman"/>
          <w:sz w:val="16"/>
          <w:szCs w:val="16"/>
          <w:vertAlign w:val="superscript"/>
        </w:rPr>
        <w:t>2</w:t>
      </w:r>
      <w:r w:rsidRPr="007614A6">
        <w:rPr>
          <w:rFonts w:ascii="Times New Roman" w:hAnsi="Times New Roman" w:cs="Times New Roman"/>
          <w:sz w:val="16"/>
          <w:szCs w:val="16"/>
          <w:vertAlign w:val="superscript"/>
        </w:rPr>
        <w:t xml:space="preserve"> </w:t>
      </w:r>
      <w:r w:rsidRPr="007614A6">
        <w:rPr>
          <w:rFonts w:ascii="Times New Roman" w:hAnsi="Times New Roman" w:cs="Times New Roman"/>
          <w:sz w:val="16"/>
          <w:szCs w:val="16"/>
        </w:rPr>
        <w:t>Dehydroepiandrosterone sulfate.</w:t>
      </w:r>
    </w:p>
    <w:p w14:paraId="7FC2F59D" w14:textId="5398643B" w:rsidR="00BA2CCE" w:rsidRPr="007614A6" w:rsidRDefault="00BA2CCE" w:rsidP="00231AA2">
      <w:pPr>
        <w:spacing w:after="0" w:line="240" w:lineRule="auto"/>
        <w:jc w:val="both"/>
        <w:rPr>
          <w:rFonts w:ascii="Times New Roman" w:hAnsi="Times New Roman" w:cs="Times New Roman"/>
          <w:sz w:val="16"/>
          <w:szCs w:val="16"/>
        </w:rPr>
      </w:pPr>
      <w:r w:rsidRPr="005F200F">
        <w:rPr>
          <w:rStyle w:val="FootnoteReference"/>
          <w:rFonts w:ascii="Times New Roman" w:hAnsi="Times New Roman" w:cs="Times New Roman"/>
          <w:sz w:val="16"/>
          <w:szCs w:val="16"/>
        </w:rPr>
        <w:t>3</w:t>
      </w:r>
      <w:r w:rsidR="005F200F" w:rsidRPr="005F200F">
        <w:rPr>
          <w:rFonts w:ascii="Times New Roman" w:hAnsi="Times New Roman" w:cs="Times New Roman"/>
          <w:sz w:val="16"/>
          <w:szCs w:val="16"/>
          <w:vertAlign w:val="superscript"/>
        </w:rPr>
        <w:t>3</w:t>
      </w:r>
      <w:r w:rsidRPr="007614A6">
        <w:rPr>
          <w:rFonts w:ascii="Times New Roman" w:hAnsi="Times New Roman" w:cs="Times New Roman"/>
          <w:sz w:val="16"/>
          <w:szCs w:val="16"/>
        </w:rPr>
        <w:t xml:space="preserve"> Impulsivity more generally is related to a greater probability of being arrested for criminal offenses. See Ellis et al. (2019) for a review.</w:t>
      </w:r>
    </w:p>
    <w:p w14:paraId="755591FA" w14:textId="6968CF3B"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3</w:t>
      </w:r>
      <w:r w:rsidR="005F200F">
        <w:rPr>
          <w:rFonts w:ascii="Times New Roman" w:hAnsi="Times New Roman" w:cs="Times New Roman"/>
          <w:sz w:val="16"/>
          <w:szCs w:val="16"/>
          <w:vertAlign w:val="superscript"/>
        </w:rPr>
        <w:t>4</w:t>
      </w:r>
      <w:r w:rsidRPr="007614A6">
        <w:rPr>
          <w:rFonts w:ascii="Times New Roman" w:hAnsi="Times New Roman" w:cs="Times New Roman"/>
          <w:sz w:val="16"/>
          <w:szCs w:val="16"/>
          <w:vertAlign w:val="superscript"/>
        </w:rPr>
        <w:t xml:space="preserve"> </w:t>
      </w:r>
      <w:r w:rsidRPr="007614A6">
        <w:rPr>
          <w:rFonts w:ascii="Times New Roman" w:hAnsi="Times New Roman" w:cs="Times New Roman"/>
          <w:sz w:val="16"/>
          <w:szCs w:val="16"/>
        </w:rPr>
        <w:t>Anxiety is also a sub-facet of Neuroticism (Costa &amp; McCrae 1995).</w:t>
      </w:r>
    </w:p>
    <w:p w14:paraId="6ECE0D18" w14:textId="428F5E3E"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3</w:t>
      </w:r>
      <w:r w:rsidR="005F200F">
        <w:rPr>
          <w:rFonts w:ascii="Times New Roman" w:hAnsi="Times New Roman" w:cs="Times New Roman"/>
          <w:sz w:val="16"/>
          <w:szCs w:val="16"/>
          <w:vertAlign w:val="superscript"/>
        </w:rPr>
        <w:t>5</w:t>
      </w:r>
      <w:r w:rsidRPr="007614A6">
        <w:rPr>
          <w:rFonts w:ascii="Times New Roman" w:hAnsi="Times New Roman" w:cs="Times New Roman"/>
          <w:sz w:val="16"/>
          <w:szCs w:val="16"/>
        </w:rPr>
        <w:t xml:space="preserve"> Anger is also a sub-facet of Neuroticism (Costa &amp; McCrae 1995).</w:t>
      </w:r>
    </w:p>
    <w:p w14:paraId="71D9337F" w14:textId="7A9C8AA0" w:rsidR="00BA2CCE" w:rsidRPr="007614A6"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3</w:t>
      </w:r>
      <w:r w:rsidR="005F200F">
        <w:rPr>
          <w:rFonts w:ascii="Times New Roman" w:hAnsi="Times New Roman" w:cs="Times New Roman"/>
          <w:sz w:val="16"/>
          <w:szCs w:val="16"/>
          <w:vertAlign w:val="superscript"/>
        </w:rPr>
        <w:t>6</w:t>
      </w:r>
      <w:r w:rsidRPr="007614A6">
        <w:rPr>
          <w:rFonts w:ascii="Times New Roman" w:hAnsi="Times New Roman" w:cs="Times New Roman"/>
          <w:sz w:val="16"/>
          <w:szCs w:val="16"/>
        </w:rPr>
        <w:t xml:space="preserve"> In the case of unipolar disorder, obesity further may function as an exacerbator (Veltman-Verhulst et </w:t>
      </w:r>
      <w:r w:rsidR="00656A5A">
        <w:rPr>
          <w:rFonts w:ascii="Times New Roman" w:hAnsi="Times New Roman" w:cs="Times New Roman"/>
          <w:sz w:val="16"/>
          <w:szCs w:val="16"/>
        </w:rPr>
        <w:t>al.</w:t>
      </w:r>
      <w:r w:rsidRPr="007614A6">
        <w:rPr>
          <w:rFonts w:ascii="Times New Roman" w:hAnsi="Times New Roman" w:cs="Times New Roman"/>
          <w:sz w:val="16"/>
          <w:szCs w:val="16"/>
        </w:rPr>
        <w:t xml:space="preserve"> 2012; Barry et </w:t>
      </w:r>
      <w:r w:rsidR="00656A5A">
        <w:rPr>
          <w:rFonts w:ascii="Times New Roman" w:hAnsi="Times New Roman" w:cs="Times New Roman"/>
          <w:sz w:val="16"/>
          <w:szCs w:val="16"/>
        </w:rPr>
        <w:t>al.</w:t>
      </w:r>
      <w:r w:rsidRPr="007614A6">
        <w:rPr>
          <w:rFonts w:ascii="Times New Roman" w:hAnsi="Times New Roman" w:cs="Times New Roman"/>
          <w:sz w:val="16"/>
          <w:szCs w:val="16"/>
        </w:rPr>
        <w:t xml:space="preserve"> 2011a)</w:t>
      </w:r>
    </w:p>
    <w:p w14:paraId="45195ABF" w14:textId="77777777" w:rsidR="00231AA2" w:rsidRDefault="00BA2CCE" w:rsidP="00231AA2">
      <w:pPr>
        <w:pStyle w:val="FootnoteText"/>
        <w:jc w:val="both"/>
        <w:rPr>
          <w:rFonts w:ascii="Times New Roman" w:hAnsi="Times New Roman" w:cs="Times New Roman"/>
          <w:sz w:val="16"/>
          <w:szCs w:val="16"/>
        </w:rPr>
      </w:pPr>
      <w:r w:rsidRPr="007614A6">
        <w:rPr>
          <w:rStyle w:val="FootnoteReference"/>
          <w:rFonts w:ascii="Times New Roman" w:hAnsi="Times New Roman" w:cs="Times New Roman"/>
          <w:sz w:val="16"/>
          <w:szCs w:val="16"/>
        </w:rPr>
        <w:t>3</w:t>
      </w:r>
      <w:r w:rsidR="005F200F">
        <w:rPr>
          <w:rFonts w:ascii="Times New Roman" w:hAnsi="Times New Roman" w:cs="Times New Roman"/>
          <w:sz w:val="16"/>
          <w:szCs w:val="16"/>
          <w:vertAlign w:val="superscript"/>
        </w:rPr>
        <w:t>7</w:t>
      </w:r>
      <w:r w:rsidRPr="007614A6">
        <w:rPr>
          <w:rFonts w:ascii="Times New Roman" w:hAnsi="Times New Roman" w:cs="Times New Roman"/>
          <w:sz w:val="16"/>
          <w:szCs w:val="16"/>
          <w:vertAlign w:val="superscript"/>
        </w:rPr>
        <w:t xml:space="preserve"> </w:t>
      </w:r>
      <w:r w:rsidRPr="007614A6">
        <w:rPr>
          <w:rFonts w:ascii="Times New Roman" w:hAnsi="Times New Roman" w:cs="Times New Roman"/>
          <w:sz w:val="16"/>
          <w:szCs w:val="16"/>
        </w:rPr>
        <w:t xml:space="preserve">Two individuals may measure as equally “neurotic” in terms of the major factor </w:t>
      </w:r>
      <w:r w:rsidRPr="007614A6">
        <w:rPr>
          <w:rFonts w:ascii="Times New Roman" w:hAnsi="Times New Roman" w:cs="Times New Roman"/>
          <w:i/>
          <w:sz w:val="16"/>
          <w:szCs w:val="16"/>
        </w:rPr>
        <w:t>N</w:t>
      </w:r>
      <w:r w:rsidRPr="007614A6">
        <w:rPr>
          <w:rFonts w:ascii="Times New Roman" w:hAnsi="Times New Roman" w:cs="Times New Roman"/>
          <w:sz w:val="16"/>
          <w:szCs w:val="16"/>
        </w:rPr>
        <w:t xml:space="preserve"> but vary in their distribution across the six sub-factors that make it up (Costa &amp; McCrae 1995).</w:t>
      </w:r>
    </w:p>
    <w:p w14:paraId="3EA72B0E" w14:textId="77777777" w:rsidR="00231AA2" w:rsidRDefault="00231AA2" w:rsidP="00231AA2">
      <w:pPr>
        <w:pStyle w:val="FootnoteText"/>
        <w:jc w:val="both"/>
        <w:rPr>
          <w:rFonts w:ascii="Times New Roman" w:hAnsi="Times New Roman" w:cs="Times New Roman"/>
          <w:sz w:val="16"/>
          <w:szCs w:val="16"/>
        </w:rPr>
      </w:pPr>
    </w:p>
    <w:p w14:paraId="5BA360D7" w14:textId="77777777" w:rsidR="00231AA2" w:rsidRDefault="00231AA2" w:rsidP="00231AA2">
      <w:pPr>
        <w:pStyle w:val="FootnoteText"/>
        <w:jc w:val="both"/>
        <w:rPr>
          <w:rFonts w:ascii="Times New Roman" w:hAnsi="Times New Roman" w:cs="Times New Roman"/>
          <w:sz w:val="16"/>
          <w:szCs w:val="16"/>
        </w:rPr>
      </w:pPr>
    </w:p>
    <w:p w14:paraId="7F989486" w14:textId="78BB25D4" w:rsidR="004F7CD5" w:rsidRDefault="000E5AC9" w:rsidP="00231AA2">
      <w:pPr>
        <w:pStyle w:val="FootnoteText"/>
        <w:jc w:val="center"/>
        <w:rPr>
          <w:rFonts w:ascii="Times New Roman" w:hAnsi="Times New Roman" w:cs="Times New Roman"/>
          <w:b/>
          <w:bCs/>
        </w:rPr>
      </w:pPr>
      <w:r w:rsidRPr="000B36C3">
        <w:rPr>
          <w:rFonts w:ascii="Times New Roman" w:hAnsi="Times New Roman" w:cs="Times New Roman"/>
          <w:b/>
          <w:bCs/>
        </w:rPr>
        <w:t>References</w:t>
      </w:r>
    </w:p>
    <w:p w14:paraId="56F794E0" w14:textId="77777777" w:rsidR="00231AA2" w:rsidRDefault="00231AA2" w:rsidP="00231AA2">
      <w:pPr>
        <w:pStyle w:val="FootnoteText"/>
        <w:jc w:val="center"/>
        <w:rPr>
          <w:rFonts w:ascii="Times New Roman" w:hAnsi="Times New Roman" w:cs="Times New Roman"/>
          <w:sz w:val="16"/>
          <w:szCs w:val="16"/>
        </w:rPr>
      </w:pPr>
    </w:p>
    <w:p w14:paraId="5F058283" w14:textId="77777777" w:rsidR="00231AA2" w:rsidRPr="00231AA2" w:rsidRDefault="00231AA2" w:rsidP="00231AA2">
      <w:pPr>
        <w:pStyle w:val="FootnoteText"/>
        <w:jc w:val="center"/>
        <w:rPr>
          <w:rFonts w:ascii="Times New Roman" w:hAnsi="Times New Roman" w:cs="Times New Roman"/>
          <w:sz w:val="16"/>
          <w:szCs w:val="16"/>
        </w:rPr>
      </w:pPr>
    </w:p>
    <w:p w14:paraId="08C7024C" w14:textId="692944E6" w:rsidR="00845CEC" w:rsidRPr="000B36C3" w:rsidRDefault="00845CEC" w:rsidP="00231AA2">
      <w:pPr>
        <w:spacing w:line="240" w:lineRule="auto"/>
        <w:ind w:hanging="480"/>
        <w:contextualSpacing/>
        <w:rPr>
          <w:rFonts w:ascii="Times New Roman" w:hAnsi="Times New Roman" w:cs="Times New Roman"/>
          <w:color w:val="FF0000"/>
          <w:sz w:val="20"/>
          <w:szCs w:val="20"/>
        </w:rPr>
      </w:pPr>
      <w:r w:rsidRPr="000B36C3">
        <w:rPr>
          <w:rFonts w:ascii="Times New Roman" w:hAnsi="Times New Roman" w:cs="Times New Roman"/>
          <w:color w:val="222222"/>
          <w:sz w:val="20"/>
          <w:szCs w:val="20"/>
          <w:shd w:val="clear" w:color="auto" w:fill="FFFFFF"/>
        </w:rPr>
        <w:t xml:space="preserve">Abbott, D. H., D. K. Barnett, C. M. Bruns, and D. A. Dumesic. "Androgen excess fetal programming of female reproduction: a developmental aetiology for polycystic ovary </w:t>
      </w:r>
      <w:r w:rsidR="000B36C3" w:rsidRPr="000B36C3">
        <w:rPr>
          <w:rFonts w:ascii="Times New Roman" w:hAnsi="Times New Roman" w:cs="Times New Roman"/>
          <w:color w:val="222222"/>
          <w:sz w:val="20"/>
          <w:szCs w:val="20"/>
          <w:shd w:val="clear" w:color="auto" w:fill="FFFFFF"/>
        </w:rPr>
        <w:t>syndrome?</w:t>
      </w:r>
      <w:r w:rsidRPr="000B36C3">
        <w:rPr>
          <w:rFonts w:ascii="Times New Roman" w:hAnsi="Times New Roman" w:cs="Times New Roman"/>
          <w:color w:val="222222"/>
          <w:sz w:val="20"/>
          <w:szCs w:val="20"/>
          <w:shd w:val="clear" w:color="auto" w:fill="FFFFFF"/>
        </w:rPr>
        <w:t>" </w:t>
      </w:r>
      <w:r w:rsidRPr="000B36C3">
        <w:rPr>
          <w:rFonts w:ascii="Times New Roman" w:hAnsi="Times New Roman" w:cs="Times New Roman"/>
          <w:i/>
          <w:iCs/>
          <w:color w:val="222222"/>
          <w:sz w:val="20"/>
          <w:szCs w:val="20"/>
          <w:shd w:val="clear" w:color="auto" w:fill="FFFFFF"/>
        </w:rPr>
        <w:t>Human reproduction update</w:t>
      </w:r>
      <w:r w:rsidRPr="000B36C3">
        <w:rPr>
          <w:rFonts w:ascii="Times New Roman" w:hAnsi="Times New Roman" w:cs="Times New Roman"/>
          <w:color w:val="222222"/>
          <w:sz w:val="20"/>
          <w:szCs w:val="20"/>
          <w:shd w:val="clear" w:color="auto" w:fill="FFFFFF"/>
        </w:rPr>
        <w:t> 11, no. 4 (2005): 357-374.</w:t>
      </w:r>
    </w:p>
    <w:p w14:paraId="777B9454" w14:textId="7A4E803E" w:rsidR="00147410" w:rsidRPr="00884180" w:rsidRDefault="00C914EE" w:rsidP="00231AA2">
      <w:pPr>
        <w:spacing w:line="240" w:lineRule="auto"/>
        <w:ind w:hanging="480"/>
        <w:contextualSpacing/>
        <w:rPr>
          <w:rFonts w:ascii="Times New Roman" w:hAnsi="Times New Roman" w:cs="Times New Roman"/>
          <w:sz w:val="20"/>
          <w:szCs w:val="20"/>
        </w:rPr>
      </w:pPr>
      <w:r w:rsidRPr="00884180">
        <w:rPr>
          <w:rFonts w:ascii="Times New Roman" w:hAnsi="Times New Roman" w:cs="Times New Roman"/>
          <w:sz w:val="20"/>
          <w:szCs w:val="20"/>
        </w:rPr>
        <w:t xml:space="preserve">Alvarez, GE, SD Beske, TP Ballard, and KP Davy. “Sympathetic Neural Activation in Visceral Obesity.” </w:t>
      </w:r>
      <w:r w:rsidRPr="00884180">
        <w:rPr>
          <w:rFonts w:ascii="Times New Roman" w:hAnsi="Times New Roman" w:cs="Times New Roman"/>
          <w:i/>
          <w:iCs/>
          <w:sz w:val="20"/>
          <w:szCs w:val="20"/>
        </w:rPr>
        <w:t>C</w:t>
      </w:r>
      <w:r w:rsidR="00C71F29" w:rsidRPr="00884180">
        <w:rPr>
          <w:rFonts w:ascii="Times New Roman" w:hAnsi="Times New Roman" w:cs="Times New Roman"/>
          <w:i/>
          <w:iCs/>
          <w:sz w:val="20"/>
          <w:szCs w:val="20"/>
        </w:rPr>
        <w:t xml:space="preserve">irculation </w:t>
      </w:r>
      <w:r w:rsidRPr="00884180">
        <w:rPr>
          <w:rFonts w:ascii="Times New Roman" w:hAnsi="Times New Roman" w:cs="Times New Roman"/>
          <w:sz w:val="20"/>
          <w:szCs w:val="20"/>
        </w:rPr>
        <w:t>106</w:t>
      </w:r>
      <w:r w:rsidR="0009586F" w:rsidRPr="00884180">
        <w:rPr>
          <w:rFonts w:ascii="Times New Roman" w:hAnsi="Times New Roman" w:cs="Times New Roman"/>
          <w:sz w:val="20"/>
          <w:szCs w:val="20"/>
        </w:rPr>
        <w:t xml:space="preserve">, </w:t>
      </w:r>
      <w:r w:rsidR="00147410" w:rsidRPr="00884180">
        <w:rPr>
          <w:rFonts w:ascii="Times New Roman" w:hAnsi="Times New Roman" w:cs="Times New Roman"/>
          <w:sz w:val="20"/>
          <w:szCs w:val="20"/>
        </w:rPr>
        <w:t xml:space="preserve">no. 20 (2002): </w:t>
      </w:r>
      <w:r w:rsidR="00D973FF" w:rsidRPr="00884180">
        <w:rPr>
          <w:rFonts w:ascii="Times New Roman" w:hAnsi="Times New Roman" w:cs="Times New Roman"/>
          <w:sz w:val="20"/>
          <w:szCs w:val="20"/>
        </w:rPr>
        <w:t>2533–36.</w:t>
      </w:r>
    </w:p>
    <w:p w14:paraId="66D63880" w14:textId="58E1831D" w:rsidR="0006466C" w:rsidRPr="00C8489C" w:rsidRDefault="00C914EE" w:rsidP="00231AA2">
      <w:pPr>
        <w:spacing w:line="240" w:lineRule="auto"/>
        <w:ind w:hanging="480"/>
        <w:contextualSpacing/>
        <w:rPr>
          <w:rFonts w:ascii="Times New Roman" w:hAnsi="Times New Roman" w:cs="Times New Roman"/>
          <w:sz w:val="20"/>
          <w:szCs w:val="20"/>
        </w:rPr>
      </w:pPr>
      <w:r w:rsidRPr="00C8489C">
        <w:rPr>
          <w:rFonts w:ascii="Times New Roman" w:hAnsi="Times New Roman" w:cs="Times New Roman"/>
          <w:sz w:val="20"/>
          <w:szCs w:val="20"/>
        </w:rPr>
        <w:t xml:space="preserve">Anders, SM van, and E Hampson. “Waist-to-Hip Ratio Is Positively Associated with Bioavailable Testosterone but Negatively Associated with Sexual Desire in Healthy Premenopausal Women.” </w:t>
      </w:r>
      <w:r w:rsidR="002001B9" w:rsidRPr="00C8489C">
        <w:rPr>
          <w:rFonts w:ascii="Times New Roman" w:hAnsi="Times New Roman" w:cs="Times New Roman"/>
          <w:i/>
          <w:iCs/>
          <w:sz w:val="20"/>
          <w:szCs w:val="20"/>
        </w:rPr>
        <w:t xml:space="preserve">Psychosomatic Medicine </w:t>
      </w:r>
      <w:r w:rsidRPr="00C8489C">
        <w:rPr>
          <w:rFonts w:ascii="Times New Roman" w:hAnsi="Times New Roman" w:cs="Times New Roman"/>
          <w:sz w:val="20"/>
          <w:szCs w:val="20"/>
        </w:rPr>
        <w:t>67</w:t>
      </w:r>
      <w:r w:rsidR="00C8489C" w:rsidRPr="00C8489C">
        <w:rPr>
          <w:rFonts w:ascii="Times New Roman" w:hAnsi="Times New Roman" w:cs="Times New Roman"/>
          <w:sz w:val="20"/>
          <w:szCs w:val="20"/>
        </w:rPr>
        <w:t xml:space="preserve">, </w:t>
      </w:r>
      <w:r w:rsidR="0006466C" w:rsidRPr="00C8489C">
        <w:rPr>
          <w:rFonts w:ascii="Times New Roman" w:hAnsi="Times New Roman" w:cs="Times New Roman"/>
          <w:sz w:val="20"/>
          <w:szCs w:val="20"/>
        </w:rPr>
        <w:t xml:space="preserve">no. </w:t>
      </w:r>
      <w:r w:rsidR="00C8489C" w:rsidRPr="00C8489C">
        <w:rPr>
          <w:rFonts w:ascii="Times New Roman" w:hAnsi="Times New Roman" w:cs="Times New Roman"/>
          <w:sz w:val="20"/>
          <w:szCs w:val="20"/>
        </w:rPr>
        <w:t>2</w:t>
      </w:r>
      <w:r w:rsidR="0006466C" w:rsidRPr="00C8489C">
        <w:rPr>
          <w:rFonts w:ascii="Times New Roman" w:hAnsi="Times New Roman" w:cs="Times New Roman"/>
          <w:sz w:val="20"/>
          <w:szCs w:val="20"/>
        </w:rPr>
        <w:t xml:space="preserve"> (2005): </w:t>
      </w:r>
      <w:r w:rsidR="00C8489C" w:rsidRPr="00C8489C">
        <w:rPr>
          <w:rFonts w:ascii="Times New Roman" w:hAnsi="Times New Roman" w:cs="Times New Roman"/>
          <w:sz w:val="20"/>
          <w:szCs w:val="20"/>
        </w:rPr>
        <w:t>246-250</w:t>
      </w:r>
    </w:p>
    <w:p w14:paraId="790E793F" w14:textId="5562859F"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APA. “APA Dictionary of Psychology.” 2019. </w:t>
      </w:r>
      <w:hyperlink r:id="rId8" w:history="1">
        <w:r w:rsidRPr="0080521D">
          <w:rPr>
            <w:rStyle w:val="Hyperlink"/>
            <w:rFonts w:ascii="Times New Roman" w:hAnsi="Times New Roman" w:cs="Times New Roman"/>
            <w:color w:val="auto"/>
            <w:sz w:val="20"/>
            <w:szCs w:val="20"/>
          </w:rPr>
          <w:t>https://dictionary.apa.org/</w:t>
        </w:r>
      </w:hyperlink>
      <w:r w:rsidRPr="0080521D">
        <w:rPr>
          <w:rFonts w:ascii="Times New Roman" w:hAnsi="Times New Roman" w:cs="Times New Roman"/>
          <w:sz w:val="20"/>
          <w:szCs w:val="20"/>
        </w:rPr>
        <w:t>.</w:t>
      </w:r>
    </w:p>
    <w:p w14:paraId="2FED683E" w14:textId="63FFE0A9" w:rsidR="003D3A6A" w:rsidRPr="0004217B" w:rsidRDefault="00C914EE" w:rsidP="00231AA2">
      <w:pPr>
        <w:spacing w:line="240" w:lineRule="auto"/>
        <w:ind w:hanging="480"/>
        <w:contextualSpacing/>
        <w:rPr>
          <w:rFonts w:ascii="Times New Roman" w:hAnsi="Times New Roman" w:cs="Times New Roman"/>
          <w:color w:val="FF0000"/>
          <w:sz w:val="20"/>
          <w:szCs w:val="20"/>
        </w:rPr>
      </w:pPr>
      <w:r w:rsidRPr="0080521D">
        <w:rPr>
          <w:rFonts w:ascii="Times New Roman" w:hAnsi="Times New Roman" w:cs="Times New Roman"/>
          <w:sz w:val="20"/>
          <w:szCs w:val="20"/>
        </w:rPr>
        <w:t xml:space="preserve">Azziz, Ricardo, Enrico Carmina, Didier Dewailly, Evanthia Diamanti-Kandarakis, Hector F. Escobar-Morreale, Walter Futterweit, Onno E. Janssen, et al. “Criteria for Defining Polycystic Ovary Syndrome as a Predominantly Hyperandrogenic Syndrome: An Androgen Excess Society Guideline.” </w:t>
      </w:r>
      <w:r w:rsidR="00F50336">
        <w:rPr>
          <w:rFonts w:ascii="Times New Roman" w:hAnsi="Times New Roman" w:cs="Times New Roman"/>
          <w:i/>
          <w:iCs/>
          <w:sz w:val="20"/>
          <w:szCs w:val="20"/>
        </w:rPr>
        <w:t xml:space="preserve">Journal of Clinical Endocrinology &amp; </w:t>
      </w:r>
      <w:r w:rsidR="00F50336" w:rsidRPr="00D049B9">
        <w:rPr>
          <w:rFonts w:ascii="Times New Roman" w:hAnsi="Times New Roman" w:cs="Times New Roman"/>
          <w:i/>
          <w:iCs/>
          <w:sz w:val="20"/>
          <w:szCs w:val="20"/>
        </w:rPr>
        <w:t xml:space="preserve">Metabolism </w:t>
      </w:r>
      <w:r w:rsidRPr="00D049B9">
        <w:rPr>
          <w:rFonts w:ascii="Times New Roman" w:hAnsi="Times New Roman" w:cs="Times New Roman"/>
          <w:sz w:val="20"/>
          <w:szCs w:val="20"/>
        </w:rPr>
        <w:t>91</w:t>
      </w:r>
      <w:r w:rsidR="00D049B9" w:rsidRPr="00D049B9">
        <w:rPr>
          <w:rFonts w:ascii="Times New Roman" w:hAnsi="Times New Roman" w:cs="Times New Roman"/>
          <w:sz w:val="20"/>
          <w:szCs w:val="20"/>
        </w:rPr>
        <w:t xml:space="preserve">, </w:t>
      </w:r>
      <w:r w:rsidR="003D3A6A" w:rsidRPr="00D049B9">
        <w:rPr>
          <w:rFonts w:ascii="Times New Roman" w:hAnsi="Times New Roman" w:cs="Times New Roman"/>
          <w:sz w:val="20"/>
          <w:szCs w:val="20"/>
        </w:rPr>
        <w:t xml:space="preserve">no. 11 (2006): </w:t>
      </w:r>
      <w:r w:rsidR="00D049B9" w:rsidRPr="00D049B9">
        <w:rPr>
          <w:rFonts w:ascii="Times New Roman" w:hAnsi="Times New Roman" w:cs="Times New Roman"/>
          <w:sz w:val="20"/>
          <w:szCs w:val="20"/>
        </w:rPr>
        <w:t>4237-45.</w:t>
      </w:r>
      <w:r w:rsidR="003D3A6A" w:rsidRPr="00D049B9">
        <w:rPr>
          <w:rFonts w:ascii="Times New Roman" w:hAnsi="Times New Roman" w:cs="Times New Roman"/>
          <w:sz w:val="20"/>
          <w:szCs w:val="20"/>
        </w:rPr>
        <w:t xml:space="preserve"> </w:t>
      </w:r>
    </w:p>
    <w:p w14:paraId="4A3C2BB1" w14:textId="58C87A66"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———.“The Androgen Excess and PCOS Society Criteria for the Polycystic Ovary Syndrome: The Complete Task Force Report.” </w:t>
      </w:r>
      <w:r w:rsidRPr="0080521D">
        <w:rPr>
          <w:rFonts w:ascii="Times New Roman" w:hAnsi="Times New Roman" w:cs="Times New Roman"/>
          <w:i/>
          <w:iCs/>
          <w:sz w:val="20"/>
          <w:szCs w:val="20"/>
        </w:rPr>
        <w:t>F</w:t>
      </w:r>
      <w:r w:rsidR="00C61705">
        <w:rPr>
          <w:rFonts w:ascii="Times New Roman" w:hAnsi="Times New Roman" w:cs="Times New Roman"/>
          <w:i/>
          <w:iCs/>
          <w:sz w:val="20"/>
          <w:szCs w:val="20"/>
        </w:rPr>
        <w:t xml:space="preserve">ertility and Sterility </w:t>
      </w:r>
      <w:r w:rsidRPr="0080521D">
        <w:rPr>
          <w:rFonts w:ascii="Times New Roman" w:hAnsi="Times New Roman" w:cs="Times New Roman"/>
          <w:sz w:val="20"/>
          <w:szCs w:val="20"/>
        </w:rPr>
        <w:t>91</w:t>
      </w:r>
      <w:r w:rsidR="006C55A0">
        <w:rPr>
          <w:rFonts w:ascii="Times New Roman" w:hAnsi="Times New Roman" w:cs="Times New Roman"/>
          <w:sz w:val="20"/>
          <w:szCs w:val="20"/>
        </w:rPr>
        <w:t>, no. 2 (2009)</w:t>
      </w:r>
      <w:r w:rsidRPr="0080521D">
        <w:rPr>
          <w:rFonts w:ascii="Times New Roman" w:hAnsi="Times New Roman" w:cs="Times New Roman"/>
          <w:sz w:val="20"/>
          <w:szCs w:val="20"/>
        </w:rPr>
        <w:t>: 456–</w:t>
      </w:r>
      <w:r w:rsidR="0006701B" w:rsidRPr="0080521D">
        <w:rPr>
          <w:rFonts w:ascii="Times New Roman" w:hAnsi="Times New Roman" w:cs="Times New Roman"/>
          <w:sz w:val="20"/>
          <w:szCs w:val="20"/>
        </w:rPr>
        <w:t>88.</w:t>
      </w:r>
    </w:p>
    <w:p w14:paraId="6A5AA8CE" w14:textId="1F9B77C0" w:rsidR="00D049B9" w:rsidRPr="0004217B" w:rsidRDefault="00C914EE" w:rsidP="00231AA2">
      <w:pPr>
        <w:spacing w:line="240" w:lineRule="auto"/>
        <w:ind w:hanging="480"/>
        <w:contextualSpacing/>
        <w:rPr>
          <w:rFonts w:ascii="Times New Roman" w:hAnsi="Times New Roman" w:cs="Times New Roman"/>
          <w:color w:val="FF0000"/>
          <w:sz w:val="20"/>
          <w:szCs w:val="20"/>
        </w:rPr>
      </w:pPr>
      <w:r w:rsidRPr="0080521D">
        <w:rPr>
          <w:rFonts w:ascii="Times New Roman" w:hAnsi="Times New Roman" w:cs="Times New Roman"/>
          <w:sz w:val="20"/>
          <w:szCs w:val="20"/>
        </w:rPr>
        <w:t xml:space="preserve">Balen, Adam H., Gerry S. Conway, Gregory Kaltsas, Kitirak Techatraisak, Patrick J. Manning, Christine West, and </w:t>
      </w:r>
      <w:r w:rsidRPr="00E86BAE">
        <w:rPr>
          <w:rFonts w:ascii="Times New Roman" w:hAnsi="Times New Roman" w:cs="Times New Roman"/>
          <w:sz w:val="20"/>
          <w:szCs w:val="20"/>
        </w:rPr>
        <w:t xml:space="preserve">Howard S. Jacobs. “Andrology: Polycystic Ovary Syndrome: The Spectrum of the Disorder in 1741 Patients.” </w:t>
      </w:r>
      <w:r w:rsidRPr="00E86BAE">
        <w:rPr>
          <w:rFonts w:ascii="Times New Roman" w:hAnsi="Times New Roman" w:cs="Times New Roman"/>
          <w:i/>
          <w:iCs/>
          <w:sz w:val="20"/>
          <w:szCs w:val="20"/>
        </w:rPr>
        <w:t>Human Reproduction</w:t>
      </w:r>
      <w:r w:rsidRPr="00E86BAE">
        <w:rPr>
          <w:rFonts w:ascii="Times New Roman" w:hAnsi="Times New Roman" w:cs="Times New Roman"/>
          <w:sz w:val="20"/>
          <w:szCs w:val="20"/>
        </w:rPr>
        <w:t xml:space="preserve"> 10</w:t>
      </w:r>
      <w:r w:rsidR="00E86BAE" w:rsidRPr="00E86BAE">
        <w:rPr>
          <w:rFonts w:ascii="Times New Roman" w:hAnsi="Times New Roman" w:cs="Times New Roman"/>
          <w:sz w:val="20"/>
          <w:szCs w:val="20"/>
        </w:rPr>
        <w:t xml:space="preserve">, </w:t>
      </w:r>
      <w:r w:rsidR="00D049B9" w:rsidRPr="00E86BAE">
        <w:rPr>
          <w:rFonts w:ascii="Times New Roman" w:hAnsi="Times New Roman" w:cs="Times New Roman"/>
          <w:sz w:val="20"/>
          <w:szCs w:val="20"/>
        </w:rPr>
        <w:t xml:space="preserve">no. 8 (1995): 2107-11. </w:t>
      </w:r>
    </w:p>
    <w:p w14:paraId="2A4DB0C8" w14:textId="4CE8EEE4" w:rsidR="00E86BAE" w:rsidRPr="008A583D" w:rsidRDefault="00C914EE" w:rsidP="00231AA2">
      <w:pPr>
        <w:spacing w:line="240" w:lineRule="auto"/>
        <w:ind w:hanging="480"/>
        <w:contextualSpacing/>
        <w:rPr>
          <w:rFonts w:ascii="Times New Roman" w:hAnsi="Times New Roman" w:cs="Times New Roman"/>
          <w:sz w:val="20"/>
          <w:szCs w:val="20"/>
        </w:rPr>
      </w:pPr>
      <w:r w:rsidRPr="008A583D">
        <w:rPr>
          <w:rFonts w:ascii="Times New Roman" w:hAnsi="Times New Roman" w:cs="Times New Roman"/>
          <w:sz w:val="20"/>
          <w:szCs w:val="20"/>
        </w:rPr>
        <w:t xml:space="preserve">Bansal, Nidhi. “Prediabetes Diagnosis and Treatment: A Review.” </w:t>
      </w:r>
      <w:r w:rsidRPr="008A583D">
        <w:rPr>
          <w:rFonts w:ascii="Times New Roman" w:hAnsi="Times New Roman" w:cs="Times New Roman"/>
          <w:i/>
          <w:iCs/>
          <w:sz w:val="20"/>
          <w:szCs w:val="20"/>
        </w:rPr>
        <w:t>World Journal of Diabetes</w:t>
      </w:r>
      <w:r w:rsidRPr="008A583D">
        <w:rPr>
          <w:rFonts w:ascii="Times New Roman" w:hAnsi="Times New Roman" w:cs="Times New Roman"/>
          <w:sz w:val="20"/>
          <w:szCs w:val="20"/>
        </w:rPr>
        <w:t xml:space="preserve"> 6</w:t>
      </w:r>
      <w:r w:rsidR="008A583D" w:rsidRPr="008A583D">
        <w:rPr>
          <w:rFonts w:ascii="Times New Roman" w:hAnsi="Times New Roman" w:cs="Times New Roman"/>
          <w:sz w:val="20"/>
          <w:szCs w:val="20"/>
        </w:rPr>
        <w:t xml:space="preserve">, </w:t>
      </w:r>
      <w:r w:rsidR="00E86BAE" w:rsidRPr="008A583D">
        <w:rPr>
          <w:rFonts w:ascii="Times New Roman" w:hAnsi="Times New Roman" w:cs="Times New Roman"/>
          <w:sz w:val="20"/>
          <w:szCs w:val="20"/>
        </w:rPr>
        <w:t xml:space="preserve">no. 2 (2015): </w:t>
      </w:r>
      <w:r w:rsidR="008A583D" w:rsidRPr="008A583D">
        <w:rPr>
          <w:rFonts w:ascii="Times New Roman" w:hAnsi="Times New Roman" w:cs="Times New Roman"/>
          <w:sz w:val="20"/>
          <w:szCs w:val="20"/>
        </w:rPr>
        <w:t xml:space="preserve">296. </w:t>
      </w:r>
    </w:p>
    <w:p w14:paraId="4DE727C2" w14:textId="6BBD01C2" w:rsidR="00A1643A" w:rsidRPr="00F4281C" w:rsidRDefault="00C914EE" w:rsidP="00231AA2">
      <w:pPr>
        <w:spacing w:line="240" w:lineRule="auto"/>
        <w:ind w:hanging="480"/>
        <w:contextualSpacing/>
        <w:rPr>
          <w:rFonts w:ascii="Times New Roman" w:hAnsi="Times New Roman" w:cs="Times New Roman"/>
          <w:sz w:val="20"/>
          <w:szCs w:val="20"/>
        </w:rPr>
      </w:pPr>
      <w:r w:rsidRPr="00F4281C">
        <w:rPr>
          <w:rFonts w:ascii="Times New Roman" w:hAnsi="Times New Roman" w:cs="Times New Roman"/>
          <w:sz w:val="20"/>
          <w:szCs w:val="20"/>
        </w:rPr>
        <w:t>Barry, J</w:t>
      </w:r>
      <w:r w:rsidR="00B92E66" w:rsidRPr="00F4281C">
        <w:rPr>
          <w:rFonts w:ascii="Times New Roman" w:hAnsi="Times New Roman" w:cs="Times New Roman"/>
          <w:sz w:val="20"/>
          <w:szCs w:val="20"/>
        </w:rPr>
        <w:t>.</w:t>
      </w:r>
      <w:r w:rsidR="00B42A67" w:rsidRPr="00F4281C">
        <w:rPr>
          <w:rFonts w:ascii="Times New Roman" w:hAnsi="Times New Roman" w:cs="Times New Roman"/>
          <w:sz w:val="20"/>
          <w:szCs w:val="20"/>
        </w:rPr>
        <w:t xml:space="preserve"> </w:t>
      </w:r>
      <w:r w:rsidRPr="00F4281C">
        <w:rPr>
          <w:rFonts w:ascii="Times New Roman" w:hAnsi="Times New Roman" w:cs="Times New Roman"/>
          <w:sz w:val="20"/>
          <w:szCs w:val="20"/>
        </w:rPr>
        <w:t xml:space="preserve">A., Paul J. Hardiman, Brian K. Saxby, and Andrew Kuczmierczyk. “Testosterone and Mood Dysfunction in Women with Polycystic Ovarian Syndrome Compared to Subfertile Controls.” </w:t>
      </w:r>
      <w:r w:rsidRPr="00F4281C">
        <w:rPr>
          <w:rFonts w:ascii="Times New Roman" w:hAnsi="Times New Roman" w:cs="Times New Roman"/>
          <w:i/>
          <w:iCs/>
          <w:sz w:val="20"/>
          <w:szCs w:val="20"/>
        </w:rPr>
        <w:t>Journal of Psychosomatic Obstetrics and Gynaecology</w:t>
      </w:r>
      <w:r w:rsidRPr="00F4281C">
        <w:rPr>
          <w:rFonts w:ascii="Times New Roman" w:hAnsi="Times New Roman" w:cs="Times New Roman"/>
          <w:sz w:val="20"/>
          <w:szCs w:val="20"/>
        </w:rPr>
        <w:t xml:space="preserve">, a, </w:t>
      </w:r>
      <w:r w:rsidR="00A1643A" w:rsidRPr="00F4281C">
        <w:rPr>
          <w:rFonts w:ascii="Times New Roman" w:hAnsi="Times New Roman" w:cs="Times New Roman"/>
          <w:sz w:val="20"/>
          <w:szCs w:val="20"/>
        </w:rPr>
        <w:t xml:space="preserve">no. </w:t>
      </w:r>
      <w:r w:rsidR="00887F3C" w:rsidRPr="00F4281C">
        <w:rPr>
          <w:rFonts w:ascii="Times New Roman" w:hAnsi="Times New Roman" w:cs="Times New Roman"/>
          <w:sz w:val="20"/>
          <w:szCs w:val="20"/>
        </w:rPr>
        <w:t>32-2</w:t>
      </w:r>
      <w:r w:rsidR="00A1643A" w:rsidRPr="00F4281C">
        <w:rPr>
          <w:rFonts w:ascii="Times New Roman" w:hAnsi="Times New Roman" w:cs="Times New Roman"/>
          <w:sz w:val="20"/>
          <w:szCs w:val="20"/>
        </w:rPr>
        <w:t xml:space="preserve"> (2011</w:t>
      </w:r>
      <w:r w:rsidR="00887F3C" w:rsidRPr="00F4281C">
        <w:rPr>
          <w:rFonts w:ascii="Times New Roman" w:hAnsi="Times New Roman" w:cs="Times New Roman"/>
          <w:sz w:val="20"/>
          <w:szCs w:val="20"/>
        </w:rPr>
        <w:t>a</w:t>
      </w:r>
      <w:r w:rsidR="00A1643A" w:rsidRPr="00F4281C">
        <w:rPr>
          <w:rFonts w:ascii="Times New Roman" w:hAnsi="Times New Roman" w:cs="Times New Roman"/>
          <w:sz w:val="20"/>
          <w:szCs w:val="20"/>
        </w:rPr>
        <w:t xml:space="preserve">): 104-11. </w:t>
      </w:r>
    </w:p>
    <w:p w14:paraId="73135686" w14:textId="683D6D15" w:rsidR="00034B87" w:rsidRPr="00D5695A" w:rsidRDefault="00B42A67" w:rsidP="00231AA2">
      <w:pPr>
        <w:spacing w:line="240" w:lineRule="auto"/>
        <w:ind w:hanging="480"/>
        <w:contextualSpacing/>
        <w:rPr>
          <w:rFonts w:ascii="Times New Roman" w:hAnsi="Times New Roman" w:cs="Times New Roman"/>
          <w:sz w:val="20"/>
          <w:szCs w:val="20"/>
        </w:rPr>
      </w:pPr>
      <w:r w:rsidRPr="00D5695A">
        <w:rPr>
          <w:rFonts w:ascii="Times New Roman" w:hAnsi="Times New Roman" w:cs="Times New Roman"/>
          <w:sz w:val="20"/>
          <w:szCs w:val="20"/>
        </w:rPr>
        <w:t>———</w:t>
      </w:r>
      <w:r w:rsidR="00034B87" w:rsidRPr="00D5695A">
        <w:rPr>
          <w:rFonts w:ascii="Times New Roman" w:hAnsi="Times New Roman" w:cs="Times New Roman"/>
          <w:sz w:val="20"/>
          <w:szCs w:val="20"/>
        </w:rPr>
        <w:t xml:space="preserve">., A. R. Kuczmierczyk, and P. J. Hardiman. “Anxiety and Depression in Polycystic Ovary Syndrome: A Systematic Review and Meta-Analysis.” </w:t>
      </w:r>
      <w:r w:rsidR="00034B87" w:rsidRPr="00D5695A">
        <w:rPr>
          <w:rFonts w:ascii="Times New Roman" w:hAnsi="Times New Roman" w:cs="Times New Roman"/>
          <w:i/>
          <w:iCs/>
          <w:sz w:val="20"/>
          <w:szCs w:val="20"/>
        </w:rPr>
        <w:t>H</w:t>
      </w:r>
      <w:r w:rsidR="00C61705" w:rsidRPr="00D5695A">
        <w:rPr>
          <w:rFonts w:ascii="Times New Roman" w:hAnsi="Times New Roman" w:cs="Times New Roman"/>
          <w:i/>
          <w:iCs/>
          <w:sz w:val="20"/>
          <w:szCs w:val="20"/>
        </w:rPr>
        <w:t xml:space="preserve">uman Reproduction </w:t>
      </w:r>
      <w:r w:rsidR="00034B87" w:rsidRPr="00D5695A">
        <w:rPr>
          <w:rFonts w:ascii="Times New Roman" w:hAnsi="Times New Roman" w:cs="Times New Roman"/>
          <w:sz w:val="20"/>
          <w:szCs w:val="20"/>
        </w:rPr>
        <w:t>26</w:t>
      </w:r>
      <w:r w:rsidR="00D5695A" w:rsidRPr="00D5695A">
        <w:rPr>
          <w:rFonts w:ascii="Times New Roman" w:hAnsi="Times New Roman" w:cs="Times New Roman"/>
          <w:sz w:val="20"/>
          <w:szCs w:val="20"/>
        </w:rPr>
        <w:t xml:space="preserve">, </w:t>
      </w:r>
      <w:r w:rsidR="00F4281C" w:rsidRPr="00D5695A">
        <w:rPr>
          <w:rFonts w:ascii="Times New Roman" w:hAnsi="Times New Roman" w:cs="Times New Roman"/>
          <w:sz w:val="20"/>
          <w:szCs w:val="20"/>
        </w:rPr>
        <w:t xml:space="preserve">no. 9 (2011b): 2442-51. </w:t>
      </w:r>
    </w:p>
    <w:p w14:paraId="1812B440" w14:textId="6323B154"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Barsky, Maya, Jamie Merkison, Pardis Hosseinzadeh, Liubin Yang, Janet Bruno-Gaston, Jay Dunn, William Gibbons, and </w:t>
      </w:r>
      <w:r w:rsidRPr="004546AE">
        <w:rPr>
          <w:rFonts w:ascii="Times New Roman" w:hAnsi="Times New Roman" w:cs="Times New Roman"/>
          <w:sz w:val="20"/>
          <w:szCs w:val="20"/>
        </w:rPr>
        <w:t xml:space="preserve">Chellakkan Selvanesan Blesson. “Fetal Programming of Polycystic Ovary Syndrome: Effects of Androgen Exposure </w:t>
      </w:r>
      <w:r w:rsidRPr="004546AE">
        <w:rPr>
          <w:rFonts w:ascii="Times New Roman" w:hAnsi="Times New Roman" w:cs="Times New Roman"/>
          <w:sz w:val="20"/>
          <w:szCs w:val="20"/>
        </w:rPr>
        <w:lastRenderedPageBreak/>
        <w:t xml:space="preserve">on Prenatal Ovarian Development.” </w:t>
      </w:r>
      <w:r w:rsidRPr="004546AE">
        <w:rPr>
          <w:rFonts w:ascii="Times New Roman" w:hAnsi="Times New Roman" w:cs="Times New Roman"/>
          <w:i/>
          <w:iCs/>
          <w:sz w:val="20"/>
          <w:szCs w:val="20"/>
        </w:rPr>
        <w:t>The Journal of Steroid Biochemistry and Molecular Biology</w:t>
      </w:r>
      <w:r w:rsidRPr="004546AE">
        <w:rPr>
          <w:rFonts w:ascii="Times New Roman" w:hAnsi="Times New Roman" w:cs="Times New Roman"/>
          <w:sz w:val="20"/>
          <w:szCs w:val="20"/>
        </w:rPr>
        <w:t xml:space="preserve"> 207</w:t>
      </w:r>
      <w:r w:rsidR="00B55545" w:rsidRPr="004546AE">
        <w:rPr>
          <w:rFonts w:ascii="Times New Roman" w:hAnsi="Times New Roman" w:cs="Times New Roman"/>
          <w:sz w:val="20"/>
          <w:szCs w:val="20"/>
        </w:rPr>
        <w:t xml:space="preserve">, </w:t>
      </w:r>
      <w:r w:rsidR="007F1226" w:rsidRPr="004546AE">
        <w:rPr>
          <w:rFonts w:ascii="Times New Roman" w:hAnsi="Times New Roman" w:cs="Times New Roman"/>
          <w:sz w:val="20"/>
          <w:szCs w:val="20"/>
        </w:rPr>
        <w:t>Ma</w:t>
      </w:r>
      <w:r w:rsidR="00B55545" w:rsidRPr="004546AE">
        <w:rPr>
          <w:rFonts w:ascii="Times New Roman" w:hAnsi="Times New Roman" w:cs="Times New Roman"/>
          <w:sz w:val="20"/>
          <w:szCs w:val="20"/>
        </w:rPr>
        <w:t>rch</w:t>
      </w:r>
      <w:r w:rsidR="00D5695A" w:rsidRPr="004546AE">
        <w:rPr>
          <w:rFonts w:ascii="Times New Roman" w:hAnsi="Times New Roman" w:cs="Times New Roman"/>
          <w:sz w:val="20"/>
          <w:szCs w:val="20"/>
        </w:rPr>
        <w:t xml:space="preserve"> (20</w:t>
      </w:r>
      <w:r w:rsidR="007F1226" w:rsidRPr="004546AE">
        <w:rPr>
          <w:rFonts w:ascii="Times New Roman" w:hAnsi="Times New Roman" w:cs="Times New Roman"/>
          <w:sz w:val="20"/>
          <w:szCs w:val="20"/>
        </w:rPr>
        <w:t>21</w:t>
      </w:r>
      <w:r w:rsidR="00D5695A" w:rsidRPr="004546AE">
        <w:rPr>
          <w:rFonts w:ascii="Times New Roman" w:hAnsi="Times New Roman" w:cs="Times New Roman"/>
          <w:sz w:val="20"/>
          <w:szCs w:val="20"/>
        </w:rPr>
        <w:t xml:space="preserve">): </w:t>
      </w:r>
      <w:r w:rsidR="00B55545" w:rsidRPr="004546AE">
        <w:rPr>
          <w:rFonts w:ascii="Times New Roman" w:hAnsi="Times New Roman" w:cs="Times New Roman"/>
          <w:sz w:val="20"/>
          <w:szCs w:val="20"/>
        </w:rPr>
        <w:t>105830</w:t>
      </w:r>
      <w:r w:rsidR="00D5695A" w:rsidRPr="004546AE">
        <w:rPr>
          <w:rFonts w:ascii="Times New Roman" w:hAnsi="Times New Roman" w:cs="Times New Roman"/>
          <w:sz w:val="20"/>
          <w:szCs w:val="20"/>
        </w:rPr>
        <w:t xml:space="preserve"> </w:t>
      </w:r>
    </w:p>
    <w:p w14:paraId="2099ADD4" w14:textId="4B1B48E8" w:rsidR="00C914EE" w:rsidRPr="004B7A7F" w:rsidRDefault="00C914EE" w:rsidP="00231AA2">
      <w:pPr>
        <w:spacing w:line="240" w:lineRule="auto"/>
        <w:ind w:hanging="480"/>
        <w:contextualSpacing/>
        <w:rPr>
          <w:rFonts w:ascii="Times New Roman" w:hAnsi="Times New Roman" w:cs="Times New Roman"/>
          <w:sz w:val="20"/>
          <w:szCs w:val="20"/>
        </w:rPr>
      </w:pPr>
      <w:r w:rsidRPr="004B7A7F">
        <w:rPr>
          <w:rFonts w:ascii="Times New Roman" w:hAnsi="Times New Roman" w:cs="Times New Roman"/>
          <w:sz w:val="20"/>
          <w:szCs w:val="20"/>
        </w:rPr>
        <w:t xml:space="preserve">Benson, S., P. C. Arck, S. Tan, S. Hahn, K. Mann, N. Rifaie, O. E. Janssen, M. Schedlowski, and S. Elsenbruch. “Disturbed Stress Responses in Women with Polycystic Ovary Syndrome.” </w:t>
      </w:r>
      <w:r w:rsidRPr="004B7A7F">
        <w:rPr>
          <w:rFonts w:ascii="Times New Roman" w:hAnsi="Times New Roman" w:cs="Times New Roman"/>
          <w:i/>
          <w:iCs/>
          <w:sz w:val="20"/>
          <w:szCs w:val="20"/>
        </w:rPr>
        <w:t>P</w:t>
      </w:r>
      <w:r w:rsidR="00E35129" w:rsidRPr="004B7A7F">
        <w:rPr>
          <w:rFonts w:ascii="Times New Roman" w:hAnsi="Times New Roman" w:cs="Times New Roman"/>
          <w:i/>
          <w:iCs/>
          <w:sz w:val="20"/>
          <w:szCs w:val="20"/>
        </w:rPr>
        <w:t>sycho</w:t>
      </w:r>
      <w:r w:rsidR="00386752" w:rsidRPr="004B7A7F">
        <w:rPr>
          <w:rFonts w:ascii="Times New Roman" w:hAnsi="Times New Roman" w:cs="Times New Roman"/>
          <w:i/>
          <w:iCs/>
          <w:sz w:val="20"/>
          <w:szCs w:val="20"/>
        </w:rPr>
        <w:t>n</w:t>
      </w:r>
      <w:r w:rsidR="00E35129" w:rsidRPr="004B7A7F">
        <w:rPr>
          <w:rFonts w:ascii="Times New Roman" w:hAnsi="Times New Roman" w:cs="Times New Roman"/>
          <w:i/>
          <w:iCs/>
          <w:sz w:val="20"/>
          <w:szCs w:val="20"/>
        </w:rPr>
        <w:t xml:space="preserve">euroendocrinology </w:t>
      </w:r>
      <w:r w:rsidRPr="004B7A7F">
        <w:rPr>
          <w:rFonts w:ascii="Times New Roman" w:hAnsi="Times New Roman" w:cs="Times New Roman"/>
          <w:sz w:val="20"/>
          <w:szCs w:val="20"/>
        </w:rPr>
        <w:t>34</w:t>
      </w:r>
      <w:r w:rsidR="004B7A7F" w:rsidRPr="004B7A7F">
        <w:rPr>
          <w:rFonts w:ascii="Times New Roman" w:hAnsi="Times New Roman" w:cs="Times New Roman"/>
          <w:sz w:val="20"/>
          <w:szCs w:val="20"/>
        </w:rPr>
        <w:t xml:space="preserve">, </w:t>
      </w:r>
      <w:r w:rsidR="004546AE" w:rsidRPr="004B7A7F">
        <w:rPr>
          <w:rFonts w:ascii="Times New Roman" w:hAnsi="Times New Roman" w:cs="Times New Roman"/>
          <w:sz w:val="20"/>
          <w:szCs w:val="20"/>
        </w:rPr>
        <w:t xml:space="preserve">no. </w:t>
      </w:r>
      <w:r w:rsidR="00A717BE" w:rsidRPr="004B7A7F">
        <w:rPr>
          <w:rFonts w:ascii="Times New Roman" w:hAnsi="Times New Roman" w:cs="Times New Roman"/>
          <w:sz w:val="20"/>
          <w:szCs w:val="20"/>
        </w:rPr>
        <w:t>5</w:t>
      </w:r>
      <w:r w:rsidR="004546AE" w:rsidRPr="004B7A7F">
        <w:rPr>
          <w:rFonts w:ascii="Times New Roman" w:hAnsi="Times New Roman" w:cs="Times New Roman"/>
          <w:sz w:val="20"/>
          <w:szCs w:val="20"/>
        </w:rPr>
        <w:t xml:space="preserve"> (200</w:t>
      </w:r>
      <w:r w:rsidR="00A717BE" w:rsidRPr="004B7A7F">
        <w:rPr>
          <w:rFonts w:ascii="Times New Roman" w:hAnsi="Times New Roman" w:cs="Times New Roman"/>
          <w:sz w:val="20"/>
          <w:szCs w:val="20"/>
        </w:rPr>
        <w:t>9</w:t>
      </w:r>
      <w:r w:rsidR="004546AE" w:rsidRPr="004B7A7F">
        <w:rPr>
          <w:rFonts w:ascii="Times New Roman" w:hAnsi="Times New Roman" w:cs="Times New Roman"/>
          <w:sz w:val="20"/>
          <w:szCs w:val="20"/>
        </w:rPr>
        <w:t xml:space="preserve">): </w:t>
      </w:r>
      <w:r w:rsidR="00A717BE" w:rsidRPr="004B7A7F">
        <w:rPr>
          <w:rFonts w:ascii="Times New Roman" w:hAnsi="Times New Roman" w:cs="Times New Roman"/>
          <w:sz w:val="20"/>
          <w:szCs w:val="20"/>
        </w:rPr>
        <w:t>727</w:t>
      </w:r>
      <w:r w:rsidR="004546AE" w:rsidRPr="004B7A7F">
        <w:rPr>
          <w:rFonts w:ascii="Times New Roman" w:hAnsi="Times New Roman" w:cs="Times New Roman"/>
          <w:sz w:val="20"/>
          <w:szCs w:val="20"/>
        </w:rPr>
        <w:t>–</w:t>
      </w:r>
      <w:r w:rsidR="004B7A7F" w:rsidRPr="004B7A7F">
        <w:rPr>
          <w:rFonts w:ascii="Times New Roman" w:hAnsi="Times New Roman" w:cs="Times New Roman"/>
          <w:sz w:val="20"/>
          <w:szCs w:val="20"/>
        </w:rPr>
        <w:t>35</w:t>
      </w:r>
      <w:r w:rsidR="004546AE" w:rsidRPr="004B7A7F">
        <w:rPr>
          <w:rFonts w:ascii="Times New Roman" w:hAnsi="Times New Roman" w:cs="Times New Roman"/>
          <w:sz w:val="20"/>
          <w:szCs w:val="20"/>
        </w:rPr>
        <w:t xml:space="preserve">. </w:t>
      </w:r>
    </w:p>
    <w:p w14:paraId="42AE68CB" w14:textId="611F675D"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Bozdag, Gurkan, Sezcan Mumusoglu, Dila Zengin, Erdem Karabulut, and Bulent Okan Yildiz. “The Prevalence and </w:t>
      </w:r>
      <w:r w:rsidRPr="00384C3A">
        <w:rPr>
          <w:rFonts w:ascii="Times New Roman" w:hAnsi="Times New Roman" w:cs="Times New Roman"/>
          <w:sz w:val="20"/>
          <w:szCs w:val="20"/>
        </w:rPr>
        <w:t xml:space="preserve">Phenotypic Features of Polycystic Ovary Syndrome: A Systematic Review and Meta-Analysis.” </w:t>
      </w:r>
      <w:r w:rsidRPr="00384C3A">
        <w:rPr>
          <w:rFonts w:ascii="Times New Roman" w:hAnsi="Times New Roman" w:cs="Times New Roman"/>
          <w:i/>
          <w:iCs/>
          <w:sz w:val="20"/>
          <w:szCs w:val="20"/>
        </w:rPr>
        <w:t>Human Reproduction</w:t>
      </w:r>
      <w:r w:rsidRPr="00384C3A">
        <w:rPr>
          <w:rFonts w:ascii="Times New Roman" w:hAnsi="Times New Roman" w:cs="Times New Roman"/>
          <w:sz w:val="20"/>
          <w:szCs w:val="20"/>
        </w:rPr>
        <w:t xml:space="preserve"> 31</w:t>
      </w:r>
      <w:r w:rsidR="00384C3A" w:rsidRPr="00384C3A">
        <w:rPr>
          <w:rFonts w:ascii="Times New Roman" w:hAnsi="Times New Roman" w:cs="Times New Roman"/>
          <w:sz w:val="20"/>
          <w:szCs w:val="20"/>
        </w:rPr>
        <w:t xml:space="preserve">, </w:t>
      </w:r>
      <w:r w:rsidR="000243B7" w:rsidRPr="00384C3A">
        <w:rPr>
          <w:rFonts w:ascii="Times New Roman" w:hAnsi="Times New Roman" w:cs="Times New Roman"/>
          <w:sz w:val="20"/>
          <w:szCs w:val="20"/>
        </w:rPr>
        <w:t xml:space="preserve">no. 12 (2016): 2841-55. </w:t>
      </w:r>
    </w:p>
    <w:p w14:paraId="37F7183A" w14:textId="57EEC59D"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Breit, Sigrid, Aleksandra Kupferberg, Gerhard Rogler, and Gregor Hasler. “Vagus Nerve as Modulator of the Brain–Gut Axis </w:t>
      </w:r>
      <w:r w:rsidRPr="00E25BE4">
        <w:rPr>
          <w:rFonts w:ascii="Times New Roman" w:hAnsi="Times New Roman" w:cs="Times New Roman"/>
          <w:sz w:val="20"/>
          <w:szCs w:val="20"/>
        </w:rPr>
        <w:t xml:space="preserve">in Psychiatric and Inflammatory Disorders.” </w:t>
      </w:r>
      <w:r w:rsidRPr="00E25BE4">
        <w:rPr>
          <w:rFonts w:ascii="Times New Roman" w:hAnsi="Times New Roman" w:cs="Times New Roman"/>
          <w:i/>
          <w:iCs/>
          <w:sz w:val="20"/>
          <w:szCs w:val="20"/>
        </w:rPr>
        <w:t>Frontiers in Psychiatry</w:t>
      </w:r>
      <w:r w:rsidR="00E25BE4" w:rsidRPr="00E25BE4">
        <w:rPr>
          <w:rFonts w:ascii="Times New Roman" w:hAnsi="Times New Roman" w:cs="Times New Roman"/>
          <w:sz w:val="20"/>
          <w:szCs w:val="20"/>
        </w:rPr>
        <w:t xml:space="preserve">, </w:t>
      </w:r>
      <w:r w:rsidR="00384C3A" w:rsidRPr="00E25BE4">
        <w:rPr>
          <w:rFonts w:ascii="Times New Roman" w:hAnsi="Times New Roman" w:cs="Times New Roman"/>
          <w:sz w:val="20"/>
          <w:szCs w:val="20"/>
        </w:rPr>
        <w:t xml:space="preserve">no. </w:t>
      </w:r>
      <w:r w:rsidR="00E25BE4" w:rsidRPr="00E25BE4">
        <w:rPr>
          <w:rFonts w:ascii="Times New Roman" w:hAnsi="Times New Roman" w:cs="Times New Roman"/>
          <w:sz w:val="20"/>
          <w:szCs w:val="20"/>
        </w:rPr>
        <w:t xml:space="preserve">9 </w:t>
      </w:r>
      <w:r w:rsidR="00384C3A" w:rsidRPr="00E25BE4">
        <w:rPr>
          <w:rFonts w:ascii="Times New Roman" w:hAnsi="Times New Roman" w:cs="Times New Roman"/>
          <w:sz w:val="20"/>
          <w:szCs w:val="20"/>
        </w:rPr>
        <w:t>(2018)</w:t>
      </w:r>
      <w:r w:rsidR="00E25BE4" w:rsidRPr="00E25BE4">
        <w:rPr>
          <w:rFonts w:ascii="Times New Roman" w:hAnsi="Times New Roman" w:cs="Times New Roman"/>
          <w:sz w:val="20"/>
          <w:szCs w:val="20"/>
        </w:rPr>
        <w:t xml:space="preserve">: 44 </w:t>
      </w:r>
    </w:p>
    <w:p w14:paraId="1D6932CD" w14:textId="52165E27" w:rsidR="00C914EE" w:rsidRPr="007E7654" w:rsidRDefault="00C914EE" w:rsidP="00231AA2">
      <w:pPr>
        <w:spacing w:line="240" w:lineRule="auto"/>
        <w:ind w:hanging="480"/>
        <w:contextualSpacing/>
        <w:rPr>
          <w:rFonts w:ascii="Times New Roman" w:hAnsi="Times New Roman" w:cs="Times New Roman"/>
          <w:color w:val="FF0000"/>
          <w:sz w:val="20"/>
          <w:szCs w:val="20"/>
        </w:rPr>
      </w:pPr>
      <w:r w:rsidRPr="0080521D">
        <w:rPr>
          <w:rFonts w:ascii="Times New Roman" w:hAnsi="Times New Roman" w:cs="Times New Roman"/>
          <w:sz w:val="20"/>
          <w:szCs w:val="20"/>
        </w:rPr>
        <w:t xml:space="preserve">Carmina, E., E. Guastella, R. A. Longo, G. B. Rini, and R. A. Lobo. “Correlates of Increased Lean Muscle Mass in Women with Polycystic Ovary Syndrome.” </w:t>
      </w:r>
      <w:r w:rsidRPr="0080521D">
        <w:rPr>
          <w:rFonts w:ascii="Times New Roman" w:hAnsi="Times New Roman" w:cs="Times New Roman"/>
          <w:i/>
          <w:iCs/>
          <w:sz w:val="20"/>
          <w:szCs w:val="20"/>
        </w:rPr>
        <w:t>E</w:t>
      </w:r>
      <w:r w:rsidR="00D67720">
        <w:rPr>
          <w:rFonts w:ascii="Times New Roman" w:hAnsi="Times New Roman" w:cs="Times New Roman"/>
          <w:i/>
          <w:iCs/>
          <w:sz w:val="20"/>
          <w:szCs w:val="20"/>
        </w:rPr>
        <w:t xml:space="preserve">uropean Journal </w:t>
      </w:r>
      <w:r w:rsidR="00377803">
        <w:rPr>
          <w:rFonts w:ascii="Times New Roman" w:hAnsi="Times New Roman" w:cs="Times New Roman"/>
          <w:i/>
          <w:iCs/>
          <w:sz w:val="20"/>
          <w:szCs w:val="20"/>
        </w:rPr>
        <w:t xml:space="preserve">of </w:t>
      </w:r>
      <w:r w:rsidR="00377803" w:rsidRPr="00AA4777">
        <w:rPr>
          <w:rFonts w:ascii="Times New Roman" w:hAnsi="Times New Roman" w:cs="Times New Roman"/>
          <w:i/>
          <w:iCs/>
          <w:sz w:val="20"/>
          <w:szCs w:val="20"/>
        </w:rPr>
        <w:t xml:space="preserve">Endocrinology </w:t>
      </w:r>
      <w:r w:rsidRPr="00AA4777">
        <w:rPr>
          <w:rFonts w:ascii="Times New Roman" w:hAnsi="Times New Roman" w:cs="Times New Roman"/>
          <w:sz w:val="20"/>
          <w:szCs w:val="20"/>
        </w:rPr>
        <w:t>161</w:t>
      </w:r>
      <w:r w:rsidR="00AA4777" w:rsidRPr="00AA4777">
        <w:rPr>
          <w:rFonts w:ascii="Times New Roman" w:hAnsi="Times New Roman" w:cs="Times New Roman"/>
          <w:sz w:val="20"/>
          <w:szCs w:val="20"/>
        </w:rPr>
        <w:t xml:space="preserve">, </w:t>
      </w:r>
      <w:r w:rsidR="00E25BE4" w:rsidRPr="00AA4777">
        <w:rPr>
          <w:rFonts w:ascii="Times New Roman" w:hAnsi="Times New Roman" w:cs="Times New Roman"/>
          <w:sz w:val="20"/>
          <w:szCs w:val="20"/>
        </w:rPr>
        <w:t xml:space="preserve">no. </w:t>
      </w:r>
      <w:r w:rsidR="007E7654" w:rsidRPr="00AA4777">
        <w:rPr>
          <w:rFonts w:ascii="Times New Roman" w:hAnsi="Times New Roman" w:cs="Times New Roman"/>
          <w:sz w:val="20"/>
          <w:szCs w:val="20"/>
        </w:rPr>
        <w:t>4</w:t>
      </w:r>
      <w:r w:rsidR="00E25BE4" w:rsidRPr="00AA4777">
        <w:rPr>
          <w:rFonts w:ascii="Times New Roman" w:hAnsi="Times New Roman" w:cs="Times New Roman"/>
          <w:sz w:val="20"/>
          <w:szCs w:val="20"/>
        </w:rPr>
        <w:t xml:space="preserve"> (20</w:t>
      </w:r>
      <w:r w:rsidR="007E7654" w:rsidRPr="00AA4777">
        <w:rPr>
          <w:rFonts w:ascii="Times New Roman" w:hAnsi="Times New Roman" w:cs="Times New Roman"/>
          <w:sz w:val="20"/>
          <w:szCs w:val="20"/>
        </w:rPr>
        <w:t>09</w:t>
      </w:r>
      <w:r w:rsidR="00E25BE4" w:rsidRPr="00AA4777">
        <w:rPr>
          <w:rFonts w:ascii="Times New Roman" w:hAnsi="Times New Roman" w:cs="Times New Roman"/>
          <w:sz w:val="20"/>
          <w:szCs w:val="20"/>
        </w:rPr>
        <w:t xml:space="preserve">): </w:t>
      </w:r>
      <w:r w:rsidR="00AA4777" w:rsidRPr="00AA4777">
        <w:rPr>
          <w:rFonts w:ascii="Times New Roman" w:hAnsi="Times New Roman" w:cs="Times New Roman"/>
          <w:sz w:val="20"/>
          <w:szCs w:val="20"/>
        </w:rPr>
        <w:t xml:space="preserve">583-89. </w:t>
      </w:r>
    </w:p>
    <w:p w14:paraId="67CEB21F" w14:textId="085C8420" w:rsidR="00C914EE" w:rsidRPr="0045363F" w:rsidRDefault="001274D9" w:rsidP="00231AA2">
      <w:pPr>
        <w:spacing w:line="240" w:lineRule="auto"/>
        <w:ind w:hanging="480"/>
        <w:contextualSpacing/>
        <w:rPr>
          <w:rFonts w:ascii="Times New Roman" w:hAnsi="Times New Roman" w:cs="Times New Roman"/>
          <w:sz w:val="20"/>
          <w:szCs w:val="20"/>
        </w:rPr>
      </w:pPr>
      <w:r w:rsidRPr="0045363F">
        <w:rPr>
          <w:rFonts w:ascii="Times New Roman" w:hAnsi="Times New Roman" w:cs="Times New Roman"/>
          <w:sz w:val="20"/>
          <w:szCs w:val="20"/>
        </w:rPr>
        <w:t>———.</w:t>
      </w:r>
      <w:r w:rsidR="00C914EE" w:rsidRPr="0045363F">
        <w:rPr>
          <w:rFonts w:ascii="Times New Roman" w:hAnsi="Times New Roman" w:cs="Times New Roman"/>
          <w:sz w:val="20"/>
          <w:szCs w:val="20"/>
        </w:rPr>
        <w:t>, Salvo Bucchieri, Antonella Esposito, Antonio Del Puente, Pasquale Mansueto, Francesco Orio, Gaetana Di Fede, and Giovam</w:t>
      </w:r>
      <w:r w:rsidR="00627155" w:rsidRPr="0045363F">
        <w:rPr>
          <w:rFonts w:ascii="Times New Roman" w:hAnsi="Times New Roman" w:cs="Times New Roman"/>
          <w:sz w:val="20"/>
          <w:szCs w:val="20"/>
        </w:rPr>
        <w:t xml:space="preserve"> </w:t>
      </w:r>
      <w:r w:rsidR="00C914EE" w:rsidRPr="0045363F">
        <w:rPr>
          <w:rFonts w:ascii="Times New Roman" w:hAnsi="Times New Roman" w:cs="Times New Roman"/>
          <w:sz w:val="20"/>
          <w:szCs w:val="20"/>
        </w:rPr>
        <w:t xml:space="preserve">Battista Rini. “Abdominal Fat Quantity and Distribution in Women with Polycystic Ovary Syndrome and Extent of Its Relation to Insulin Resistance.” </w:t>
      </w:r>
      <w:r w:rsidR="00C914EE" w:rsidRPr="0045363F">
        <w:rPr>
          <w:rFonts w:ascii="Times New Roman" w:hAnsi="Times New Roman" w:cs="Times New Roman"/>
          <w:i/>
          <w:iCs/>
          <w:sz w:val="20"/>
          <w:szCs w:val="20"/>
        </w:rPr>
        <w:t>J</w:t>
      </w:r>
      <w:r w:rsidR="00377803" w:rsidRPr="0045363F">
        <w:rPr>
          <w:rFonts w:ascii="Times New Roman" w:hAnsi="Times New Roman" w:cs="Times New Roman"/>
          <w:i/>
          <w:iCs/>
          <w:sz w:val="20"/>
          <w:szCs w:val="20"/>
        </w:rPr>
        <w:t xml:space="preserve">ournal of Clinical </w:t>
      </w:r>
      <w:r w:rsidR="00CF38E3" w:rsidRPr="0045363F">
        <w:rPr>
          <w:rFonts w:ascii="Times New Roman" w:hAnsi="Times New Roman" w:cs="Times New Roman"/>
          <w:i/>
          <w:iCs/>
          <w:sz w:val="20"/>
          <w:szCs w:val="20"/>
        </w:rPr>
        <w:t xml:space="preserve">Endocrinology &amp; Metabolism </w:t>
      </w:r>
      <w:r w:rsidR="00C914EE" w:rsidRPr="0045363F">
        <w:rPr>
          <w:rFonts w:ascii="Times New Roman" w:hAnsi="Times New Roman" w:cs="Times New Roman"/>
          <w:sz w:val="20"/>
          <w:szCs w:val="20"/>
        </w:rPr>
        <w:t>92</w:t>
      </w:r>
      <w:r w:rsidR="0045363F" w:rsidRPr="0045363F">
        <w:rPr>
          <w:rFonts w:ascii="Times New Roman" w:hAnsi="Times New Roman" w:cs="Times New Roman"/>
          <w:sz w:val="20"/>
          <w:szCs w:val="20"/>
        </w:rPr>
        <w:t xml:space="preserve">, </w:t>
      </w:r>
      <w:r w:rsidR="00AA4777" w:rsidRPr="0045363F">
        <w:rPr>
          <w:rFonts w:ascii="Times New Roman" w:hAnsi="Times New Roman" w:cs="Times New Roman"/>
          <w:sz w:val="20"/>
          <w:szCs w:val="20"/>
        </w:rPr>
        <w:t xml:space="preserve">no. </w:t>
      </w:r>
      <w:r w:rsidR="0045363F" w:rsidRPr="0045363F">
        <w:rPr>
          <w:rFonts w:ascii="Times New Roman" w:hAnsi="Times New Roman" w:cs="Times New Roman"/>
          <w:sz w:val="20"/>
          <w:szCs w:val="20"/>
        </w:rPr>
        <w:t>7</w:t>
      </w:r>
      <w:r w:rsidR="00AA4777" w:rsidRPr="0045363F">
        <w:rPr>
          <w:rFonts w:ascii="Times New Roman" w:hAnsi="Times New Roman" w:cs="Times New Roman"/>
          <w:sz w:val="20"/>
          <w:szCs w:val="20"/>
        </w:rPr>
        <w:t xml:space="preserve"> (20</w:t>
      </w:r>
      <w:r w:rsidR="0045363F" w:rsidRPr="0045363F">
        <w:rPr>
          <w:rFonts w:ascii="Times New Roman" w:hAnsi="Times New Roman" w:cs="Times New Roman"/>
          <w:sz w:val="20"/>
          <w:szCs w:val="20"/>
        </w:rPr>
        <w:t>07</w:t>
      </w:r>
      <w:r w:rsidR="00AA4777" w:rsidRPr="0045363F">
        <w:rPr>
          <w:rFonts w:ascii="Times New Roman" w:hAnsi="Times New Roman" w:cs="Times New Roman"/>
          <w:sz w:val="20"/>
          <w:szCs w:val="20"/>
        </w:rPr>
        <w:t>): 2</w:t>
      </w:r>
      <w:r w:rsidR="0045363F" w:rsidRPr="0045363F">
        <w:rPr>
          <w:rFonts w:ascii="Times New Roman" w:hAnsi="Times New Roman" w:cs="Times New Roman"/>
          <w:sz w:val="20"/>
          <w:szCs w:val="20"/>
        </w:rPr>
        <w:t xml:space="preserve">500-2505. </w:t>
      </w:r>
    </w:p>
    <w:p w14:paraId="7F942C52" w14:textId="57209110"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Cesta, Carolyn E., Mattias Månsson, Camilla Palm, Paul Lichtenstein, Anastasia N. Iliadou, and Mikael Landén. “Polycystic Ovary Syndrome and Psychiatric Disorders: Co-Morbidity and Heritability in a Nationwide Swedish Cohort.” </w:t>
      </w:r>
      <w:r w:rsidRPr="00296634">
        <w:rPr>
          <w:rFonts w:ascii="Times New Roman" w:hAnsi="Times New Roman" w:cs="Times New Roman"/>
          <w:i/>
          <w:iCs/>
          <w:sz w:val="20"/>
          <w:szCs w:val="20"/>
        </w:rPr>
        <w:t>Psychoneuroendocrinology</w:t>
      </w:r>
      <w:r w:rsidRPr="00296634">
        <w:rPr>
          <w:rFonts w:ascii="Times New Roman" w:hAnsi="Times New Roman" w:cs="Times New Roman"/>
          <w:sz w:val="20"/>
          <w:szCs w:val="20"/>
        </w:rPr>
        <w:t xml:space="preserve"> 73</w:t>
      </w:r>
      <w:r w:rsidR="00296634" w:rsidRPr="00296634">
        <w:rPr>
          <w:rFonts w:ascii="Times New Roman" w:hAnsi="Times New Roman" w:cs="Times New Roman"/>
          <w:sz w:val="20"/>
          <w:szCs w:val="20"/>
        </w:rPr>
        <w:t xml:space="preserve">, </w:t>
      </w:r>
      <w:r w:rsidR="00FE2E36" w:rsidRPr="00296634">
        <w:rPr>
          <w:rFonts w:ascii="Times New Roman" w:hAnsi="Times New Roman" w:cs="Times New Roman"/>
          <w:sz w:val="20"/>
          <w:szCs w:val="20"/>
        </w:rPr>
        <w:t xml:space="preserve">November (2016): 196-203. </w:t>
      </w:r>
    </w:p>
    <w:p w14:paraId="7275368E" w14:textId="4C5CD17A" w:rsidR="00C914EE" w:rsidRPr="00296634" w:rsidRDefault="00C914EE" w:rsidP="00231AA2">
      <w:pPr>
        <w:spacing w:line="240" w:lineRule="auto"/>
        <w:ind w:hanging="480"/>
        <w:contextualSpacing/>
        <w:rPr>
          <w:rFonts w:ascii="Times New Roman" w:hAnsi="Times New Roman" w:cs="Times New Roman"/>
          <w:sz w:val="20"/>
          <w:szCs w:val="20"/>
        </w:rPr>
      </w:pPr>
      <w:r w:rsidRPr="00296634">
        <w:rPr>
          <w:rFonts w:ascii="Times New Roman" w:hAnsi="Times New Roman" w:cs="Times New Roman"/>
          <w:sz w:val="20"/>
          <w:szCs w:val="20"/>
        </w:rPr>
        <w:t xml:space="preserve">Chida, Yoichi, and Mark Hamer. “Chronic Psychosocial Factors and Acute Physiological Responses to Laboratory-Induced Stress in Healthy Populations: A Quantitative Review of 30 Years of Investigations.” </w:t>
      </w:r>
      <w:r w:rsidRPr="00296634">
        <w:rPr>
          <w:rFonts w:ascii="Times New Roman" w:hAnsi="Times New Roman" w:cs="Times New Roman"/>
          <w:i/>
          <w:iCs/>
          <w:sz w:val="20"/>
          <w:szCs w:val="20"/>
        </w:rPr>
        <w:t>Psychological Bulletin</w:t>
      </w:r>
      <w:r w:rsidRPr="00296634">
        <w:rPr>
          <w:rFonts w:ascii="Times New Roman" w:hAnsi="Times New Roman" w:cs="Times New Roman"/>
          <w:sz w:val="20"/>
          <w:szCs w:val="20"/>
        </w:rPr>
        <w:t xml:space="preserve"> 134</w:t>
      </w:r>
      <w:r w:rsidR="00296634" w:rsidRPr="00296634">
        <w:rPr>
          <w:rFonts w:ascii="Times New Roman" w:hAnsi="Times New Roman" w:cs="Times New Roman"/>
          <w:sz w:val="20"/>
          <w:szCs w:val="20"/>
        </w:rPr>
        <w:t xml:space="preserve">, no. 6 (2008): 829. </w:t>
      </w:r>
    </w:p>
    <w:p w14:paraId="15BACDAA" w14:textId="005E7E77" w:rsidR="00C914EE" w:rsidRPr="00296634" w:rsidRDefault="00C914EE" w:rsidP="00231AA2">
      <w:pPr>
        <w:spacing w:line="240" w:lineRule="auto"/>
        <w:ind w:hanging="480"/>
        <w:contextualSpacing/>
        <w:rPr>
          <w:rFonts w:ascii="Times New Roman" w:hAnsi="Times New Roman" w:cs="Times New Roman"/>
          <w:sz w:val="20"/>
          <w:szCs w:val="20"/>
        </w:rPr>
      </w:pPr>
      <w:r w:rsidRPr="00296634">
        <w:rPr>
          <w:rFonts w:ascii="Times New Roman" w:hAnsi="Times New Roman" w:cs="Times New Roman"/>
          <w:sz w:val="20"/>
          <w:szCs w:val="20"/>
        </w:rPr>
        <w:t xml:space="preserve">Conway, GS, JW Honour, and HS Jacob. “Heterogeneity of the Polycystic Ovary Syndrome - Clinical, Endocrine and Ultrasound Features in 556 Patients.” </w:t>
      </w:r>
      <w:r w:rsidRPr="00296634">
        <w:rPr>
          <w:rFonts w:ascii="Times New Roman" w:hAnsi="Times New Roman" w:cs="Times New Roman"/>
          <w:i/>
          <w:iCs/>
          <w:sz w:val="20"/>
          <w:szCs w:val="20"/>
        </w:rPr>
        <w:t>C</w:t>
      </w:r>
      <w:r w:rsidR="00444CE1" w:rsidRPr="00296634">
        <w:rPr>
          <w:rFonts w:ascii="Times New Roman" w:hAnsi="Times New Roman" w:cs="Times New Roman"/>
          <w:i/>
          <w:iCs/>
          <w:sz w:val="20"/>
          <w:szCs w:val="20"/>
        </w:rPr>
        <w:t xml:space="preserve">linical Endocrinology </w:t>
      </w:r>
      <w:r w:rsidRPr="00296634">
        <w:rPr>
          <w:rFonts w:ascii="Times New Roman" w:hAnsi="Times New Roman" w:cs="Times New Roman"/>
          <w:sz w:val="20"/>
          <w:szCs w:val="20"/>
        </w:rPr>
        <w:t>30</w:t>
      </w:r>
      <w:r w:rsidR="00296634" w:rsidRPr="00296634">
        <w:rPr>
          <w:rFonts w:ascii="Times New Roman" w:hAnsi="Times New Roman" w:cs="Times New Roman"/>
          <w:sz w:val="20"/>
          <w:szCs w:val="20"/>
        </w:rPr>
        <w:t xml:space="preserve">, no. 4 (1989): 459-70. </w:t>
      </w:r>
    </w:p>
    <w:p w14:paraId="3A70B1C6" w14:textId="3795F75F"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Cooney, Laura G., Iris Lee, Mary D. Sammel, and Anuja Dokras. “High Prevalence of Moderate and Severe Depressive and </w:t>
      </w:r>
      <w:r w:rsidRPr="00154EFC">
        <w:rPr>
          <w:rFonts w:ascii="Times New Roman" w:hAnsi="Times New Roman" w:cs="Times New Roman"/>
          <w:sz w:val="20"/>
          <w:szCs w:val="20"/>
        </w:rPr>
        <w:t xml:space="preserve">Anxiety Symptoms in Polycystic Ovary Syndrome: A Systematic Review and Meta-Analysis.” </w:t>
      </w:r>
      <w:r w:rsidRPr="00154EFC">
        <w:rPr>
          <w:rFonts w:ascii="Times New Roman" w:hAnsi="Times New Roman" w:cs="Times New Roman"/>
          <w:i/>
          <w:iCs/>
          <w:sz w:val="20"/>
          <w:szCs w:val="20"/>
        </w:rPr>
        <w:t>H</w:t>
      </w:r>
      <w:r w:rsidR="00444CE1" w:rsidRPr="00154EFC">
        <w:rPr>
          <w:rFonts w:ascii="Times New Roman" w:hAnsi="Times New Roman" w:cs="Times New Roman"/>
          <w:i/>
          <w:iCs/>
          <w:sz w:val="20"/>
          <w:szCs w:val="20"/>
        </w:rPr>
        <w:t xml:space="preserve">uman Reproduction </w:t>
      </w:r>
      <w:r w:rsidRPr="00154EFC">
        <w:rPr>
          <w:rFonts w:ascii="Times New Roman" w:hAnsi="Times New Roman" w:cs="Times New Roman"/>
          <w:sz w:val="20"/>
          <w:szCs w:val="20"/>
        </w:rPr>
        <w:t>32</w:t>
      </w:r>
      <w:r w:rsidR="00154EFC" w:rsidRPr="00154EFC">
        <w:rPr>
          <w:rFonts w:ascii="Times New Roman" w:hAnsi="Times New Roman" w:cs="Times New Roman"/>
          <w:sz w:val="20"/>
          <w:szCs w:val="20"/>
        </w:rPr>
        <w:t xml:space="preserve">, </w:t>
      </w:r>
      <w:r w:rsidR="00296634" w:rsidRPr="00154EFC">
        <w:rPr>
          <w:rFonts w:ascii="Times New Roman" w:hAnsi="Times New Roman" w:cs="Times New Roman"/>
          <w:sz w:val="20"/>
          <w:szCs w:val="20"/>
        </w:rPr>
        <w:t xml:space="preserve">no. 5 (2017): 1075-91. </w:t>
      </w:r>
    </w:p>
    <w:p w14:paraId="1060C98E" w14:textId="293FFD89"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Costa, PT, and RR </w:t>
      </w:r>
      <w:r w:rsidRPr="00570132">
        <w:rPr>
          <w:rFonts w:ascii="Times New Roman" w:hAnsi="Times New Roman" w:cs="Times New Roman"/>
          <w:sz w:val="20"/>
          <w:szCs w:val="20"/>
        </w:rPr>
        <w:t xml:space="preserve">McCrae. 1995. “Domains and Facets - Hierarchical Personality-Assessment Using the Revised NEO Personality-Inventory.” </w:t>
      </w:r>
      <w:r w:rsidRPr="00570132">
        <w:rPr>
          <w:rFonts w:ascii="Times New Roman" w:hAnsi="Times New Roman" w:cs="Times New Roman"/>
          <w:i/>
          <w:iCs/>
          <w:sz w:val="20"/>
          <w:szCs w:val="20"/>
        </w:rPr>
        <w:t>J</w:t>
      </w:r>
      <w:r w:rsidR="00444CE1" w:rsidRPr="00570132">
        <w:rPr>
          <w:rFonts w:ascii="Times New Roman" w:hAnsi="Times New Roman" w:cs="Times New Roman"/>
          <w:i/>
          <w:iCs/>
          <w:sz w:val="20"/>
          <w:szCs w:val="20"/>
        </w:rPr>
        <w:t xml:space="preserve">ournal of Personality Assessment </w:t>
      </w:r>
      <w:r w:rsidRPr="00570132">
        <w:rPr>
          <w:rFonts w:ascii="Times New Roman" w:hAnsi="Times New Roman" w:cs="Times New Roman"/>
          <w:sz w:val="20"/>
          <w:szCs w:val="20"/>
        </w:rPr>
        <w:t>64</w:t>
      </w:r>
      <w:r w:rsidR="00570132" w:rsidRPr="00570132">
        <w:rPr>
          <w:rFonts w:ascii="Times New Roman" w:hAnsi="Times New Roman" w:cs="Times New Roman"/>
          <w:sz w:val="20"/>
          <w:szCs w:val="20"/>
        </w:rPr>
        <w:t xml:space="preserve">, </w:t>
      </w:r>
      <w:r w:rsidR="00154EFC" w:rsidRPr="00570132">
        <w:rPr>
          <w:rFonts w:ascii="Times New Roman" w:hAnsi="Times New Roman" w:cs="Times New Roman"/>
          <w:sz w:val="20"/>
          <w:szCs w:val="20"/>
        </w:rPr>
        <w:t>no. 1 (1995): 21-5</w:t>
      </w:r>
      <w:r w:rsidR="00570132" w:rsidRPr="00570132">
        <w:rPr>
          <w:rFonts w:ascii="Times New Roman" w:hAnsi="Times New Roman" w:cs="Times New Roman"/>
          <w:sz w:val="20"/>
          <w:szCs w:val="20"/>
        </w:rPr>
        <w:t>0</w:t>
      </w:r>
      <w:r w:rsidR="00154EFC" w:rsidRPr="00570132">
        <w:rPr>
          <w:rFonts w:ascii="Times New Roman" w:hAnsi="Times New Roman" w:cs="Times New Roman"/>
          <w:sz w:val="20"/>
          <w:szCs w:val="20"/>
        </w:rPr>
        <w:t xml:space="preserve">. </w:t>
      </w:r>
    </w:p>
    <w:p w14:paraId="6C211125" w14:textId="656D34EF" w:rsidR="00C914EE" w:rsidRPr="00C06CF2" w:rsidRDefault="00C914EE" w:rsidP="00231AA2">
      <w:pPr>
        <w:spacing w:line="240" w:lineRule="auto"/>
        <w:ind w:hanging="480"/>
        <w:contextualSpacing/>
        <w:rPr>
          <w:rFonts w:ascii="Times New Roman" w:hAnsi="Times New Roman" w:cs="Times New Roman"/>
          <w:color w:val="FF0000"/>
          <w:sz w:val="20"/>
          <w:szCs w:val="20"/>
        </w:rPr>
      </w:pPr>
      <w:r w:rsidRPr="0080521D">
        <w:rPr>
          <w:rFonts w:ascii="Times New Roman" w:hAnsi="Times New Roman" w:cs="Times New Roman"/>
          <w:sz w:val="20"/>
          <w:szCs w:val="20"/>
        </w:rPr>
        <w:t xml:space="preserve">Dag, Zeynep Ozcan, Murat Alpua, Yakup Turkel, and </w:t>
      </w:r>
      <w:r w:rsidRPr="00DD1CA8">
        <w:rPr>
          <w:rFonts w:ascii="Times New Roman" w:hAnsi="Times New Roman" w:cs="Times New Roman"/>
          <w:sz w:val="20"/>
          <w:szCs w:val="20"/>
        </w:rPr>
        <w:t xml:space="preserve">Yuksel Isik. “Autonomic Dysfunction in Patients with Polycystic Ovary Syndrome.” </w:t>
      </w:r>
      <w:r w:rsidRPr="00DD1CA8">
        <w:rPr>
          <w:rFonts w:ascii="Times New Roman" w:hAnsi="Times New Roman" w:cs="Times New Roman"/>
          <w:i/>
          <w:iCs/>
          <w:sz w:val="20"/>
          <w:szCs w:val="20"/>
        </w:rPr>
        <w:t>Taiwanese Journal of Obstetrics and Gynecology</w:t>
      </w:r>
      <w:r w:rsidRPr="00DD1CA8">
        <w:rPr>
          <w:rFonts w:ascii="Times New Roman" w:hAnsi="Times New Roman" w:cs="Times New Roman"/>
          <w:sz w:val="20"/>
          <w:szCs w:val="20"/>
        </w:rPr>
        <w:t xml:space="preserve"> 54</w:t>
      </w:r>
      <w:r w:rsidR="00C06CF2" w:rsidRPr="00DD1CA8">
        <w:rPr>
          <w:rFonts w:ascii="Times New Roman" w:hAnsi="Times New Roman" w:cs="Times New Roman"/>
          <w:sz w:val="20"/>
          <w:szCs w:val="20"/>
        </w:rPr>
        <w:t xml:space="preserve">, no. 4 (2015): </w:t>
      </w:r>
      <w:r w:rsidR="00DD1CA8" w:rsidRPr="00DD1CA8">
        <w:rPr>
          <w:rFonts w:ascii="Times New Roman" w:hAnsi="Times New Roman" w:cs="Times New Roman"/>
          <w:sz w:val="20"/>
          <w:szCs w:val="20"/>
        </w:rPr>
        <w:t>381-84</w:t>
      </w:r>
      <w:r w:rsidR="00C06CF2" w:rsidRPr="00DD1CA8">
        <w:rPr>
          <w:rFonts w:ascii="Times New Roman" w:hAnsi="Times New Roman" w:cs="Times New Roman"/>
          <w:sz w:val="20"/>
          <w:szCs w:val="20"/>
        </w:rPr>
        <w:t xml:space="preserve"> </w:t>
      </w:r>
    </w:p>
    <w:p w14:paraId="299496E8" w14:textId="5458DC63" w:rsidR="00DD1CA8" w:rsidRPr="00C06CF2" w:rsidRDefault="00C914EE" w:rsidP="00231AA2">
      <w:pPr>
        <w:spacing w:line="240" w:lineRule="auto"/>
        <w:ind w:hanging="480"/>
        <w:contextualSpacing/>
        <w:rPr>
          <w:rFonts w:ascii="Times New Roman" w:hAnsi="Times New Roman" w:cs="Times New Roman"/>
          <w:color w:val="FF0000"/>
          <w:sz w:val="20"/>
          <w:szCs w:val="20"/>
        </w:rPr>
      </w:pPr>
      <w:r w:rsidRPr="0080521D">
        <w:rPr>
          <w:rFonts w:ascii="Times New Roman" w:hAnsi="Times New Roman" w:cs="Times New Roman"/>
          <w:sz w:val="20"/>
          <w:szCs w:val="20"/>
        </w:rPr>
        <w:t xml:space="preserve">Di Domenico, Kristhiane, Denusa Wiltgen, Fabian J. Nickel, Jose Antonio Magalhães, Ruy Silveira Moraes, and Poli Mara Spritzer. “Cardiac Autonomic Modulation in Polycystic Ovary Syndrome: Does the Phenotype Matter?” </w:t>
      </w:r>
      <w:r w:rsidRPr="00AC1F56">
        <w:rPr>
          <w:rFonts w:ascii="Times New Roman" w:hAnsi="Times New Roman" w:cs="Times New Roman"/>
          <w:i/>
          <w:iCs/>
          <w:sz w:val="20"/>
          <w:szCs w:val="20"/>
        </w:rPr>
        <w:t>Fertility and Sterility</w:t>
      </w:r>
      <w:r w:rsidRPr="00AC1F56">
        <w:rPr>
          <w:rFonts w:ascii="Times New Roman" w:hAnsi="Times New Roman" w:cs="Times New Roman"/>
          <w:sz w:val="20"/>
          <w:szCs w:val="20"/>
        </w:rPr>
        <w:t xml:space="preserve"> 99</w:t>
      </w:r>
      <w:r w:rsidR="00DD1CA8" w:rsidRPr="00AC1F56">
        <w:rPr>
          <w:rFonts w:ascii="Times New Roman" w:hAnsi="Times New Roman" w:cs="Times New Roman"/>
          <w:sz w:val="20"/>
          <w:szCs w:val="20"/>
        </w:rPr>
        <w:t xml:space="preserve">, no. 1 (2013): </w:t>
      </w:r>
      <w:r w:rsidR="00AC1F56" w:rsidRPr="00AC1F56">
        <w:rPr>
          <w:rFonts w:ascii="Times New Roman" w:hAnsi="Times New Roman" w:cs="Times New Roman"/>
          <w:sz w:val="20"/>
          <w:szCs w:val="20"/>
        </w:rPr>
        <w:t>286-92</w:t>
      </w:r>
      <w:r w:rsidR="00DD1CA8" w:rsidRPr="00AC1F56">
        <w:rPr>
          <w:rFonts w:ascii="Times New Roman" w:hAnsi="Times New Roman" w:cs="Times New Roman"/>
          <w:sz w:val="20"/>
          <w:szCs w:val="20"/>
        </w:rPr>
        <w:t xml:space="preserve"> </w:t>
      </w:r>
    </w:p>
    <w:p w14:paraId="2B6FB8A9" w14:textId="1308688B" w:rsidR="00C914EE" w:rsidRPr="00D65C2B" w:rsidRDefault="00C914EE" w:rsidP="00231AA2">
      <w:pPr>
        <w:spacing w:line="240" w:lineRule="auto"/>
        <w:ind w:hanging="480"/>
        <w:contextualSpacing/>
        <w:rPr>
          <w:rFonts w:ascii="Times New Roman" w:hAnsi="Times New Roman" w:cs="Times New Roman"/>
          <w:sz w:val="20"/>
          <w:szCs w:val="20"/>
        </w:rPr>
      </w:pPr>
      <w:r w:rsidRPr="00D65C2B">
        <w:rPr>
          <w:rFonts w:ascii="Times New Roman" w:hAnsi="Times New Roman" w:cs="Times New Roman"/>
          <w:sz w:val="20"/>
          <w:szCs w:val="20"/>
        </w:rPr>
        <w:t xml:space="preserve">Di Simplicio, M., G. Costoloni, D. Western, B. Hanson, P. Taggart, and C. J. Harmer. “Decreased Heart Rate Variability during Emotion Regulation in Subjects at Risk for Psychopathology.” </w:t>
      </w:r>
      <w:r w:rsidRPr="00D65C2B">
        <w:rPr>
          <w:rFonts w:ascii="Times New Roman" w:hAnsi="Times New Roman" w:cs="Times New Roman"/>
          <w:i/>
          <w:iCs/>
          <w:sz w:val="20"/>
          <w:szCs w:val="20"/>
        </w:rPr>
        <w:t>P</w:t>
      </w:r>
      <w:r w:rsidR="00AF1672" w:rsidRPr="00D65C2B">
        <w:rPr>
          <w:rFonts w:ascii="Times New Roman" w:hAnsi="Times New Roman" w:cs="Times New Roman"/>
          <w:i/>
          <w:iCs/>
          <w:sz w:val="20"/>
          <w:szCs w:val="20"/>
        </w:rPr>
        <w:t xml:space="preserve">sychological Medicine </w:t>
      </w:r>
      <w:r w:rsidRPr="00D65C2B">
        <w:rPr>
          <w:rFonts w:ascii="Times New Roman" w:hAnsi="Times New Roman" w:cs="Times New Roman"/>
          <w:sz w:val="20"/>
          <w:szCs w:val="20"/>
        </w:rPr>
        <w:t>42</w:t>
      </w:r>
      <w:r w:rsidR="00D65C2B" w:rsidRPr="00D65C2B">
        <w:rPr>
          <w:rFonts w:ascii="Times New Roman" w:hAnsi="Times New Roman" w:cs="Times New Roman"/>
          <w:sz w:val="20"/>
          <w:szCs w:val="20"/>
        </w:rPr>
        <w:t xml:space="preserve">, </w:t>
      </w:r>
      <w:r w:rsidR="00AC1F56" w:rsidRPr="00D65C2B">
        <w:rPr>
          <w:rFonts w:ascii="Times New Roman" w:hAnsi="Times New Roman" w:cs="Times New Roman"/>
          <w:sz w:val="20"/>
          <w:szCs w:val="20"/>
        </w:rPr>
        <w:t xml:space="preserve">no. </w:t>
      </w:r>
      <w:r w:rsidR="00D65C2B" w:rsidRPr="00D65C2B">
        <w:rPr>
          <w:rFonts w:ascii="Times New Roman" w:hAnsi="Times New Roman" w:cs="Times New Roman"/>
          <w:sz w:val="20"/>
          <w:szCs w:val="20"/>
        </w:rPr>
        <w:t>8</w:t>
      </w:r>
      <w:r w:rsidR="00AC1F56" w:rsidRPr="00D65C2B">
        <w:rPr>
          <w:rFonts w:ascii="Times New Roman" w:hAnsi="Times New Roman" w:cs="Times New Roman"/>
          <w:sz w:val="20"/>
          <w:szCs w:val="20"/>
        </w:rPr>
        <w:t xml:space="preserve"> (2012): </w:t>
      </w:r>
      <w:r w:rsidR="00D65C2B" w:rsidRPr="00D65C2B">
        <w:rPr>
          <w:rFonts w:ascii="Times New Roman" w:hAnsi="Times New Roman" w:cs="Times New Roman"/>
          <w:sz w:val="20"/>
          <w:szCs w:val="20"/>
        </w:rPr>
        <w:t>1775-83.</w:t>
      </w:r>
      <w:r w:rsidR="00AC1F56" w:rsidRPr="00D65C2B">
        <w:rPr>
          <w:rFonts w:ascii="Times New Roman" w:hAnsi="Times New Roman" w:cs="Times New Roman"/>
          <w:sz w:val="20"/>
          <w:szCs w:val="20"/>
        </w:rPr>
        <w:t xml:space="preserve"> </w:t>
      </w:r>
    </w:p>
    <w:p w14:paraId="780BE9E2" w14:textId="503471B0" w:rsidR="00C914EE" w:rsidRPr="00D65C2B" w:rsidRDefault="00C914EE" w:rsidP="00231AA2">
      <w:pPr>
        <w:spacing w:line="240" w:lineRule="auto"/>
        <w:ind w:hanging="480"/>
        <w:contextualSpacing/>
        <w:rPr>
          <w:rFonts w:ascii="Times New Roman" w:hAnsi="Times New Roman" w:cs="Times New Roman"/>
          <w:sz w:val="20"/>
          <w:szCs w:val="20"/>
        </w:rPr>
      </w:pPr>
      <w:r w:rsidRPr="00D65C2B">
        <w:rPr>
          <w:rFonts w:ascii="Times New Roman" w:hAnsi="Times New Roman" w:cs="Times New Roman"/>
          <w:sz w:val="20"/>
          <w:szCs w:val="20"/>
        </w:rPr>
        <w:t xml:space="preserve">Diamanti-Kandarakis, Evanthia. “PCOS in Adolescents.” </w:t>
      </w:r>
      <w:r w:rsidRPr="00D65C2B">
        <w:rPr>
          <w:rFonts w:ascii="Times New Roman" w:hAnsi="Times New Roman" w:cs="Times New Roman"/>
          <w:i/>
          <w:iCs/>
          <w:sz w:val="20"/>
          <w:szCs w:val="20"/>
        </w:rPr>
        <w:t>Best Practice &amp; Research Clinical Obstetrics &amp; Gynaecology</w:t>
      </w:r>
      <w:r w:rsidRPr="00D65C2B">
        <w:rPr>
          <w:rFonts w:ascii="Times New Roman" w:hAnsi="Times New Roman" w:cs="Times New Roman"/>
          <w:sz w:val="20"/>
          <w:szCs w:val="20"/>
        </w:rPr>
        <w:t xml:space="preserve"> 24</w:t>
      </w:r>
      <w:r w:rsidR="00D65C2B" w:rsidRPr="00D65C2B">
        <w:rPr>
          <w:rFonts w:ascii="Times New Roman" w:hAnsi="Times New Roman" w:cs="Times New Roman"/>
          <w:sz w:val="20"/>
          <w:szCs w:val="20"/>
        </w:rPr>
        <w:t xml:space="preserve">, no. 2 (2010): 173-83 </w:t>
      </w:r>
    </w:p>
    <w:p w14:paraId="7C186FAB" w14:textId="5E62563C"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Dodt, C, U Breckling, I Derad, HL Fehm, and J Born. “Plasma Epinephrine and Norepinephrine Concentrations of Healthy Humans Associated with Nighttime Sleep and Morning </w:t>
      </w:r>
      <w:r w:rsidRPr="00D84907">
        <w:rPr>
          <w:rFonts w:ascii="Times New Roman" w:hAnsi="Times New Roman" w:cs="Times New Roman"/>
          <w:sz w:val="20"/>
          <w:szCs w:val="20"/>
        </w:rPr>
        <w:t xml:space="preserve">Arousal.” </w:t>
      </w:r>
      <w:r w:rsidRPr="00D84907">
        <w:rPr>
          <w:rFonts w:ascii="Times New Roman" w:hAnsi="Times New Roman" w:cs="Times New Roman"/>
          <w:i/>
          <w:iCs/>
          <w:sz w:val="20"/>
          <w:szCs w:val="20"/>
        </w:rPr>
        <w:t>H</w:t>
      </w:r>
      <w:r w:rsidR="00AF1672" w:rsidRPr="00D84907">
        <w:rPr>
          <w:rFonts w:ascii="Times New Roman" w:hAnsi="Times New Roman" w:cs="Times New Roman"/>
          <w:i/>
          <w:iCs/>
          <w:sz w:val="20"/>
          <w:szCs w:val="20"/>
        </w:rPr>
        <w:t xml:space="preserve">ypertension </w:t>
      </w:r>
      <w:r w:rsidRPr="00D84907">
        <w:rPr>
          <w:rFonts w:ascii="Times New Roman" w:hAnsi="Times New Roman" w:cs="Times New Roman"/>
          <w:sz w:val="20"/>
          <w:szCs w:val="20"/>
        </w:rPr>
        <w:t>30</w:t>
      </w:r>
      <w:r w:rsidR="00D65C2B" w:rsidRPr="00D84907">
        <w:rPr>
          <w:rFonts w:ascii="Times New Roman" w:hAnsi="Times New Roman" w:cs="Times New Roman"/>
          <w:sz w:val="20"/>
          <w:szCs w:val="20"/>
        </w:rPr>
        <w:t>, no. 1</w:t>
      </w:r>
      <w:r w:rsidR="00836166" w:rsidRPr="00D84907">
        <w:rPr>
          <w:rFonts w:ascii="Times New Roman" w:hAnsi="Times New Roman" w:cs="Times New Roman"/>
          <w:sz w:val="20"/>
          <w:szCs w:val="20"/>
        </w:rPr>
        <w:t>(1)</w:t>
      </w:r>
      <w:r w:rsidR="00D65C2B" w:rsidRPr="00D84907">
        <w:rPr>
          <w:rFonts w:ascii="Times New Roman" w:hAnsi="Times New Roman" w:cs="Times New Roman"/>
          <w:sz w:val="20"/>
          <w:szCs w:val="20"/>
        </w:rPr>
        <w:t xml:space="preserve"> (1997): </w:t>
      </w:r>
      <w:r w:rsidR="00836166" w:rsidRPr="00D84907">
        <w:rPr>
          <w:rFonts w:ascii="Times New Roman" w:hAnsi="Times New Roman" w:cs="Times New Roman"/>
          <w:sz w:val="20"/>
          <w:szCs w:val="20"/>
        </w:rPr>
        <w:t>71-76</w:t>
      </w:r>
      <w:r w:rsidR="00D65C2B" w:rsidRPr="00D84907">
        <w:rPr>
          <w:rFonts w:ascii="Times New Roman" w:hAnsi="Times New Roman" w:cs="Times New Roman"/>
          <w:sz w:val="20"/>
          <w:szCs w:val="20"/>
        </w:rPr>
        <w:t xml:space="preserve"> </w:t>
      </w:r>
    </w:p>
    <w:p w14:paraId="5080FAF7" w14:textId="72E6FA8E"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Dumesic, Daniel A., Sharon E. </w:t>
      </w:r>
      <w:r w:rsidRPr="002E68D8">
        <w:rPr>
          <w:rFonts w:ascii="Times New Roman" w:hAnsi="Times New Roman" w:cs="Times New Roman"/>
          <w:sz w:val="20"/>
          <w:szCs w:val="20"/>
        </w:rPr>
        <w:t xml:space="preserve">Oberfield, Elisabet Stener-Victorin, John C. Marshall, Joop S. Laven, and Richard S. Legro. “Scientific Statement on the Diagnostic Criteria, Epidemiology, Pathophysiology, and Molecular Genetics of Polycystic Ovary Syndrome.” </w:t>
      </w:r>
      <w:r w:rsidRPr="002E68D8">
        <w:rPr>
          <w:rFonts w:ascii="Times New Roman" w:hAnsi="Times New Roman" w:cs="Times New Roman"/>
          <w:i/>
          <w:iCs/>
          <w:sz w:val="20"/>
          <w:szCs w:val="20"/>
        </w:rPr>
        <w:t>Endocrine Reviews</w:t>
      </w:r>
      <w:r w:rsidRPr="002E68D8">
        <w:rPr>
          <w:rFonts w:ascii="Times New Roman" w:hAnsi="Times New Roman" w:cs="Times New Roman"/>
          <w:sz w:val="20"/>
          <w:szCs w:val="20"/>
        </w:rPr>
        <w:t xml:space="preserve"> 36</w:t>
      </w:r>
      <w:r w:rsidR="00D84907" w:rsidRPr="002E68D8">
        <w:rPr>
          <w:rFonts w:ascii="Times New Roman" w:hAnsi="Times New Roman" w:cs="Times New Roman"/>
          <w:sz w:val="20"/>
          <w:szCs w:val="20"/>
        </w:rPr>
        <w:t>, no. 5 (</w:t>
      </w:r>
      <w:r w:rsidR="002E68D8" w:rsidRPr="002E68D8">
        <w:rPr>
          <w:rFonts w:ascii="Times New Roman" w:hAnsi="Times New Roman" w:cs="Times New Roman"/>
          <w:sz w:val="20"/>
          <w:szCs w:val="20"/>
        </w:rPr>
        <w:t>201</w:t>
      </w:r>
      <w:r w:rsidR="00D84907" w:rsidRPr="002E68D8">
        <w:rPr>
          <w:rFonts w:ascii="Times New Roman" w:hAnsi="Times New Roman" w:cs="Times New Roman"/>
          <w:sz w:val="20"/>
          <w:szCs w:val="20"/>
        </w:rPr>
        <w:t xml:space="preserve">5): 487-525 </w:t>
      </w:r>
    </w:p>
    <w:p w14:paraId="7F28BBB4" w14:textId="0D4A2E14"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El Hayek, Samer, Lynn </w:t>
      </w:r>
      <w:r w:rsidRPr="00757175">
        <w:rPr>
          <w:rFonts w:ascii="Times New Roman" w:hAnsi="Times New Roman" w:cs="Times New Roman"/>
          <w:sz w:val="20"/>
          <w:szCs w:val="20"/>
        </w:rPr>
        <w:t xml:space="preserve">Bitar, Layal H Hamdar, Fadi G Mirza, and Georges Daoud. “Poly Cystic Ovarian Syndrome: An Updated Overview.” </w:t>
      </w:r>
      <w:r w:rsidRPr="00757175">
        <w:rPr>
          <w:rFonts w:ascii="Times New Roman" w:hAnsi="Times New Roman" w:cs="Times New Roman"/>
          <w:i/>
          <w:iCs/>
          <w:sz w:val="20"/>
          <w:szCs w:val="20"/>
        </w:rPr>
        <w:t>Frontiers in Physiology</w:t>
      </w:r>
      <w:r w:rsidRPr="00757175">
        <w:rPr>
          <w:rFonts w:ascii="Times New Roman" w:hAnsi="Times New Roman" w:cs="Times New Roman"/>
          <w:sz w:val="20"/>
          <w:szCs w:val="20"/>
        </w:rPr>
        <w:t xml:space="preserve"> 7</w:t>
      </w:r>
      <w:r w:rsidR="002E68D8" w:rsidRPr="00757175">
        <w:rPr>
          <w:rFonts w:ascii="Times New Roman" w:hAnsi="Times New Roman" w:cs="Times New Roman"/>
          <w:sz w:val="20"/>
          <w:szCs w:val="20"/>
        </w:rPr>
        <w:t xml:space="preserve">, April (2016): </w:t>
      </w:r>
      <w:r w:rsidR="00757175" w:rsidRPr="00757175">
        <w:rPr>
          <w:rFonts w:ascii="Times New Roman" w:hAnsi="Times New Roman" w:cs="Times New Roman"/>
          <w:sz w:val="20"/>
          <w:szCs w:val="20"/>
        </w:rPr>
        <w:t xml:space="preserve">124-124. </w:t>
      </w:r>
    </w:p>
    <w:p w14:paraId="58B5F0C2" w14:textId="02CA1B1F" w:rsidR="00C914EE" w:rsidRPr="004F033C" w:rsidRDefault="00C914EE" w:rsidP="00231AA2">
      <w:pPr>
        <w:spacing w:line="240" w:lineRule="auto"/>
        <w:ind w:hanging="480"/>
        <w:contextualSpacing/>
        <w:rPr>
          <w:rFonts w:ascii="Times New Roman" w:hAnsi="Times New Roman" w:cs="Times New Roman"/>
          <w:sz w:val="20"/>
          <w:szCs w:val="20"/>
        </w:rPr>
      </w:pPr>
      <w:r w:rsidRPr="004F033C">
        <w:rPr>
          <w:rFonts w:ascii="Times New Roman" w:hAnsi="Times New Roman" w:cs="Times New Roman"/>
          <w:sz w:val="20"/>
          <w:szCs w:val="20"/>
        </w:rPr>
        <w:t xml:space="preserve">Ellis, Lee, David P. Farrington, and Anthony W. Hoskin. “Personality and Behavioral Factors.” In </w:t>
      </w:r>
      <w:r w:rsidRPr="004F033C">
        <w:rPr>
          <w:rFonts w:ascii="Times New Roman" w:hAnsi="Times New Roman" w:cs="Times New Roman"/>
          <w:i/>
          <w:iCs/>
          <w:sz w:val="20"/>
          <w:szCs w:val="20"/>
        </w:rPr>
        <w:t xml:space="preserve">Handbook of Crime Correlates </w:t>
      </w:r>
      <w:r w:rsidR="00650BDA" w:rsidRPr="004F033C">
        <w:rPr>
          <w:rFonts w:ascii="Times New Roman" w:hAnsi="Times New Roman" w:cs="Times New Roman"/>
          <w:sz w:val="20"/>
          <w:szCs w:val="20"/>
        </w:rPr>
        <w:t>2</w:t>
      </w:r>
      <w:r w:rsidR="00650BDA" w:rsidRPr="004F033C">
        <w:rPr>
          <w:rFonts w:ascii="Times New Roman" w:hAnsi="Times New Roman" w:cs="Times New Roman"/>
          <w:sz w:val="20"/>
          <w:szCs w:val="20"/>
          <w:vertAlign w:val="superscript"/>
        </w:rPr>
        <w:t>nd</w:t>
      </w:r>
      <w:r w:rsidR="00650BDA" w:rsidRPr="004F033C">
        <w:rPr>
          <w:rFonts w:ascii="Times New Roman" w:hAnsi="Times New Roman" w:cs="Times New Roman"/>
          <w:sz w:val="20"/>
          <w:szCs w:val="20"/>
        </w:rPr>
        <w:t xml:space="preserve"> ed. </w:t>
      </w:r>
      <w:r w:rsidRPr="004F033C">
        <w:rPr>
          <w:rFonts w:ascii="Times New Roman" w:hAnsi="Times New Roman" w:cs="Times New Roman"/>
          <w:sz w:val="20"/>
          <w:szCs w:val="20"/>
        </w:rPr>
        <w:t>edited by Lee Ellis, David P. Farrington, and Anthony W. Hoskin, 205–57. San Diego: Academic Press</w:t>
      </w:r>
      <w:r w:rsidR="00F94C5A" w:rsidRPr="004F033C">
        <w:rPr>
          <w:rFonts w:ascii="Times New Roman" w:hAnsi="Times New Roman" w:cs="Times New Roman"/>
          <w:sz w:val="20"/>
          <w:szCs w:val="20"/>
        </w:rPr>
        <w:t>, 2019</w:t>
      </w:r>
      <w:r w:rsidRPr="004F033C">
        <w:rPr>
          <w:rFonts w:ascii="Times New Roman" w:hAnsi="Times New Roman" w:cs="Times New Roman"/>
          <w:sz w:val="20"/>
          <w:szCs w:val="20"/>
        </w:rPr>
        <w:t xml:space="preserve">. </w:t>
      </w:r>
    </w:p>
    <w:p w14:paraId="56E232CB" w14:textId="57E23374"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Escobar-Morreale, Hector F. “Polycystic Ovary Syndrome: Definition, Aetiology, Diagnosis and Treatment.” </w:t>
      </w:r>
      <w:r w:rsidRPr="0080521D">
        <w:rPr>
          <w:rFonts w:ascii="Times New Roman" w:hAnsi="Times New Roman" w:cs="Times New Roman"/>
          <w:i/>
          <w:iCs/>
          <w:sz w:val="20"/>
          <w:szCs w:val="20"/>
        </w:rPr>
        <w:t>N</w:t>
      </w:r>
      <w:r w:rsidR="00B83106">
        <w:rPr>
          <w:rFonts w:ascii="Times New Roman" w:hAnsi="Times New Roman" w:cs="Times New Roman"/>
          <w:i/>
          <w:iCs/>
          <w:sz w:val="20"/>
          <w:szCs w:val="20"/>
        </w:rPr>
        <w:t xml:space="preserve">ature </w:t>
      </w:r>
      <w:r w:rsidR="00B83106" w:rsidRPr="00BF3C6F">
        <w:rPr>
          <w:rFonts w:ascii="Times New Roman" w:hAnsi="Times New Roman" w:cs="Times New Roman"/>
          <w:i/>
          <w:iCs/>
          <w:sz w:val="20"/>
          <w:szCs w:val="20"/>
        </w:rPr>
        <w:t xml:space="preserve">Reviews Endocrinology </w:t>
      </w:r>
      <w:r w:rsidRPr="00BF3C6F">
        <w:rPr>
          <w:rFonts w:ascii="Times New Roman" w:hAnsi="Times New Roman" w:cs="Times New Roman"/>
          <w:sz w:val="20"/>
          <w:szCs w:val="20"/>
        </w:rPr>
        <w:t>14</w:t>
      </w:r>
      <w:r w:rsidR="00757175" w:rsidRPr="00BF3C6F">
        <w:rPr>
          <w:rFonts w:ascii="Times New Roman" w:hAnsi="Times New Roman" w:cs="Times New Roman"/>
          <w:sz w:val="20"/>
          <w:szCs w:val="20"/>
        </w:rPr>
        <w:t xml:space="preserve">, no. 5 (2018): 270-84 </w:t>
      </w:r>
    </w:p>
    <w:p w14:paraId="3EC37A4D" w14:textId="5DF901B0"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Esler, Murray, Nora Straznicky, Nina Eikelis</w:t>
      </w:r>
      <w:r w:rsidRPr="00BF3C6F">
        <w:rPr>
          <w:rFonts w:ascii="Times New Roman" w:hAnsi="Times New Roman" w:cs="Times New Roman"/>
          <w:sz w:val="20"/>
          <w:szCs w:val="20"/>
        </w:rPr>
        <w:t xml:space="preserve">, Kazuko Masuo, Gavin Lambert, and Elisabeth Lambert. “Mechanisms of Sympathetic Activation in Obesity-Related Hypertension.” </w:t>
      </w:r>
      <w:r w:rsidRPr="00BF3C6F">
        <w:rPr>
          <w:rFonts w:ascii="Times New Roman" w:hAnsi="Times New Roman" w:cs="Times New Roman"/>
          <w:i/>
          <w:iCs/>
          <w:sz w:val="20"/>
          <w:szCs w:val="20"/>
        </w:rPr>
        <w:t>Hypertension</w:t>
      </w:r>
      <w:r w:rsidRPr="00BF3C6F">
        <w:rPr>
          <w:rFonts w:ascii="Times New Roman" w:hAnsi="Times New Roman" w:cs="Times New Roman"/>
          <w:sz w:val="20"/>
          <w:szCs w:val="20"/>
        </w:rPr>
        <w:t xml:space="preserve"> 48</w:t>
      </w:r>
      <w:r w:rsidR="00BF3C6F" w:rsidRPr="00BF3C6F">
        <w:rPr>
          <w:rFonts w:ascii="Times New Roman" w:hAnsi="Times New Roman" w:cs="Times New Roman"/>
          <w:sz w:val="20"/>
          <w:szCs w:val="20"/>
        </w:rPr>
        <w:t xml:space="preserve">, no. 5 (2006): 787-96. </w:t>
      </w:r>
    </w:p>
    <w:p w14:paraId="6C37ACAB" w14:textId="21F5CA98"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ETF-Electrophysiology Task Force of the European Society of Cardiology the North American Society of Pacing. “Heart Rate </w:t>
      </w:r>
      <w:r w:rsidRPr="004130DC">
        <w:rPr>
          <w:rFonts w:ascii="Times New Roman" w:hAnsi="Times New Roman" w:cs="Times New Roman"/>
          <w:sz w:val="20"/>
          <w:szCs w:val="20"/>
        </w:rPr>
        <w:t xml:space="preserve">Variability.” </w:t>
      </w:r>
      <w:r w:rsidRPr="004130DC">
        <w:rPr>
          <w:rFonts w:ascii="Times New Roman" w:hAnsi="Times New Roman" w:cs="Times New Roman"/>
          <w:i/>
          <w:iCs/>
          <w:sz w:val="20"/>
          <w:szCs w:val="20"/>
        </w:rPr>
        <w:t>Circulation</w:t>
      </w:r>
      <w:r w:rsidRPr="004130DC">
        <w:rPr>
          <w:rFonts w:ascii="Times New Roman" w:hAnsi="Times New Roman" w:cs="Times New Roman"/>
          <w:sz w:val="20"/>
          <w:szCs w:val="20"/>
        </w:rPr>
        <w:t xml:space="preserve"> 93</w:t>
      </w:r>
      <w:r w:rsidR="00BF3C6F" w:rsidRPr="004130DC">
        <w:rPr>
          <w:rFonts w:ascii="Times New Roman" w:hAnsi="Times New Roman" w:cs="Times New Roman"/>
          <w:sz w:val="20"/>
          <w:szCs w:val="20"/>
        </w:rPr>
        <w:t xml:space="preserve">, no. </w:t>
      </w:r>
      <w:r w:rsidR="00532543" w:rsidRPr="004130DC">
        <w:rPr>
          <w:rFonts w:ascii="Times New Roman" w:hAnsi="Times New Roman" w:cs="Times New Roman"/>
          <w:sz w:val="20"/>
          <w:szCs w:val="20"/>
        </w:rPr>
        <w:t>5</w:t>
      </w:r>
      <w:r w:rsidR="00BF3C6F" w:rsidRPr="004130DC">
        <w:rPr>
          <w:rFonts w:ascii="Times New Roman" w:hAnsi="Times New Roman" w:cs="Times New Roman"/>
          <w:sz w:val="20"/>
          <w:szCs w:val="20"/>
        </w:rPr>
        <w:t xml:space="preserve"> (199</w:t>
      </w:r>
      <w:r w:rsidR="00532543" w:rsidRPr="004130DC">
        <w:rPr>
          <w:rFonts w:ascii="Times New Roman" w:hAnsi="Times New Roman" w:cs="Times New Roman"/>
          <w:sz w:val="20"/>
          <w:szCs w:val="20"/>
        </w:rPr>
        <w:t>6</w:t>
      </w:r>
      <w:r w:rsidR="00BF3C6F" w:rsidRPr="004130DC">
        <w:rPr>
          <w:rFonts w:ascii="Times New Roman" w:hAnsi="Times New Roman" w:cs="Times New Roman"/>
          <w:sz w:val="20"/>
          <w:szCs w:val="20"/>
        </w:rPr>
        <w:t xml:space="preserve">): </w:t>
      </w:r>
      <w:r w:rsidR="00532543" w:rsidRPr="004130DC">
        <w:rPr>
          <w:rFonts w:ascii="Times New Roman" w:hAnsi="Times New Roman" w:cs="Times New Roman"/>
          <w:sz w:val="20"/>
          <w:szCs w:val="20"/>
        </w:rPr>
        <w:t xml:space="preserve">1043-65. </w:t>
      </w:r>
    </w:p>
    <w:p w14:paraId="2EE80E03" w14:textId="53AC13B4" w:rsidR="00C914EE" w:rsidRPr="004F033C" w:rsidRDefault="00C914EE" w:rsidP="00231AA2">
      <w:pPr>
        <w:spacing w:line="240" w:lineRule="auto"/>
        <w:ind w:left="-450"/>
        <w:contextualSpacing/>
        <w:rPr>
          <w:rFonts w:ascii="Times New Roman" w:hAnsi="Times New Roman" w:cs="Times New Roman"/>
          <w:sz w:val="20"/>
          <w:szCs w:val="20"/>
        </w:rPr>
      </w:pPr>
      <w:r w:rsidRPr="004F033C">
        <w:rPr>
          <w:rFonts w:ascii="Times New Roman" w:hAnsi="Times New Roman" w:cs="Times New Roman"/>
          <w:sz w:val="20"/>
          <w:szCs w:val="20"/>
        </w:rPr>
        <w:t xml:space="preserve">Eysenck, H. J. </w:t>
      </w:r>
      <w:r w:rsidRPr="004F033C">
        <w:rPr>
          <w:rFonts w:ascii="Times New Roman" w:hAnsi="Times New Roman" w:cs="Times New Roman"/>
          <w:i/>
          <w:iCs/>
          <w:sz w:val="20"/>
          <w:szCs w:val="20"/>
        </w:rPr>
        <w:t>The Biological Basis of Personality</w:t>
      </w:r>
      <w:r w:rsidRPr="004F033C">
        <w:rPr>
          <w:rFonts w:ascii="Times New Roman" w:hAnsi="Times New Roman" w:cs="Times New Roman"/>
          <w:sz w:val="20"/>
          <w:szCs w:val="20"/>
        </w:rPr>
        <w:t>. Springfield, Ill.: Thomas</w:t>
      </w:r>
      <w:r w:rsidR="00AF6034" w:rsidRPr="004F033C">
        <w:rPr>
          <w:rFonts w:ascii="Times New Roman" w:hAnsi="Times New Roman" w:cs="Times New Roman"/>
          <w:sz w:val="20"/>
          <w:szCs w:val="20"/>
        </w:rPr>
        <w:t xml:space="preserve"> 1967</w:t>
      </w:r>
      <w:r w:rsidR="00797FF0" w:rsidRPr="004F033C">
        <w:rPr>
          <w:rFonts w:ascii="Times New Roman" w:hAnsi="Times New Roman" w:cs="Times New Roman"/>
          <w:sz w:val="20"/>
          <w:szCs w:val="20"/>
        </w:rPr>
        <w:t>.</w:t>
      </w:r>
    </w:p>
    <w:p w14:paraId="176E6687" w14:textId="079B0AFB" w:rsidR="00C914EE" w:rsidRPr="0080521D" w:rsidRDefault="007B31D9"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lastRenderedPageBreak/>
        <w:t>———.</w:t>
      </w:r>
      <w:r w:rsidR="00C914EE" w:rsidRPr="0080521D">
        <w:rPr>
          <w:rFonts w:ascii="Times New Roman" w:hAnsi="Times New Roman" w:cs="Times New Roman"/>
          <w:sz w:val="20"/>
          <w:szCs w:val="20"/>
        </w:rPr>
        <w:t>, and MW Eysenck. “Personality and Individual Differences: A Natural Science Approach.” New York: Plenum</w:t>
      </w:r>
      <w:r w:rsidR="002E1252">
        <w:rPr>
          <w:rFonts w:ascii="Times New Roman" w:hAnsi="Times New Roman" w:cs="Times New Roman"/>
          <w:sz w:val="20"/>
          <w:szCs w:val="20"/>
        </w:rPr>
        <w:t>, 198</w:t>
      </w:r>
      <w:r w:rsidR="00A551DA">
        <w:rPr>
          <w:rFonts w:ascii="Times New Roman" w:hAnsi="Times New Roman" w:cs="Times New Roman"/>
          <w:sz w:val="20"/>
          <w:szCs w:val="20"/>
        </w:rPr>
        <w:t>5</w:t>
      </w:r>
      <w:r w:rsidR="00635942">
        <w:rPr>
          <w:rFonts w:ascii="Times New Roman" w:hAnsi="Times New Roman" w:cs="Times New Roman"/>
          <w:sz w:val="20"/>
          <w:szCs w:val="20"/>
        </w:rPr>
        <w:t>.</w:t>
      </w:r>
    </w:p>
    <w:p w14:paraId="01600FEE" w14:textId="1394BDA8"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Ezeh, Uche, Marita Pall, Ruchi Mathur, and Ricardo Azziz. </w:t>
      </w:r>
      <w:r w:rsidRPr="00595BC0">
        <w:rPr>
          <w:rFonts w:ascii="Times New Roman" w:hAnsi="Times New Roman" w:cs="Times New Roman"/>
          <w:sz w:val="20"/>
          <w:szCs w:val="20"/>
        </w:rPr>
        <w:t xml:space="preserve">“Association of Fat to Lean Mass Ratio with Metabolic Dysfunction in Women with Polycystic Ovary Syndrome.” </w:t>
      </w:r>
      <w:r w:rsidRPr="00595BC0">
        <w:rPr>
          <w:rFonts w:ascii="Times New Roman" w:hAnsi="Times New Roman" w:cs="Times New Roman"/>
          <w:i/>
          <w:iCs/>
          <w:sz w:val="20"/>
          <w:szCs w:val="20"/>
        </w:rPr>
        <w:t>H</w:t>
      </w:r>
      <w:r w:rsidR="00B83106" w:rsidRPr="00595BC0">
        <w:rPr>
          <w:rFonts w:ascii="Times New Roman" w:hAnsi="Times New Roman" w:cs="Times New Roman"/>
          <w:i/>
          <w:iCs/>
          <w:sz w:val="20"/>
          <w:szCs w:val="20"/>
        </w:rPr>
        <w:t xml:space="preserve">uman Reproduction </w:t>
      </w:r>
      <w:r w:rsidRPr="00595BC0">
        <w:rPr>
          <w:rFonts w:ascii="Times New Roman" w:hAnsi="Times New Roman" w:cs="Times New Roman"/>
          <w:sz w:val="20"/>
          <w:szCs w:val="20"/>
        </w:rPr>
        <w:t>29</w:t>
      </w:r>
      <w:r w:rsidR="00EA5427" w:rsidRPr="00595BC0">
        <w:rPr>
          <w:rFonts w:ascii="Times New Roman" w:hAnsi="Times New Roman" w:cs="Times New Roman"/>
          <w:sz w:val="20"/>
          <w:szCs w:val="20"/>
        </w:rPr>
        <w:t xml:space="preserve">, no. 7 (2014): 1508-17. </w:t>
      </w:r>
    </w:p>
    <w:p w14:paraId="5D4FCA7E" w14:textId="562368F2"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Farmer, AD, SJ Coen, M Kano, SF Worthen, Holly E Rossiter, SM Scott, PL Furlong, and Q Aziz. “Psychological Traits Influence Autonomic </w:t>
      </w:r>
      <w:r w:rsidRPr="00531DD5">
        <w:rPr>
          <w:rFonts w:ascii="Times New Roman" w:hAnsi="Times New Roman" w:cs="Times New Roman"/>
          <w:sz w:val="20"/>
          <w:szCs w:val="20"/>
        </w:rPr>
        <w:t xml:space="preserve">Nervous System Recovery Following Esophageal Intubation in Health and Functional Chest Pain.” </w:t>
      </w:r>
      <w:r w:rsidRPr="00531DD5">
        <w:rPr>
          <w:rFonts w:ascii="Times New Roman" w:hAnsi="Times New Roman" w:cs="Times New Roman"/>
          <w:i/>
          <w:iCs/>
          <w:sz w:val="20"/>
          <w:szCs w:val="20"/>
        </w:rPr>
        <w:t>Neurogastroenterology &amp; Motility</w:t>
      </w:r>
      <w:r w:rsidRPr="00531DD5">
        <w:rPr>
          <w:rFonts w:ascii="Times New Roman" w:hAnsi="Times New Roman" w:cs="Times New Roman"/>
          <w:sz w:val="20"/>
          <w:szCs w:val="20"/>
        </w:rPr>
        <w:t xml:space="preserve"> 25</w:t>
      </w:r>
      <w:r w:rsidR="00595BC0" w:rsidRPr="00531DD5">
        <w:rPr>
          <w:rFonts w:ascii="Times New Roman" w:hAnsi="Times New Roman" w:cs="Times New Roman"/>
          <w:sz w:val="20"/>
          <w:szCs w:val="20"/>
        </w:rPr>
        <w:t>, no. 1</w:t>
      </w:r>
      <w:r w:rsidR="0046250E" w:rsidRPr="00531DD5">
        <w:rPr>
          <w:rFonts w:ascii="Times New Roman" w:hAnsi="Times New Roman" w:cs="Times New Roman"/>
          <w:sz w:val="20"/>
          <w:szCs w:val="20"/>
        </w:rPr>
        <w:t>2</w:t>
      </w:r>
      <w:r w:rsidR="00595BC0" w:rsidRPr="00531DD5">
        <w:rPr>
          <w:rFonts w:ascii="Times New Roman" w:hAnsi="Times New Roman" w:cs="Times New Roman"/>
          <w:sz w:val="20"/>
          <w:szCs w:val="20"/>
        </w:rPr>
        <w:t xml:space="preserve"> (2013): </w:t>
      </w:r>
      <w:r w:rsidR="0046250E" w:rsidRPr="00531DD5">
        <w:rPr>
          <w:rFonts w:ascii="Times New Roman" w:hAnsi="Times New Roman" w:cs="Times New Roman"/>
          <w:sz w:val="20"/>
          <w:szCs w:val="20"/>
        </w:rPr>
        <w:t>950-e772.</w:t>
      </w:r>
      <w:r w:rsidR="00595BC0" w:rsidRPr="00531DD5">
        <w:rPr>
          <w:rFonts w:ascii="Times New Roman" w:hAnsi="Times New Roman" w:cs="Times New Roman"/>
          <w:sz w:val="20"/>
          <w:szCs w:val="20"/>
        </w:rPr>
        <w:t xml:space="preserve"> </w:t>
      </w:r>
    </w:p>
    <w:p w14:paraId="591823FB" w14:textId="6B2D4DB5" w:rsidR="00C914EE" w:rsidRPr="0080521D" w:rsidRDefault="00C914EE" w:rsidP="00231AA2">
      <w:pPr>
        <w:spacing w:line="240" w:lineRule="auto"/>
        <w:ind w:hanging="450"/>
        <w:contextualSpacing/>
        <w:rPr>
          <w:rFonts w:ascii="Times New Roman" w:hAnsi="Times New Roman" w:cs="Times New Roman"/>
          <w:sz w:val="20"/>
          <w:szCs w:val="20"/>
        </w:rPr>
      </w:pPr>
      <w:r w:rsidRPr="0080521D">
        <w:rPr>
          <w:rFonts w:ascii="Times New Roman" w:hAnsi="Times New Roman" w:cs="Times New Roman"/>
          <w:sz w:val="20"/>
          <w:szCs w:val="20"/>
        </w:rPr>
        <w:t xml:space="preserve">Fauser, BCJM, Jaehyuk Chang, Ricardo Azziz, Richard Legro, Didier Dewailly, Stephen Franks, BC Tarlatzis, et al. </w:t>
      </w:r>
      <w:r w:rsidRPr="00EB2C8A">
        <w:rPr>
          <w:rFonts w:ascii="Times New Roman" w:hAnsi="Times New Roman" w:cs="Times New Roman"/>
          <w:i/>
          <w:iCs/>
          <w:sz w:val="20"/>
          <w:szCs w:val="20"/>
        </w:rPr>
        <w:t>Revised 2003 Consensus on Diagnostic Criteria and Long-Term Health Risks Related to Polycystic Ovary Syndrome (PCOS)</w:t>
      </w:r>
      <w:r w:rsidR="008E031D" w:rsidRPr="00EB2C8A">
        <w:rPr>
          <w:rFonts w:ascii="Times New Roman" w:hAnsi="Times New Roman" w:cs="Times New Roman"/>
          <w:sz w:val="20"/>
          <w:szCs w:val="20"/>
        </w:rPr>
        <w:t xml:space="preserve">, </w:t>
      </w:r>
      <w:r w:rsidR="005E65FB" w:rsidRPr="00EB2C8A">
        <w:rPr>
          <w:rFonts w:ascii="Times New Roman" w:hAnsi="Times New Roman" w:cs="Times New Roman"/>
          <w:sz w:val="20"/>
          <w:szCs w:val="20"/>
        </w:rPr>
        <w:t>Vol 19</w:t>
      </w:r>
      <w:r w:rsidR="008E031D" w:rsidRPr="00EB2C8A">
        <w:rPr>
          <w:rFonts w:ascii="Times New Roman" w:hAnsi="Times New Roman" w:cs="Times New Roman"/>
          <w:sz w:val="20"/>
          <w:szCs w:val="20"/>
        </w:rPr>
        <w:t xml:space="preserve"> (2004)</w:t>
      </w:r>
      <w:r w:rsidR="003A0A48" w:rsidRPr="00EB2C8A">
        <w:rPr>
          <w:rFonts w:ascii="Times New Roman" w:hAnsi="Times New Roman" w:cs="Times New Roman"/>
          <w:sz w:val="20"/>
          <w:szCs w:val="20"/>
        </w:rPr>
        <w:t>.</w:t>
      </w:r>
      <w:r w:rsidR="008E031D" w:rsidRPr="00EB2C8A">
        <w:rPr>
          <w:rFonts w:ascii="Times New Roman" w:hAnsi="Times New Roman" w:cs="Times New Roman"/>
          <w:sz w:val="20"/>
          <w:szCs w:val="20"/>
        </w:rPr>
        <w:t xml:space="preserve"> </w:t>
      </w:r>
    </w:p>
    <w:p w14:paraId="0E29422F" w14:textId="003719C4"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Ferezini de Sa, Joceline Cassia, Eduardo Caldas Costa, Ester da Silva, Roberta Silva Zuttin, Eliane Pereira da Silva, Telma Maria Araujo Moura Lemos, and George Dantas De Azevedo. “Analysis of Heart Rate Variability in Polycystic Ovary Syndrome.” </w:t>
      </w:r>
      <w:r w:rsidRPr="004629AC">
        <w:rPr>
          <w:rFonts w:ascii="Times New Roman" w:hAnsi="Times New Roman" w:cs="Times New Roman"/>
          <w:i/>
          <w:iCs/>
          <w:sz w:val="20"/>
          <w:szCs w:val="20"/>
        </w:rPr>
        <w:t>G</w:t>
      </w:r>
      <w:r w:rsidR="00E119E0" w:rsidRPr="004629AC">
        <w:rPr>
          <w:rFonts w:ascii="Times New Roman" w:hAnsi="Times New Roman" w:cs="Times New Roman"/>
          <w:i/>
          <w:iCs/>
          <w:sz w:val="20"/>
          <w:szCs w:val="20"/>
        </w:rPr>
        <w:t xml:space="preserve">ynecological Endocrinology </w:t>
      </w:r>
      <w:r w:rsidRPr="004629AC">
        <w:rPr>
          <w:rFonts w:ascii="Times New Roman" w:hAnsi="Times New Roman" w:cs="Times New Roman"/>
          <w:sz w:val="20"/>
          <w:szCs w:val="20"/>
        </w:rPr>
        <w:t>27</w:t>
      </w:r>
      <w:r w:rsidR="00EB2C8A" w:rsidRPr="004629AC">
        <w:rPr>
          <w:rFonts w:ascii="Times New Roman" w:hAnsi="Times New Roman" w:cs="Times New Roman"/>
          <w:sz w:val="20"/>
          <w:szCs w:val="20"/>
        </w:rPr>
        <w:t xml:space="preserve">, no. </w:t>
      </w:r>
      <w:r w:rsidR="00F50985" w:rsidRPr="004629AC">
        <w:rPr>
          <w:rFonts w:ascii="Times New Roman" w:hAnsi="Times New Roman" w:cs="Times New Roman"/>
          <w:sz w:val="20"/>
          <w:szCs w:val="20"/>
        </w:rPr>
        <w:t>6</w:t>
      </w:r>
      <w:r w:rsidR="00EB2C8A" w:rsidRPr="004629AC">
        <w:rPr>
          <w:rFonts w:ascii="Times New Roman" w:hAnsi="Times New Roman" w:cs="Times New Roman"/>
          <w:sz w:val="20"/>
          <w:szCs w:val="20"/>
        </w:rPr>
        <w:t xml:space="preserve"> (2011): </w:t>
      </w:r>
      <w:r w:rsidR="00182C29" w:rsidRPr="004629AC">
        <w:rPr>
          <w:rFonts w:ascii="Times New Roman" w:hAnsi="Times New Roman" w:cs="Times New Roman"/>
          <w:sz w:val="20"/>
          <w:szCs w:val="20"/>
        </w:rPr>
        <w:t>443-47</w:t>
      </w:r>
      <w:r w:rsidR="00EB2C8A" w:rsidRPr="004629AC">
        <w:rPr>
          <w:rFonts w:ascii="Times New Roman" w:hAnsi="Times New Roman" w:cs="Times New Roman"/>
          <w:sz w:val="20"/>
          <w:szCs w:val="20"/>
        </w:rPr>
        <w:t xml:space="preserve"> </w:t>
      </w:r>
    </w:p>
    <w:p w14:paraId="5FDCAB10" w14:textId="146D1C61"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Franik, G., A. Bizon, S. Wloch, D. Pluta, L. Blukacz, H. Milnerowicz, and P. Madej. “The Effect of Abdominal Obesity in Patients </w:t>
      </w:r>
      <w:r w:rsidRPr="005B1062">
        <w:rPr>
          <w:rFonts w:ascii="Times New Roman" w:hAnsi="Times New Roman" w:cs="Times New Roman"/>
          <w:sz w:val="20"/>
          <w:szCs w:val="20"/>
        </w:rPr>
        <w:t xml:space="preserve">with Polycystic Ovary Syndrome on Metabolic Parameters.” </w:t>
      </w:r>
      <w:r w:rsidRPr="005B1062">
        <w:rPr>
          <w:rFonts w:ascii="Times New Roman" w:hAnsi="Times New Roman" w:cs="Times New Roman"/>
          <w:i/>
          <w:iCs/>
          <w:sz w:val="20"/>
          <w:szCs w:val="20"/>
        </w:rPr>
        <w:t>E</w:t>
      </w:r>
      <w:r w:rsidR="00347EF7" w:rsidRPr="005B1062">
        <w:rPr>
          <w:rFonts w:ascii="Times New Roman" w:hAnsi="Times New Roman" w:cs="Times New Roman"/>
          <w:i/>
          <w:iCs/>
          <w:sz w:val="20"/>
          <w:szCs w:val="20"/>
        </w:rPr>
        <w:t xml:space="preserve">uropean Review for </w:t>
      </w:r>
      <w:r w:rsidR="008C59C4" w:rsidRPr="005B1062">
        <w:rPr>
          <w:rFonts w:ascii="Times New Roman" w:hAnsi="Times New Roman" w:cs="Times New Roman"/>
          <w:i/>
          <w:iCs/>
          <w:sz w:val="20"/>
          <w:szCs w:val="20"/>
        </w:rPr>
        <w:t>Medical and Pharmacological Sciences</w:t>
      </w:r>
      <w:r w:rsidR="00347EF7" w:rsidRPr="005B1062">
        <w:rPr>
          <w:rFonts w:ascii="Times New Roman" w:hAnsi="Times New Roman" w:cs="Times New Roman"/>
          <w:i/>
          <w:iCs/>
          <w:sz w:val="20"/>
          <w:szCs w:val="20"/>
        </w:rPr>
        <w:t xml:space="preserve"> </w:t>
      </w:r>
      <w:r w:rsidRPr="005B1062">
        <w:rPr>
          <w:rFonts w:ascii="Times New Roman" w:hAnsi="Times New Roman" w:cs="Times New Roman"/>
          <w:sz w:val="20"/>
          <w:szCs w:val="20"/>
        </w:rPr>
        <w:t>21</w:t>
      </w:r>
      <w:r w:rsidR="004629AC" w:rsidRPr="005B1062">
        <w:rPr>
          <w:rFonts w:ascii="Times New Roman" w:hAnsi="Times New Roman" w:cs="Times New Roman"/>
          <w:sz w:val="20"/>
          <w:szCs w:val="20"/>
        </w:rPr>
        <w:t>, no. 21 (2017): 4755-61</w:t>
      </w:r>
      <w:r w:rsidR="005B1062" w:rsidRPr="005B1062">
        <w:rPr>
          <w:rFonts w:ascii="Times New Roman" w:hAnsi="Times New Roman" w:cs="Times New Roman"/>
          <w:sz w:val="20"/>
          <w:szCs w:val="20"/>
        </w:rPr>
        <w:t>.</w:t>
      </w:r>
    </w:p>
    <w:p w14:paraId="2F9B622D" w14:textId="49A0110D"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Glintborg, Dorte, Marianne Andersen, Claus Hagen, Lene Heickendorff, and Anne Pernille Hermann. “Association of Pioglitazone Treatment with Decreased Bone Mineral Density in Obese Premenopausal Patients with Polycystic Ovary Syndrome: A Randomized, Placebo-Controlled Trial.” </w:t>
      </w:r>
      <w:r w:rsidR="00632D23" w:rsidRPr="0080521D">
        <w:rPr>
          <w:rFonts w:ascii="Times New Roman" w:hAnsi="Times New Roman" w:cs="Times New Roman"/>
          <w:i/>
          <w:iCs/>
          <w:sz w:val="20"/>
          <w:szCs w:val="20"/>
        </w:rPr>
        <w:t>The Journal of Clinical Endocrinology &amp; Metabolism</w:t>
      </w:r>
      <w:r w:rsidRPr="0080521D">
        <w:rPr>
          <w:rFonts w:ascii="Times New Roman" w:hAnsi="Times New Roman" w:cs="Times New Roman"/>
          <w:sz w:val="20"/>
          <w:szCs w:val="20"/>
        </w:rPr>
        <w:t xml:space="preserve"> </w:t>
      </w:r>
      <w:r w:rsidRPr="00C75FFE">
        <w:rPr>
          <w:rFonts w:ascii="Times New Roman" w:hAnsi="Times New Roman" w:cs="Times New Roman"/>
          <w:sz w:val="20"/>
          <w:szCs w:val="20"/>
        </w:rPr>
        <w:t>9</w:t>
      </w:r>
      <w:r w:rsidR="00621917" w:rsidRPr="00C75FFE">
        <w:rPr>
          <w:rFonts w:ascii="Times New Roman" w:hAnsi="Times New Roman" w:cs="Times New Roman"/>
          <w:sz w:val="20"/>
          <w:szCs w:val="20"/>
        </w:rPr>
        <w:t>3</w:t>
      </w:r>
      <w:r w:rsidR="005B1062" w:rsidRPr="00C75FFE">
        <w:rPr>
          <w:rFonts w:ascii="Times New Roman" w:hAnsi="Times New Roman" w:cs="Times New Roman"/>
          <w:sz w:val="20"/>
          <w:szCs w:val="20"/>
        </w:rPr>
        <w:t>, no. 5 (</w:t>
      </w:r>
      <w:r w:rsidR="00B975ED" w:rsidRPr="00C75FFE">
        <w:rPr>
          <w:rFonts w:ascii="Times New Roman" w:hAnsi="Times New Roman" w:cs="Times New Roman"/>
          <w:sz w:val="20"/>
          <w:szCs w:val="20"/>
        </w:rPr>
        <w:t>2008</w:t>
      </w:r>
      <w:r w:rsidR="005B1062" w:rsidRPr="00C75FFE">
        <w:rPr>
          <w:rFonts w:ascii="Times New Roman" w:hAnsi="Times New Roman" w:cs="Times New Roman"/>
          <w:sz w:val="20"/>
          <w:szCs w:val="20"/>
        </w:rPr>
        <w:t xml:space="preserve">): </w:t>
      </w:r>
      <w:r w:rsidR="00B975ED" w:rsidRPr="00C75FFE">
        <w:rPr>
          <w:rFonts w:ascii="Times New Roman" w:hAnsi="Times New Roman" w:cs="Times New Roman"/>
          <w:sz w:val="20"/>
          <w:szCs w:val="20"/>
        </w:rPr>
        <w:t>1696-1701.</w:t>
      </w:r>
      <w:r w:rsidR="005B1062" w:rsidRPr="00C75FFE">
        <w:rPr>
          <w:rFonts w:ascii="Times New Roman" w:hAnsi="Times New Roman" w:cs="Times New Roman"/>
          <w:sz w:val="20"/>
          <w:szCs w:val="20"/>
        </w:rPr>
        <w:t xml:space="preserve"> </w:t>
      </w:r>
    </w:p>
    <w:p w14:paraId="77121842" w14:textId="385A5067" w:rsidR="00C914EE" w:rsidRPr="0080521D" w:rsidRDefault="007B31D9"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w:t>
      </w:r>
      <w:r w:rsidR="00C914EE" w:rsidRPr="0080521D">
        <w:rPr>
          <w:rFonts w:ascii="Times New Roman" w:hAnsi="Times New Roman" w:cs="Times New Roman"/>
          <w:sz w:val="20"/>
          <w:szCs w:val="20"/>
        </w:rPr>
        <w:t xml:space="preserve">, Maria Houborg Petersen, Pernille Ravn, Anne Pernille Hermann, and Marianne Andersen. “Comparison of Regional Fat Mass Measurement by Whole Body DXA Scans and Anthropometric Measures to Predict Insulin Resistance in Women with Polycystic Ovary Syndrome and Controls.” </w:t>
      </w:r>
      <w:r w:rsidR="00C914EE" w:rsidRPr="0080521D">
        <w:rPr>
          <w:rFonts w:ascii="Times New Roman" w:hAnsi="Times New Roman" w:cs="Times New Roman"/>
          <w:i/>
          <w:iCs/>
          <w:sz w:val="20"/>
          <w:szCs w:val="20"/>
        </w:rPr>
        <w:t>A</w:t>
      </w:r>
      <w:r w:rsidR="00BA6D10">
        <w:rPr>
          <w:rFonts w:ascii="Times New Roman" w:hAnsi="Times New Roman" w:cs="Times New Roman"/>
          <w:i/>
          <w:iCs/>
          <w:sz w:val="20"/>
          <w:szCs w:val="20"/>
        </w:rPr>
        <w:t xml:space="preserve">cta </w:t>
      </w:r>
      <w:r w:rsidR="00B619FC">
        <w:rPr>
          <w:rFonts w:ascii="Times New Roman" w:hAnsi="Times New Roman" w:cs="Times New Roman"/>
          <w:i/>
          <w:iCs/>
          <w:sz w:val="20"/>
          <w:szCs w:val="20"/>
        </w:rPr>
        <w:t>Ob</w:t>
      </w:r>
      <w:r w:rsidR="00167569">
        <w:rPr>
          <w:rFonts w:ascii="Times New Roman" w:hAnsi="Times New Roman" w:cs="Times New Roman"/>
          <w:i/>
          <w:iCs/>
          <w:sz w:val="20"/>
          <w:szCs w:val="20"/>
        </w:rPr>
        <w:t>stetricia et Gynecologica</w:t>
      </w:r>
      <w:r w:rsidR="009A2F58">
        <w:rPr>
          <w:rFonts w:ascii="Times New Roman" w:hAnsi="Times New Roman" w:cs="Times New Roman"/>
          <w:i/>
          <w:iCs/>
          <w:sz w:val="20"/>
          <w:szCs w:val="20"/>
        </w:rPr>
        <w:t xml:space="preserve"> </w:t>
      </w:r>
      <w:r w:rsidR="009A2F58" w:rsidRPr="00CB3B39">
        <w:rPr>
          <w:rFonts w:ascii="Times New Roman" w:hAnsi="Times New Roman" w:cs="Times New Roman"/>
          <w:i/>
          <w:iCs/>
          <w:sz w:val="20"/>
          <w:szCs w:val="20"/>
        </w:rPr>
        <w:t xml:space="preserve">Scandinavica </w:t>
      </w:r>
      <w:r w:rsidR="00C914EE" w:rsidRPr="00CB3B39">
        <w:rPr>
          <w:rFonts w:ascii="Times New Roman" w:hAnsi="Times New Roman" w:cs="Times New Roman"/>
          <w:sz w:val="20"/>
          <w:szCs w:val="20"/>
        </w:rPr>
        <w:t>95</w:t>
      </w:r>
      <w:r w:rsidR="00C75FFE" w:rsidRPr="00CB3B39">
        <w:rPr>
          <w:rFonts w:ascii="Times New Roman" w:hAnsi="Times New Roman" w:cs="Times New Roman"/>
          <w:sz w:val="20"/>
          <w:szCs w:val="20"/>
        </w:rPr>
        <w:t>, no. 1</w:t>
      </w:r>
      <w:r w:rsidR="00CB3B39" w:rsidRPr="00CB3B39">
        <w:rPr>
          <w:rFonts w:ascii="Times New Roman" w:hAnsi="Times New Roman" w:cs="Times New Roman"/>
          <w:sz w:val="20"/>
          <w:szCs w:val="20"/>
        </w:rPr>
        <w:t>1</w:t>
      </w:r>
      <w:r w:rsidR="00C75FFE" w:rsidRPr="00CB3B39">
        <w:rPr>
          <w:rFonts w:ascii="Times New Roman" w:hAnsi="Times New Roman" w:cs="Times New Roman"/>
          <w:sz w:val="20"/>
          <w:szCs w:val="20"/>
        </w:rPr>
        <w:t xml:space="preserve"> (</w:t>
      </w:r>
      <w:r w:rsidR="00CB3B39" w:rsidRPr="00CB3B39">
        <w:rPr>
          <w:rFonts w:ascii="Times New Roman" w:hAnsi="Times New Roman" w:cs="Times New Roman"/>
          <w:sz w:val="20"/>
          <w:szCs w:val="20"/>
        </w:rPr>
        <w:t>2016</w:t>
      </w:r>
      <w:r w:rsidR="00C75FFE" w:rsidRPr="00CB3B39">
        <w:rPr>
          <w:rFonts w:ascii="Times New Roman" w:hAnsi="Times New Roman" w:cs="Times New Roman"/>
          <w:sz w:val="20"/>
          <w:szCs w:val="20"/>
        </w:rPr>
        <w:t xml:space="preserve">): </w:t>
      </w:r>
      <w:r w:rsidR="00CB3B39" w:rsidRPr="00CB3B39">
        <w:rPr>
          <w:rFonts w:ascii="Times New Roman" w:hAnsi="Times New Roman" w:cs="Times New Roman"/>
          <w:sz w:val="20"/>
          <w:szCs w:val="20"/>
        </w:rPr>
        <w:t>1235-43.</w:t>
      </w:r>
      <w:r w:rsidR="00C75FFE" w:rsidRPr="00CB3B39">
        <w:rPr>
          <w:rFonts w:ascii="Times New Roman" w:hAnsi="Times New Roman" w:cs="Times New Roman"/>
          <w:sz w:val="20"/>
          <w:szCs w:val="20"/>
        </w:rPr>
        <w:t xml:space="preserve"> </w:t>
      </w:r>
    </w:p>
    <w:p w14:paraId="0C3999DC" w14:textId="786D13C5" w:rsidR="00C914EE" w:rsidRPr="00B0751A" w:rsidRDefault="00C914EE" w:rsidP="00231AA2">
      <w:pPr>
        <w:spacing w:line="240" w:lineRule="auto"/>
        <w:ind w:hanging="480"/>
        <w:contextualSpacing/>
        <w:rPr>
          <w:rFonts w:ascii="Times New Roman" w:hAnsi="Times New Roman" w:cs="Times New Roman"/>
          <w:sz w:val="20"/>
          <w:szCs w:val="20"/>
        </w:rPr>
      </w:pPr>
      <w:r w:rsidRPr="00B0751A">
        <w:rPr>
          <w:rFonts w:ascii="Times New Roman" w:hAnsi="Times New Roman" w:cs="Times New Roman"/>
          <w:sz w:val="20"/>
          <w:szCs w:val="20"/>
        </w:rPr>
        <w:t xml:space="preserve">Godoy-Matos, Amelio F., Fernanda Vaisman, Aline P. Pedrosa, Maria L. F. Farias, Laura Maria C. Mendonca, and Maria Fernanda M. C. Pinheiro. “Central-to-Peripheral Fat Ratio, but Not Peripheral Body Fat, Is Related to Insulin Resistance and Androgen Markers in Polycystic Ovary Syndrome.” </w:t>
      </w:r>
      <w:r w:rsidRPr="00B0751A">
        <w:rPr>
          <w:rFonts w:ascii="Times New Roman" w:hAnsi="Times New Roman" w:cs="Times New Roman"/>
          <w:i/>
          <w:iCs/>
          <w:sz w:val="20"/>
          <w:szCs w:val="20"/>
        </w:rPr>
        <w:t>G</w:t>
      </w:r>
      <w:r w:rsidR="00A50C3C" w:rsidRPr="00B0751A">
        <w:rPr>
          <w:rFonts w:ascii="Times New Roman" w:hAnsi="Times New Roman" w:cs="Times New Roman"/>
          <w:i/>
          <w:iCs/>
          <w:sz w:val="20"/>
          <w:szCs w:val="20"/>
        </w:rPr>
        <w:t xml:space="preserve">ynecological Endocrinology </w:t>
      </w:r>
      <w:r w:rsidRPr="00B0751A">
        <w:rPr>
          <w:rFonts w:ascii="Times New Roman" w:hAnsi="Times New Roman" w:cs="Times New Roman"/>
          <w:sz w:val="20"/>
          <w:szCs w:val="20"/>
        </w:rPr>
        <w:t>25</w:t>
      </w:r>
      <w:r w:rsidR="00B0751A" w:rsidRPr="00B0751A">
        <w:rPr>
          <w:rFonts w:ascii="Times New Roman" w:hAnsi="Times New Roman" w:cs="Times New Roman"/>
          <w:sz w:val="20"/>
          <w:szCs w:val="20"/>
        </w:rPr>
        <w:t>, no. 12 (2009): 793-98.</w:t>
      </w:r>
      <w:r w:rsidRPr="00B0751A">
        <w:rPr>
          <w:rFonts w:ascii="Times New Roman" w:hAnsi="Times New Roman" w:cs="Times New Roman"/>
          <w:sz w:val="20"/>
          <w:szCs w:val="20"/>
        </w:rPr>
        <w:t xml:space="preserve"> </w:t>
      </w:r>
    </w:p>
    <w:p w14:paraId="25F17471" w14:textId="1814142C" w:rsidR="00312F15" w:rsidRPr="00312F15" w:rsidRDefault="00312F15" w:rsidP="00231AA2">
      <w:pPr>
        <w:spacing w:line="240" w:lineRule="auto"/>
        <w:ind w:hanging="480"/>
        <w:contextualSpacing/>
        <w:rPr>
          <w:rFonts w:ascii="Times New Roman" w:hAnsi="Times New Roman" w:cs="Times New Roman"/>
          <w:color w:val="FF0000"/>
          <w:sz w:val="20"/>
          <w:szCs w:val="20"/>
        </w:rPr>
      </w:pPr>
      <w:r w:rsidRPr="00312F15">
        <w:rPr>
          <w:rFonts w:ascii="Times New Roman" w:hAnsi="Times New Roman" w:cs="Times New Roman"/>
          <w:color w:val="222222"/>
          <w:sz w:val="20"/>
          <w:szCs w:val="20"/>
          <w:shd w:val="clear" w:color="auto" w:fill="FFFFFF"/>
        </w:rPr>
        <w:t>Goldberg, Lewis R. "A broad-bandwidth, public domain, personality inventory measuring the lower-level facets of several five-factor models." </w:t>
      </w:r>
      <w:r w:rsidRPr="00312F15">
        <w:rPr>
          <w:rFonts w:ascii="Times New Roman" w:hAnsi="Times New Roman" w:cs="Times New Roman"/>
          <w:i/>
          <w:iCs/>
          <w:color w:val="222222"/>
          <w:sz w:val="20"/>
          <w:szCs w:val="20"/>
          <w:shd w:val="clear" w:color="auto" w:fill="FFFFFF"/>
        </w:rPr>
        <w:t>Personality psychology in Europe</w:t>
      </w:r>
      <w:r w:rsidRPr="00312F15">
        <w:rPr>
          <w:rFonts w:ascii="Times New Roman" w:hAnsi="Times New Roman" w:cs="Times New Roman"/>
          <w:color w:val="222222"/>
          <w:sz w:val="20"/>
          <w:szCs w:val="20"/>
          <w:shd w:val="clear" w:color="auto" w:fill="FFFFFF"/>
        </w:rPr>
        <w:t> 7, no. 1 (1999): 7-28.</w:t>
      </w:r>
    </w:p>
    <w:p w14:paraId="07026EBC" w14:textId="08B34013" w:rsidR="00F06B08" w:rsidRPr="00800CD1" w:rsidRDefault="00800CD1" w:rsidP="00231AA2">
      <w:pPr>
        <w:spacing w:line="240" w:lineRule="auto"/>
        <w:ind w:hanging="480"/>
        <w:contextualSpacing/>
        <w:rPr>
          <w:rFonts w:ascii="Times New Roman" w:hAnsi="Times New Roman" w:cs="Times New Roman"/>
          <w:sz w:val="20"/>
          <w:szCs w:val="20"/>
        </w:rPr>
      </w:pPr>
      <w:r w:rsidRPr="00800CD1">
        <w:rPr>
          <w:rFonts w:ascii="Times New Roman" w:hAnsi="Times New Roman" w:cs="Times New Roman"/>
          <w:color w:val="222222"/>
          <w:sz w:val="20"/>
          <w:szCs w:val="20"/>
          <w:shd w:val="clear" w:color="auto" w:fill="FFFFFF"/>
        </w:rPr>
        <w:t>Good, Candace, Mark Tulchinsky, David Mauger, Laurence M. Demers, and Richard S. Legro. "Bone mineral density and body composition in lean women with polycystic ovary syndrome." </w:t>
      </w:r>
      <w:r w:rsidRPr="00800CD1">
        <w:rPr>
          <w:rFonts w:ascii="Times New Roman" w:hAnsi="Times New Roman" w:cs="Times New Roman"/>
          <w:i/>
          <w:iCs/>
          <w:color w:val="222222"/>
          <w:sz w:val="20"/>
          <w:szCs w:val="20"/>
          <w:shd w:val="clear" w:color="auto" w:fill="FFFFFF"/>
        </w:rPr>
        <w:t>Fertility and sterility</w:t>
      </w:r>
      <w:r w:rsidRPr="00800CD1">
        <w:rPr>
          <w:rFonts w:ascii="Times New Roman" w:hAnsi="Times New Roman" w:cs="Times New Roman"/>
          <w:color w:val="222222"/>
          <w:sz w:val="20"/>
          <w:szCs w:val="20"/>
          <w:shd w:val="clear" w:color="auto" w:fill="FFFFFF"/>
        </w:rPr>
        <w:t> 72, no. 1 (1999): 21-25.</w:t>
      </w:r>
    </w:p>
    <w:p w14:paraId="66523B7F" w14:textId="581A7D96" w:rsidR="0076005C" w:rsidRPr="0076005C" w:rsidRDefault="0076005C" w:rsidP="00231AA2">
      <w:pPr>
        <w:spacing w:line="240" w:lineRule="auto"/>
        <w:ind w:hanging="480"/>
        <w:contextualSpacing/>
        <w:rPr>
          <w:rFonts w:ascii="Times New Roman" w:hAnsi="Times New Roman" w:cs="Times New Roman"/>
          <w:sz w:val="20"/>
          <w:szCs w:val="20"/>
        </w:rPr>
      </w:pPr>
      <w:r w:rsidRPr="0076005C">
        <w:rPr>
          <w:rFonts w:ascii="Times New Roman" w:hAnsi="Times New Roman" w:cs="Times New Roman"/>
          <w:color w:val="222222"/>
          <w:sz w:val="20"/>
          <w:szCs w:val="20"/>
          <w:shd w:val="clear" w:color="auto" w:fill="FFFFFF"/>
        </w:rPr>
        <w:t>Goodarzi, Mark O., Daniel A. Dumesic, Gregorio Chazenbalk, and Ricardo Azziz. "Polycystic ovary syndrome: etiology, pathogenesis and diagnosis." </w:t>
      </w:r>
      <w:r w:rsidRPr="0076005C">
        <w:rPr>
          <w:rFonts w:ascii="Times New Roman" w:hAnsi="Times New Roman" w:cs="Times New Roman"/>
          <w:i/>
          <w:iCs/>
          <w:color w:val="222222"/>
          <w:sz w:val="20"/>
          <w:szCs w:val="20"/>
          <w:shd w:val="clear" w:color="auto" w:fill="FFFFFF"/>
        </w:rPr>
        <w:t>Nature reviews endocrinology</w:t>
      </w:r>
      <w:r w:rsidRPr="0076005C">
        <w:rPr>
          <w:rFonts w:ascii="Times New Roman" w:hAnsi="Times New Roman" w:cs="Times New Roman"/>
          <w:color w:val="222222"/>
          <w:sz w:val="20"/>
          <w:szCs w:val="20"/>
          <w:shd w:val="clear" w:color="auto" w:fill="FFFFFF"/>
        </w:rPr>
        <w:t> 7, no. 4 (2011): 219-231.</w:t>
      </w:r>
    </w:p>
    <w:p w14:paraId="3F68CABC" w14:textId="4CCB80C3" w:rsidR="001D1E28" w:rsidRPr="001D1E28" w:rsidRDefault="001D1E28" w:rsidP="00231AA2">
      <w:pPr>
        <w:spacing w:line="240" w:lineRule="auto"/>
        <w:ind w:hanging="480"/>
        <w:contextualSpacing/>
        <w:rPr>
          <w:rFonts w:ascii="Times New Roman" w:hAnsi="Times New Roman" w:cs="Times New Roman"/>
          <w:sz w:val="20"/>
          <w:szCs w:val="20"/>
        </w:rPr>
      </w:pPr>
      <w:r w:rsidRPr="001D1E28">
        <w:rPr>
          <w:rFonts w:ascii="Times New Roman" w:hAnsi="Times New Roman" w:cs="Times New Roman"/>
          <w:color w:val="222222"/>
          <w:sz w:val="20"/>
          <w:szCs w:val="20"/>
          <w:shd w:val="clear" w:color="auto" w:fill="FFFFFF"/>
        </w:rPr>
        <w:t>Goodman, Neil F., Rhoda H. Cobin, Walter Futterweit, Jennifer S. Glueck, Richard S. Legro, and Enrico Carmina. "American Association of Clinical Endocrinologists, American College of Endocrinology, and androgen excess and PCOS society disease state clinical review: guide to the best practices in the evaluation and treatment of polycystic ovary syndrome-part 1." </w:t>
      </w:r>
      <w:r w:rsidRPr="001D1E28">
        <w:rPr>
          <w:rFonts w:ascii="Times New Roman" w:hAnsi="Times New Roman" w:cs="Times New Roman"/>
          <w:i/>
          <w:iCs/>
          <w:color w:val="222222"/>
          <w:sz w:val="20"/>
          <w:szCs w:val="20"/>
          <w:shd w:val="clear" w:color="auto" w:fill="FFFFFF"/>
        </w:rPr>
        <w:t>Endocrine Practice</w:t>
      </w:r>
      <w:r w:rsidRPr="001D1E28">
        <w:rPr>
          <w:rFonts w:ascii="Times New Roman" w:hAnsi="Times New Roman" w:cs="Times New Roman"/>
          <w:color w:val="222222"/>
          <w:sz w:val="20"/>
          <w:szCs w:val="20"/>
          <w:shd w:val="clear" w:color="auto" w:fill="FFFFFF"/>
        </w:rPr>
        <w:t> 21, no. 11 (2015): 1291-1300.</w:t>
      </w:r>
    </w:p>
    <w:p w14:paraId="4508F881" w14:textId="34A5F71E" w:rsidR="00290058" w:rsidRPr="00290058" w:rsidRDefault="00290058" w:rsidP="00231AA2">
      <w:pPr>
        <w:spacing w:line="240" w:lineRule="auto"/>
        <w:ind w:hanging="480"/>
        <w:contextualSpacing/>
        <w:rPr>
          <w:rFonts w:ascii="Times New Roman" w:hAnsi="Times New Roman" w:cs="Times New Roman"/>
          <w:sz w:val="20"/>
          <w:szCs w:val="20"/>
        </w:rPr>
      </w:pPr>
      <w:r w:rsidRPr="00290058">
        <w:rPr>
          <w:rFonts w:ascii="Times New Roman" w:hAnsi="Times New Roman" w:cs="Times New Roman"/>
          <w:color w:val="222222"/>
          <w:sz w:val="20"/>
          <w:szCs w:val="20"/>
          <w:shd w:val="clear" w:color="auto" w:fill="FFFFFF"/>
        </w:rPr>
        <w:t>Gui, Juan, and Rui-hao Wang. "Cardiovascular autonomic dysfunction in women with polycystic ovary syndrome: a systematic review and meta-analysis." </w:t>
      </w:r>
      <w:r w:rsidRPr="00290058">
        <w:rPr>
          <w:rFonts w:ascii="Times New Roman" w:hAnsi="Times New Roman" w:cs="Times New Roman"/>
          <w:i/>
          <w:iCs/>
          <w:color w:val="222222"/>
          <w:sz w:val="20"/>
          <w:szCs w:val="20"/>
          <w:shd w:val="clear" w:color="auto" w:fill="FFFFFF"/>
        </w:rPr>
        <w:t>Reproductive BioMedicine Online</w:t>
      </w:r>
      <w:r w:rsidRPr="00290058">
        <w:rPr>
          <w:rFonts w:ascii="Times New Roman" w:hAnsi="Times New Roman" w:cs="Times New Roman"/>
          <w:color w:val="222222"/>
          <w:sz w:val="20"/>
          <w:szCs w:val="20"/>
          <w:shd w:val="clear" w:color="auto" w:fill="FFFFFF"/>
        </w:rPr>
        <w:t> 35, no. 1 (2017): 113-120.</w:t>
      </w:r>
    </w:p>
    <w:p w14:paraId="2B967F56" w14:textId="3D203DC7" w:rsidR="00692ECC" w:rsidRPr="00692ECC" w:rsidRDefault="00692ECC" w:rsidP="00231AA2">
      <w:pPr>
        <w:spacing w:line="240" w:lineRule="auto"/>
        <w:ind w:hanging="480"/>
        <w:contextualSpacing/>
        <w:rPr>
          <w:rFonts w:ascii="Times New Roman" w:hAnsi="Times New Roman" w:cs="Times New Roman"/>
          <w:sz w:val="20"/>
          <w:szCs w:val="20"/>
        </w:rPr>
      </w:pPr>
      <w:r w:rsidRPr="00692ECC">
        <w:rPr>
          <w:rFonts w:ascii="Times New Roman" w:hAnsi="Times New Roman" w:cs="Times New Roman"/>
          <w:color w:val="222222"/>
          <w:sz w:val="20"/>
          <w:szCs w:val="20"/>
          <w:shd w:val="clear" w:color="auto" w:fill="FFFFFF"/>
        </w:rPr>
        <w:t>Hashim, Zainab Hasan, Farqad Bader Hamdan, and Anam Rashid Al-Salihi. "Autonomic dysfunction in women with polycystic ovary syndrome." </w:t>
      </w:r>
      <w:r w:rsidRPr="00692ECC">
        <w:rPr>
          <w:rFonts w:ascii="Times New Roman" w:hAnsi="Times New Roman" w:cs="Times New Roman"/>
          <w:i/>
          <w:iCs/>
          <w:color w:val="222222"/>
          <w:sz w:val="20"/>
          <w:szCs w:val="20"/>
          <w:shd w:val="clear" w:color="auto" w:fill="FFFFFF"/>
        </w:rPr>
        <w:t>Iranian journal of reproductive medicine</w:t>
      </w:r>
      <w:r w:rsidRPr="00692ECC">
        <w:rPr>
          <w:rFonts w:ascii="Times New Roman" w:hAnsi="Times New Roman" w:cs="Times New Roman"/>
          <w:color w:val="222222"/>
          <w:sz w:val="20"/>
          <w:szCs w:val="20"/>
          <w:shd w:val="clear" w:color="auto" w:fill="FFFFFF"/>
        </w:rPr>
        <w:t> 13, no. 1 (2015): 27.</w:t>
      </w:r>
    </w:p>
    <w:p w14:paraId="1413EF20" w14:textId="0E379D34" w:rsidR="00BA3808" w:rsidRPr="00BA3808" w:rsidRDefault="00BA3808" w:rsidP="00231AA2">
      <w:pPr>
        <w:spacing w:line="240" w:lineRule="auto"/>
        <w:ind w:hanging="480"/>
        <w:contextualSpacing/>
        <w:rPr>
          <w:rFonts w:ascii="Times New Roman" w:hAnsi="Times New Roman" w:cs="Times New Roman"/>
          <w:sz w:val="20"/>
          <w:szCs w:val="20"/>
        </w:rPr>
      </w:pPr>
      <w:r w:rsidRPr="00BA3808">
        <w:rPr>
          <w:rFonts w:ascii="Times New Roman" w:hAnsi="Times New Roman" w:cs="Times New Roman"/>
          <w:color w:val="222222"/>
          <w:sz w:val="20"/>
          <w:szCs w:val="20"/>
          <w:shd w:val="clear" w:color="auto" w:fill="FFFFFF"/>
        </w:rPr>
        <w:t>Hergüner, Sabri, Hatice Harmancı, and Harun Toy. "Attention deficit-hyperactivity disorder symptoms in women with polycystic ovary syndrome." </w:t>
      </w:r>
      <w:r w:rsidRPr="00BA3808">
        <w:rPr>
          <w:rFonts w:ascii="Times New Roman" w:hAnsi="Times New Roman" w:cs="Times New Roman"/>
          <w:i/>
          <w:iCs/>
          <w:color w:val="222222"/>
          <w:sz w:val="20"/>
          <w:szCs w:val="20"/>
          <w:shd w:val="clear" w:color="auto" w:fill="FFFFFF"/>
        </w:rPr>
        <w:t>The International Journal of Psychiatry in Medicine</w:t>
      </w:r>
      <w:r w:rsidRPr="00BA3808">
        <w:rPr>
          <w:rFonts w:ascii="Times New Roman" w:hAnsi="Times New Roman" w:cs="Times New Roman"/>
          <w:color w:val="222222"/>
          <w:sz w:val="20"/>
          <w:szCs w:val="20"/>
          <w:shd w:val="clear" w:color="auto" w:fill="FFFFFF"/>
        </w:rPr>
        <w:t> 50, no. 3 (2015): 317-325.</w:t>
      </w:r>
    </w:p>
    <w:p w14:paraId="4982182C" w14:textId="3C6765B6" w:rsidR="00E827BB" w:rsidRPr="00885392" w:rsidRDefault="00885392" w:rsidP="00231AA2">
      <w:pPr>
        <w:spacing w:line="240" w:lineRule="auto"/>
        <w:ind w:hanging="480"/>
        <w:contextualSpacing/>
        <w:rPr>
          <w:rFonts w:ascii="Times New Roman" w:hAnsi="Times New Roman" w:cs="Times New Roman"/>
          <w:sz w:val="20"/>
          <w:szCs w:val="20"/>
        </w:rPr>
      </w:pPr>
      <w:r w:rsidRPr="00885392">
        <w:rPr>
          <w:rFonts w:ascii="Times New Roman" w:hAnsi="Times New Roman" w:cs="Times New Roman"/>
          <w:color w:val="222222"/>
          <w:sz w:val="20"/>
          <w:szCs w:val="20"/>
          <w:shd w:val="clear" w:color="auto" w:fill="FFFFFF"/>
        </w:rPr>
        <w:t>Hinson, John M., Tina L. Jameson, and Paul Whitney. "Impulsive decision making and working memory." </w:t>
      </w:r>
      <w:r w:rsidRPr="00885392">
        <w:rPr>
          <w:rFonts w:ascii="Times New Roman" w:hAnsi="Times New Roman" w:cs="Times New Roman"/>
          <w:i/>
          <w:iCs/>
          <w:color w:val="222222"/>
          <w:sz w:val="20"/>
          <w:szCs w:val="20"/>
          <w:shd w:val="clear" w:color="auto" w:fill="FFFFFF"/>
        </w:rPr>
        <w:t>Journal of Experimental Psychology: Learning, Memory, and Cognition</w:t>
      </w:r>
      <w:r w:rsidRPr="00885392">
        <w:rPr>
          <w:rFonts w:ascii="Times New Roman" w:hAnsi="Times New Roman" w:cs="Times New Roman"/>
          <w:color w:val="222222"/>
          <w:sz w:val="20"/>
          <w:szCs w:val="20"/>
          <w:shd w:val="clear" w:color="auto" w:fill="FFFFFF"/>
        </w:rPr>
        <w:t> 29, no. 2 (2003): 298.</w:t>
      </w:r>
    </w:p>
    <w:p w14:paraId="17B406F0" w14:textId="24F36F38" w:rsidR="00DA2600" w:rsidRPr="00DA2600" w:rsidRDefault="00DA2600" w:rsidP="00231AA2">
      <w:pPr>
        <w:spacing w:line="240" w:lineRule="auto"/>
        <w:ind w:hanging="480"/>
        <w:contextualSpacing/>
        <w:rPr>
          <w:rFonts w:ascii="Times New Roman" w:hAnsi="Times New Roman" w:cs="Times New Roman"/>
          <w:sz w:val="20"/>
          <w:szCs w:val="20"/>
        </w:rPr>
      </w:pPr>
      <w:r w:rsidRPr="00DA2600">
        <w:rPr>
          <w:rFonts w:ascii="Times New Roman" w:hAnsi="Times New Roman" w:cs="Times New Roman"/>
          <w:color w:val="222222"/>
          <w:sz w:val="20"/>
          <w:szCs w:val="20"/>
          <w:shd w:val="clear" w:color="auto" w:fill="FFFFFF"/>
        </w:rPr>
        <w:t>Hung, Jeng-Hsiu, Li-Yu Hu, Shih-Jen Tsai, Albert C. Yang, Min-Wei Huang, Pan-Ming Chen, Shu-Li Wang, Ti Lu, and Cheng-Che Shen. "Risk of psychiatric disorders following polycystic ovary syndrome: a nationwide population-based cohort study." </w:t>
      </w:r>
      <w:r w:rsidRPr="00DA2600">
        <w:rPr>
          <w:rFonts w:ascii="Times New Roman" w:hAnsi="Times New Roman" w:cs="Times New Roman"/>
          <w:i/>
          <w:iCs/>
          <w:color w:val="222222"/>
          <w:sz w:val="20"/>
          <w:szCs w:val="20"/>
          <w:shd w:val="clear" w:color="auto" w:fill="FFFFFF"/>
        </w:rPr>
        <w:t>PloS one</w:t>
      </w:r>
      <w:r w:rsidRPr="00DA2600">
        <w:rPr>
          <w:rFonts w:ascii="Times New Roman" w:hAnsi="Times New Roman" w:cs="Times New Roman"/>
          <w:color w:val="222222"/>
          <w:sz w:val="20"/>
          <w:szCs w:val="20"/>
          <w:shd w:val="clear" w:color="auto" w:fill="FFFFFF"/>
        </w:rPr>
        <w:t> 9, no. 5 (2014): e97041.</w:t>
      </w:r>
    </w:p>
    <w:p w14:paraId="69F65C58" w14:textId="771AB4F2" w:rsidR="00C35ABB" w:rsidRPr="00C35ABB" w:rsidRDefault="00C35ABB" w:rsidP="00231AA2">
      <w:pPr>
        <w:spacing w:line="240" w:lineRule="auto"/>
        <w:ind w:hanging="480"/>
        <w:contextualSpacing/>
        <w:rPr>
          <w:rFonts w:ascii="Times New Roman" w:hAnsi="Times New Roman" w:cs="Times New Roman"/>
          <w:sz w:val="20"/>
          <w:szCs w:val="20"/>
        </w:rPr>
      </w:pPr>
      <w:r w:rsidRPr="00C35ABB">
        <w:rPr>
          <w:rFonts w:ascii="Times New Roman" w:hAnsi="Times New Roman" w:cs="Times New Roman"/>
          <w:color w:val="222222"/>
          <w:sz w:val="20"/>
          <w:szCs w:val="20"/>
          <w:shd w:val="clear" w:color="auto" w:fill="FFFFFF"/>
        </w:rPr>
        <w:t>Imai, Katsuji, Hideyuki Sato, Masatsugu Hori, Hideo Kusuoka, Hitoshi Ozaki, Hiroshi Yokoyama, Hiroshi Takeda, Michitoshi Inoue, and Takenobu Kamada. "Vagally mediated heart rate recovery after exercise is accelerated in athletes but blunted in patients with chronic heart failure." </w:t>
      </w:r>
      <w:r w:rsidRPr="00C35ABB">
        <w:rPr>
          <w:rFonts w:ascii="Times New Roman" w:hAnsi="Times New Roman" w:cs="Times New Roman"/>
          <w:i/>
          <w:iCs/>
          <w:color w:val="222222"/>
          <w:sz w:val="20"/>
          <w:szCs w:val="20"/>
          <w:shd w:val="clear" w:color="auto" w:fill="FFFFFF"/>
        </w:rPr>
        <w:t>Journal of the American College of Cardiology</w:t>
      </w:r>
      <w:r w:rsidRPr="00C35ABB">
        <w:rPr>
          <w:rFonts w:ascii="Times New Roman" w:hAnsi="Times New Roman" w:cs="Times New Roman"/>
          <w:color w:val="222222"/>
          <w:sz w:val="20"/>
          <w:szCs w:val="20"/>
          <w:shd w:val="clear" w:color="auto" w:fill="FFFFFF"/>
        </w:rPr>
        <w:t> 24, no. 6 (1994): 1529-1535.</w:t>
      </w:r>
    </w:p>
    <w:p w14:paraId="3884E601" w14:textId="6306C2FB" w:rsidR="00EF2826" w:rsidRPr="00EF2826" w:rsidRDefault="00EF2826" w:rsidP="00231AA2">
      <w:pPr>
        <w:spacing w:line="240" w:lineRule="auto"/>
        <w:ind w:hanging="480"/>
        <w:contextualSpacing/>
        <w:rPr>
          <w:rFonts w:ascii="Times New Roman" w:hAnsi="Times New Roman" w:cs="Times New Roman"/>
          <w:sz w:val="20"/>
          <w:szCs w:val="20"/>
        </w:rPr>
      </w:pPr>
      <w:r w:rsidRPr="00EF2826">
        <w:rPr>
          <w:rFonts w:ascii="Times New Roman" w:hAnsi="Times New Roman" w:cs="Times New Roman"/>
          <w:color w:val="222222"/>
          <w:sz w:val="20"/>
          <w:szCs w:val="20"/>
          <w:shd w:val="clear" w:color="auto" w:fill="FFFFFF"/>
        </w:rPr>
        <w:t>Ji, Hae Ri, Hye Lin Woo, Young Jae Park, Deok Sang Hwang, Jin Moo Lee, Chang Hoon Lee, Jun Bock Jang, and Kyoung Sun Park. "Characteristics of heart rate variability in women with polycystic ovary syndrome: a retrospective cross-sectional study." </w:t>
      </w:r>
      <w:r w:rsidRPr="00EF2826">
        <w:rPr>
          <w:rFonts w:ascii="Times New Roman" w:hAnsi="Times New Roman" w:cs="Times New Roman"/>
          <w:i/>
          <w:iCs/>
          <w:color w:val="222222"/>
          <w:sz w:val="20"/>
          <w:szCs w:val="20"/>
          <w:shd w:val="clear" w:color="auto" w:fill="FFFFFF"/>
        </w:rPr>
        <w:t>Medicine</w:t>
      </w:r>
      <w:r w:rsidRPr="00EF2826">
        <w:rPr>
          <w:rFonts w:ascii="Times New Roman" w:hAnsi="Times New Roman" w:cs="Times New Roman"/>
          <w:color w:val="222222"/>
          <w:sz w:val="20"/>
          <w:szCs w:val="20"/>
          <w:shd w:val="clear" w:color="auto" w:fill="FFFFFF"/>
        </w:rPr>
        <w:t> 97, no. 38 (2018).</w:t>
      </w:r>
    </w:p>
    <w:p w14:paraId="3B4C1F6E" w14:textId="016AEFC3" w:rsidR="005100D2" w:rsidRPr="005100D2" w:rsidRDefault="005100D2" w:rsidP="00231AA2">
      <w:pPr>
        <w:spacing w:line="240" w:lineRule="auto"/>
        <w:ind w:hanging="480"/>
        <w:contextualSpacing/>
        <w:rPr>
          <w:rFonts w:ascii="Times New Roman" w:hAnsi="Times New Roman" w:cs="Times New Roman"/>
          <w:sz w:val="20"/>
          <w:szCs w:val="20"/>
        </w:rPr>
      </w:pPr>
      <w:r w:rsidRPr="005100D2">
        <w:rPr>
          <w:rFonts w:ascii="Times New Roman" w:hAnsi="Times New Roman" w:cs="Times New Roman"/>
          <w:color w:val="222222"/>
          <w:sz w:val="20"/>
          <w:szCs w:val="20"/>
          <w:shd w:val="clear" w:color="auto" w:fill="FFFFFF"/>
        </w:rPr>
        <w:lastRenderedPageBreak/>
        <w:t>Katulski, K., S. Slawek, A. Czyzyk, A. Podfigurna-Stopa, K. Paczkowska, N. Ignaszak, N. Podkowa, and B. Meczekalski. "Bone mineral density in women with polycystic ovary syndrome." </w:t>
      </w:r>
      <w:r w:rsidRPr="005100D2">
        <w:rPr>
          <w:rFonts w:ascii="Times New Roman" w:hAnsi="Times New Roman" w:cs="Times New Roman"/>
          <w:i/>
          <w:iCs/>
          <w:color w:val="222222"/>
          <w:sz w:val="20"/>
          <w:szCs w:val="20"/>
          <w:shd w:val="clear" w:color="auto" w:fill="FFFFFF"/>
        </w:rPr>
        <w:t>Journal of endocrinological investigation</w:t>
      </w:r>
      <w:r w:rsidRPr="005100D2">
        <w:rPr>
          <w:rFonts w:ascii="Times New Roman" w:hAnsi="Times New Roman" w:cs="Times New Roman"/>
          <w:color w:val="222222"/>
          <w:sz w:val="20"/>
          <w:szCs w:val="20"/>
          <w:shd w:val="clear" w:color="auto" w:fill="FFFFFF"/>
        </w:rPr>
        <w:t> 37 (2014): 1219-1224.</w:t>
      </w:r>
    </w:p>
    <w:p w14:paraId="3E9D8C5E" w14:textId="5C77A5A7" w:rsidR="00AC449B" w:rsidRPr="00AC449B" w:rsidRDefault="00AC449B" w:rsidP="00231AA2">
      <w:pPr>
        <w:spacing w:line="240" w:lineRule="auto"/>
        <w:ind w:hanging="480"/>
        <w:contextualSpacing/>
        <w:rPr>
          <w:rFonts w:ascii="Times New Roman" w:hAnsi="Times New Roman" w:cs="Times New Roman"/>
          <w:sz w:val="20"/>
          <w:szCs w:val="20"/>
        </w:rPr>
      </w:pPr>
      <w:r w:rsidRPr="00AC449B">
        <w:rPr>
          <w:rFonts w:ascii="Times New Roman" w:hAnsi="Times New Roman" w:cs="Times New Roman"/>
          <w:color w:val="222222"/>
          <w:sz w:val="20"/>
          <w:szCs w:val="20"/>
          <w:shd w:val="clear" w:color="auto" w:fill="FFFFFF"/>
        </w:rPr>
        <w:t>Kiddy, D. S., P. S. Sharp, D. M. White, M. F. Scanlon, H. D. Mason, C. S. Bray, D. W. Polson, M. J. Reed, and S. Franks. "Differences in clinical and endocrine features between obese and non‐obese subjects with polycystic ovary syndrome: an analysis of 263 consecutive cases." </w:t>
      </w:r>
      <w:r w:rsidRPr="00AC449B">
        <w:rPr>
          <w:rFonts w:ascii="Times New Roman" w:hAnsi="Times New Roman" w:cs="Times New Roman"/>
          <w:i/>
          <w:iCs/>
          <w:color w:val="222222"/>
          <w:sz w:val="20"/>
          <w:szCs w:val="20"/>
          <w:shd w:val="clear" w:color="auto" w:fill="FFFFFF"/>
        </w:rPr>
        <w:t>Clinical endocrinology</w:t>
      </w:r>
      <w:r w:rsidRPr="00AC449B">
        <w:rPr>
          <w:rFonts w:ascii="Times New Roman" w:hAnsi="Times New Roman" w:cs="Times New Roman"/>
          <w:color w:val="222222"/>
          <w:sz w:val="20"/>
          <w:szCs w:val="20"/>
          <w:shd w:val="clear" w:color="auto" w:fill="FFFFFF"/>
        </w:rPr>
        <w:t> 32, no. 2 (1990): 213-220.</w:t>
      </w:r>
    </w:p>
    <w:p w14:paraId="419B0BA0" w14:textId="1AA91D36" w:rsidR="00CF525F" w:rsidRPr="00CF525F" w:rsidRDefault="00CF525F" w:rsidP="00231AA2">
      <w:pPr>
        <w:spacing w:line="240" w:lineRule="auto"/>
        <w:ind w:hanging="480"/>
        <w:contextualSpacing/>
        <w:rPr>
          <w:rFonts w:ascii="Times New Roman" w:hAnsi="Times New Roman" w:cs="Times New Roman"/>
          <w:sz w:val="20"/>
          <w:szCs w:val="20"/>
        </w:rPr>
      </w:pPr>
      <w:r w:rsidRPr="00CF525F">
        <w:rPr>
          <w:rFonts w:ascii="Times New Roman" w:hAnsi="Times New Roman" w:cs="Times New Roman"/>
          <w:color w:val="222222"/>
          <w:sz w:val="20"/>
          <w:szCs w:val="20"/>
          <w:shd w:val="clear" w:color="auto" w:fill="FFFFFF"/>
        </w:rPr>
        <w:t>Kirchengast, S., and J. Huber. "Body composition characteristics and body fat distribution in lean women with polycystic ovary syndrome." </w:t>
      </w:r>
      <w:r w:rsidRPr="00CF525F">
        <w:rPr>
          <w:rFonts w:ascii="Times New Roman" w:hAnsi="Times New Roman" w:cs="Times New Roman"/>
          <w:i/>
          <w:iCs/>
          <w:color w:val="222222"/>
          <w:sz w:val="20"/>
          <w:szCs w:val="20"/>
          <w:shd w:val="clear" w:color="auto" w:fill="FFFFFF"/>
        </w:rPr>
        <w:t>Human reproduction</w:t>
      </w:r>
      <w:r w:rsidRPr="00CF525F">
        <w:rPr>
          <w:rFonts w:ascii="Times New Roman" w:hAnsi="Times New Roman" w:cs="Times New Roman"/>
          <w:color w:val="222222"/>
          <w:sz w:val="20"/>
          <w:szCs w:val="20"/>
          <w:shd w:val="clear" w:color="auto" w:fill="FFFFFF"/>
        </w:rPr>
        <w:t> 16, no. 6 (2001): 1255-1260.</w:t>
      </w:r>
    </w:p>
    <w:p w14:paraId="4BD1FDC4" w14:textId="0DCE72A0" w:rsidR="00B95054" w:rsidRPr="00B95054" w:rsidRDefault="00B95054" w:rsidP="00231AA2">
      <w:pPr>
        <w:spacing w:line="240" w:lineRule="auto"/>
        <w:ind w:hanging="480"/>
        <w:contextualSpacing/>
        <w:rPr>
          <w:rFonts w:ascii="Times New Roman" w:hAnsi="Times New Roman" w:cs="Times New Roman"/>
          <w:sz w:val="20"/>
          <w:szCs w:val="20"/>
        </w:rPr>
      </w:pPr>
      <w:r w:rsidRPr="00B95054">
        <w:rPr>
          <w:rFonts w:ascii="Times New Roman" w:hAnsi="Times New Roman" w:cs="Times New Roman"/>
          <w:color w:val="222222"/>
          <w:sz w:val="20"/>
          <w:szCs w:val="20"/>
          <w:shd w:val="clear" w:color="auto" w:fill="FFFFFF"/>
        </w:rPr>
        <w:t>Koenig, Julian, M. N. Jarczok, M. Warth, R. J. Ellis, C. Bach, T. K. Hillecke, and Julian Francis Thayer. "Body mass index is related to autonomic nervous system activity as measured by heart rate variability—a replication using short term measurements." </w:t>
      </w:r>
      <w:r w:rsidRPr="00B95054">
        <w:rPr>
          <w:rFonts w:ascii="Times New Roman" w:hAnsi="Times New Roman" w:cs="Times New Roman"/>
          <w:i/>
          <w:iCs/>
          <w:color w:val="222222"/>
          <w:sz w:val="20"/>
          <w:szCs w:val="20"/>
          <w:shd w:val="clear" w:color="auto" w:fill="FFFFFF"/>
        </w:rPr>
        <w:t>The journal of nutrition, health &amp; aging</w:t>
      </w:r>
      <w:r w:rsidRPr="00B95054">
        <w:rPr>
          <w:rFonts w:ascii="Times New Roman" w:hAnsi="Times New Roman" w:cs="Times New Roman"/>
          <w:color w:val="222222"/>
          <w:sz w:val="20"/>
          <w:szCs w:val="20"/>
          <w:shd w:val="clear" w:color="auto" w:fill="FFFFFF"/>
        </w:rPr>
        <w:t> 18 (2014): 300-302.</w:t>
      </w:r>
    </w:p>
    <w:p w14:paraId="2EE0B3B2" w14:textId="6AF6A203" w:rsidR="004A5899" w:rsidRPr="004A5899" w:rsidRDefault="004A5899" w:rsidP="00231AA2">
      <w:pPr>
        <w:spacing w:line="240" w:lineRule="auto"/>
        <w:ind w:hanging="480"/>
        <w:contextualSpacing/>
        <w:rPr>
          <w:rFonts w:ascii="Times New Roman" w:hAnsi="Times New Roman" w:cs="Times New Roman"/>
          <w:sz w:val="20"/>
          <w:szCs w:val="20"/>
        </w:rPr>
      </w:pPr>
      <w:r w:rsidRPr="004A5899">
        <w:rPr>
          <w:rFonts w:ascii="Times New Roman" w:hAnsi="Times New Roman" w:cs="Times New Roman"/>
          <w:color w:val="222222"/>
          <w:sz w:val="20"/>
          <w:szCs w:val="20"/>
          <w:shd w:val="clear" w:color="auto" w:fill="FFFFFF"/>
        </w:rPr>
        <w:t>Kogure, Gislaine Satyko, Fabiene Karine Piccki, Carolina Sales Vieira, Wellington de Paula Martins, and Rosana Maria dos Reis. "Analysis of muscle strength and body composition of women with polycystic ovary syndrome." </w:t>
      </w:r>
      <w:r w:rsidRPr="004A5899">
        <w:rPr>
          <w:rFonts w:ascii="Times New Roman" w:hAnsi="Times New Roman" w:cs="Times New Roman"/>
          <w:i/>
          <w:iCs/>
          <w:color w:val="222222"/>
          <w:sz w:val="20"/>
          <w:szCs w:val="20"/>
          <w:shd w:val="clear" w:color="auto" w:fill="FFFFFF"/>
        </w:rPr>
        <w:t>Revista Brasileira de Ginecologia e Obstetrícia</w:t>
      </w:r>
      <w:r w:rsidRPr="004A5899">
        <w:rPr>
          <w:rFonts w:ascii="Times New Roman" w:hAnsi="Times New Roman" w:cs="Times New Roman"/>
          <w:color w:val="222222"/>
          <w:sz w:val="20"/>
          <w:szCs w:val="20"/>
          <w:shd w:val="clear" w:color="auto" w:fill="FFFFFF"/>
        </w:rPr>
        <w:t> 34 (2012): 316-322.</w:t>
      </w:r>
    </w:p>
    <w:p w14:paraId="6E1B1E57" w14:textId="71C37F85" w:rsidR="00D865FC" w:rsidRPr="00C4230C" w:rsidRDefault="00C4230C"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w:t>
      </w:r>
      <w:r w:rsidRPr="00C4230C">
        <w:rPr>
          <w:rFonts w:ascii="Times New Roman" w:hAnsi="Times New Roman" w:cs="Times New Roman"/>
          <w:color w:val="222222"/>
          <w:sz w:val="20"/>
          <w:szCs w:val="20"/>
          <w:shd w:val="clear" w:color="auto" w:fill="FFFFFF"/>
        </w:rPr>
        <w:t>, Gislaine Satyko, Rafael Costa Silva, Fabiene K. Picchi Ramos, Cristiana Libardi Miranda-Furtado, Lucia Alves da Silva Lara, Rui Alberto Ferriani, and Rosana Maria Dos Reis. "Women with polycystic ovary syndrome have greater muscle strength irrespective of body composition." </w:t>
      </w:r>
      <w:r w:rsidRPr="00C4230C">
        <w:rPr>
          <w:rFonts w:ascii="Times New Roman" w:hAnsi="Times New Roman" w:cs="Times New Roman"/>
          <w:i/>
          <w:iCs/>
          <w:color w:val="222222"/>
          <w:sz w:val="20"/>
          <w:szCs w:val="20"/>
          <w:shd w:val="clear" w:color="auto" w:fill="FFFFFF"/>
        </w:rPr>
        <w:t>Gynecological Endocrinology</w:t>
      </w:r>
      <w:r w:rsidRPr="00C4230C">
        <w:rPr>
          <w:rFonts w:ascii="Times New Roman" w:hAnsi="Times New Roman" w:cs="Times New Roman"/>
          <w:color w:val="222222"/>
          <w:sz w:val="20"/>
          <w:szCs w:val="20"/>
          <w:shd w:val="clear" w:color="auto" w:fill="FFFFFF"/>
        </w:rPr>
        <w:t> 31, no. 3 (2015): 237-242.</w:t>
      </w:r>
    </w:p>
    <w:p w14:paraId="338DD51E" w14:textId="6D5608F1" w:rsidR="008B1C6A" w:rsidRPr="008B1C6A" w:rsidRDefault="008B1C6A" w:rsidP="00231AA2">
      <w:pPr>
        <w:spacing w:line="240" w:lineRule="auto"/>
        <w:ind w:hanging="480"/>
        <w:contextualSpacing/>
        <w:rPr>
          <w:rFonts w:ascii="Times New Roman" w:hAnsi="Times New Roman" w:cs="Times New Roman"/>
          <w:sz w:val="20"/>
          <w:szCs w:val="20"/>
        </w:rPr>
      </w:pPr>
      <w:r w:rsidRPr="008B1C6A">
        <w:rPr>
          <w:rFonts w:ascii="Times New Roman" w:hAnsi="Times New Roman" w:cs="Times New Roman"/>
          <w:color w:val="222222"/>
          <w:sz w:val="20"/>
          <w:szCs w:val="20"/>
          <w:shd w:val="clear" w:color="auto" w:fill="FFFFFF"/>
        </w:rPr>
        <w:t>Kucera, P., Z. Goldenberg, and E. Kurca. "Sympathetic skin response: review of the method and its clinical use." </w:t>
      </w:r>
      <w:r w:rsidRPr="008B1C6A">
        <w:rPr>
          <w:rFonts w:ascii="Times New Roman" w:hAnsi="Times New Roman" w:cs="Times New Roman"/>
          <w:i/>
          <w:iCs/>
          <w:sz w:val="20"/>
          <w:szCs w:val="20"/>
        </w:rPr>
        <w:t>Bratislavské Lekárske Listy</w:t>
      </w:r>
      <w:r w:rsidRPr="008B1C6A">
        <w:rPr>
          <w:rFonts w:ascii="Times New Roman" w:hAnsi="Times New Roman" w:cs="Times New Roman"/>
          <w:i/>
          <w:iCs/>
          <w:color w:val="222222"/>
          <w:sz w:val="20"/>
          <w:szCs w:val="20"/>
          <w:shd w:val="clear" w:color="auto" w:fill="FFFFFF"/>
        </w:rPr>
        <w:t>.</w:t>
      </w:r>
      <w:r w:rsidRPr="008B1C6A">
        <w:rPr>
          <w:rFonts w:ascii="Times New Roman" w:hAnsi="Times New Roman" w:cs="Times New Roman"/>
          <w:color w:val="222222"/>
          <w:sz w:val="20"/>
          <w:szCs w:val="20"/>
          <w:shd w:val="clear" w:color="auto" w:fill="FFFFFF"/>
        </w:rPr>
        <w:t> 105, no. 3 (2004): 108-116.</w:t>
      </w:r>
    </w:p>
    <w:p w14:paraId="1CDA6268" w14:textId="0C880090" w:rsidR="00373004" w:rsidRPr="00373004" w:rsidRDefault="00373004" w:rsidP="00231AA2">
      <w:pPr>
        <w:spacing w:line="240" w:lineRule="auto"/>
        <w:ind w:hanging="480"/>
        <w:contextualSpacing/>
        <w:rPr>
          <w:rFonts w:ascii="Times New Roman" w:hAnsi="Times New Roman" w:cs="Times New Roman"/>
          <w:sz w:val="20"/>
          <w:szCs w:val="20"/>
        </w:rPr>
      </w:pPr>
      <w:r w:rsidRPr="00373004">
        <w:rPr>
          <w:rFonts w:ascii="Times New Roman" w:hAnsi="Times New Roman" w:cs="Times New Roman"/>
          <w:color w:val="222222"/>
          <w:sz w:val="20"/>
          <w:szCs w:val="20"/>
          <w:shd w:val="clear" w:color="auto" w:fill="FFFFFF"/>
        </w:rPr>
        <w:t>Kumar, Ashim, Keslie S. Woods, Alfred A. Bartolucci, and Ricardo Azziz. "Prevalence of adrenal androgen excess in patients with the polycystic ovary syndrome (PCOS)." </w:t>
      </w:r>
      <w:r w:rsidRPr="00373004">
        <w:rPr>
          <w:rFonts w:ascii="Times New Roman" w:hAnsi="Times New Roman" w:cs="Times New Roman"/>
          <w:i/>
          <w:iCs/>
          <w:color w:val="222222"/>
          <w:sz w:val="20"/>
          <w:szCs w:val="20"/>
          <w:shd w:val="clear" w:color="auto" w:fill="FFFFFF"/>
        </w:rPr>
        <w:t>Clinical endocrinology</w:t>
      </w:r>
      <w:r w:rsidRPr="00373004">
        <w:rPr>
          <w:rFonts w:ascii="Times New Roman" w:hAnsi="Times New Roman" w:cs="Times New Roman"/>
          <w:color w:val="222222"/>
          <w:sz w:val="20"/>
          <w:szCs w:val="20"/>
          <w:shd w:val="clear" w:color="auto" w:fill="FFFFFF"/>
        </w:rPr>
        <w:t> 62, no. 6 (2005): 644-649.</w:t>
      </w:r>
    </w:p>
    <w:p w14:paraId="311763B8" w14:textId="017A0214" w:rsidR="00C16CEF" w:rsidRPr="00C16CEF" w:rsidRDefault="00C16CEF" w:rsidP="00231AA2">
      <w:pPr>
        <w:spacing w:line="240" w:lineRule="auto"/>
        <w:ind w:hanging="480"/>
        <w:contextualSpacing/>
        <w:rPr>
          <w:rFonts w:ascii="Times New Roman" w:hAnsi="Times New Roman" w:cs="Times New Roman"/>
          <w:sz w:val="20"/>
          <w:szCs w:val="20"/>
        </w:rPr>
      </w:pPr>
      <w:r w:rsidRPr="00C16CEF">
        <w:rPr>
          <w:rFonts w:ascii="Times New Roman" w:hAnsi="Times New Roman" w:cs="Times New Roman"/>
          <w:color w:val="222222"/>
          <w:sz w:val="20"/>
          <w:szCs w:val="20"/>
          <w:shd w:val="clear" w:color="auto" w:fill="FFFFFF"/>
        </w:rPr>
        <w:t>Kuppusamy, Saranya, Gopal Krushna Pal, Syed Habeebullah, P. H. Ananthanarayanan, and Pravati Pal. "Association of sympathovagal imbalance with cardiovascular risks in patients with polycystic ovary syndrome." </w:t>
      </w:r>
      <w:r w:rsidRPr="00C16CEF">
        <w:rPr>
          <w:rFonts w:ascii="Times New Roman" w:hAnsi="Times New Roman" w:cs="Times New Roman"/>
          <w:i/>
          <w:iCs/>
          <w:color w:val="222222"/>
          <w:sz w:val="20"/>
          <w:szCs w:val="20"/>
          <w:shd w:val="clear" w:color="auto" w:fill="FFFFFF"/>
        </w:rPr>
        <w:t>Endocrine Research</w:t>
      </w:r>
      <w:r w:rsidRPr="00C16CEF">
        <w:rPr>
          <w:rFonts w:ascii="Times New Roman" w:hAnsi="Times New Roman" w:cs="Times New Roman"/>
          <w:color w:val="222222"/>
          <w:sz w:val="20"/>
          <w:szCs w:val="20"/>
          <w:shd w:val="clear" w:color="auto" w:fill="FFFFFF"/>
        </w:rPr>
        <w:t> 40, no. 1 (2015): 37-43.</w:t>
      </w:r>
    </w:p>
    <w:p w14:paraId="76350D93" w14:textId="298D7548" w:rsidR="009A2FFB" w:rsidRPr="009A2FFB" w:rsidRDefault="009A2FFB" w:rsidP="00231AA2">
      <w:pPr>
        <w:spacing w:line="240" w:lineRule="auto"/>
        <w:ind w:hanging="480"/>
        <w:contextualSpacing/>
        <w:rPr>
          <w:rFonts w:ascii="Times New Roman" w:hAnsi="Times New Roman" w:cs="Times New Roman"/>
          <w:sz w:val="20"/>
          <w:szCs w:val="20"/>
        </w:rPr>
      </w:pPr>
      <w:r w:rsidRPr="009A2FFB">
        <w:rPr>
          <w:rFonts w:ascii="Times New Roman" w:hAnsi="Times New Roman" w:cs="Times New Roman"/>
          <w:color w:val="222222"/>
          <w:sz w:val="20"/>
          <w:szCs w:val="20"/>
          <w:shd w:val="clear" w:color="auto" w:fill="FFFFFF"/>
        </w:rPr>
        <w:t>Lahiri, Marc K., Prince J. Kannankeril, and Jeffrey J. Goldberger. "Assessment of autonomic function in cardiovascular disease: physiological basis and prognostic implications." </w:t>
      </w:r>
      <w:r w:rsidRPr="009A2FFB">
        <w:rPr>
          <w:rFonts w:ascii="Times New Roman" w:hAnsi="Times New Roman" w:cs="Times New Roman"/>
          <w:i/>
          <w:iCs/>
          <w:color w:val="222222"/>
          <w:sz w:val="20"/>
          <w:szCs w:val="20"/>
          <w:shd w:val="clear" w:color="auto" w:fill="FFFFFF"/>
        </w:rPr>
        <w:t>Journal of the American college of Cardiology</w:t>
      </w:r>
      <w:r w:rsidRPr="009A2FFB">
        <w:rPr>
          <w:rFonts w:ascii="Times New Roman" w:hAnsi="Times New Roman" w:cs="Times New Roman"/>
          <w:color w:val="222222"/>
          <w:sz w:val="20"/>
          <w:szCs w:val="20"/>
          <w:shd w:val="clear" w:color="auto" w:fill="FFFFFF"/>
        </w:rPr>
        <w:t> 51, no. 18 (2008): 1725-1733.</w:t>
      </w:r>
    </w:p>
    <w:p w14:paraId="6797F8A2" w14:textId="545DC02A" w:rsidR="007C0EE9" w:rsidRPr="007C0EE9" w:rsidRDefault="007C0EE9" w:rsidP="00231AA2">
      <w:pPr>
        <w:spacing w:line="240" w:lineRule="auto"/>
        <w:ind w:hanging="480"/>
        <w:contextualSpacing/>
        <w:rPr>
          <w:rFonts w:ascii="Times New Roman" w:hAnsi="Times New Roman" w:cs="Times New Roman"/>
          <w:sz w:val="20"/>
          <w:szCs w:val="20"/>
        </w:rPr>
      </w:pPr>
      <w:r w:rsidRPr="007C0EE9">
        <w:rPr>
          <w:rFonts w:ascii="Times New Roman" w:hAnsi="Times New Roman" w:cs="Times New Roman"/>
          <w:color w:val="222222"/>
          <w:sz w:val="20"/>
          <w:szCs w:val="20"/>
          <w:shd w:val="clear" w:color="auto" w:fill="FFFFFF"/>
        </w:rPr>
        <w:t>Lambert, Elisabeth A., Helena Teede, Carolina Ika Sari, Eveline Jona, Soulmaz Shorakae, Kiri Woodington, Robyn Hemmes et al. "Sympathetic activation and endothelial dysfunction in polycystic ovary syndrome are not explained by either obesity or insulin resistance." </w:t>
      </w:r>
      <w:r w:rsidRPr="007C0EE9">
        <w:rPr>
          <w:rFonts w:ascii="Times New Roman" w:hAnsi="Times New Roman" w:cs="Times New Roman"/>
          <w:i/>
          <w:iCs/>
          <w:color w:val="222222"/>
          <w:sz w:val="20"/>
          <w:szCs w:val="20"/>
          <w:shd w:val="clear" w:color="auto" w:fill="FFFFFF"/>
        </w:rPr>
        <w:t>Clinical endocrinology</w:t>
      </w:r>
      <w:r w:rsidRPr="007C0EE9">
        <w:rPr>
          <w:rFonts w:ascii="Times New Roman" w:hAnsi="Times New Roman" w:cs="Times New Roman"/>
          <w:color w:val="222222"/>
          <w:sz w:val="20"/>
          <w:szCs w:val="20"/>
          <w:shd w:val="clear" w:color="auto" w:fill="FFFFFF"/>
        </w:rPr>
        <w:t> 83, no. 6 (2015): 812-819.</w:t>
      </w:r>
    </w:p>
    <w:p w14:paraId="508A0830" w14:textId="052B3454" w:rsidR="002F2964" w:rsidRPr="002F2964" w:rsidRDefault="002F2964" w:rsidP="00231AA2">
      <w:pPr>
        <w:spacing w:line="240" w:lineRule="auto"/>
        <w:ind w:hanging="480"/>
        <w:contextualSpacing/>
        <w:rPr>
          <w:rFonts w:ascii="Times New Roman" w:hAnsi="Times New Roman" w:cs="Times New Roman"/>
          <w:sz w:val="20"/>
          <w:szCs w:val="20"/>
        </w:rPr>
      </w:pPr>
      <w:r w:rsidRPr="002F2964">
        <w:rPr>
          <w:rFonts w:ascii="Times New Roman" w:hAnsi="Times New Roman" w:cs="Times New Roman"/>
          <w:color w:val="222222"/>
          <w:sz w:val="20"/>
          <w:szCs w:val="20"/>
          <w:shd w:val="clear" w:color="auto" w:fill="FFFFFF"/>
        </w:rPr>
        <w:t>Lansdown, Andrew J., Esther AH Warnert, Yrsa Sverrisdóttir, Richard G. Wise, and D. Aled Rees. "Regional cerebral activation accompanies sympathoexcitation in women with polycystic ovary syndrome." </w:t>
      </w:r>
      <w:r w:rsidRPr="002F2964">
        <w:rPr>
          <w:rFonts w:ascii="Times New Roman" w:hAnsi="Times New Roman" w:cs="Times New Roman"/>
          <w:i/>
          <w:iCs/>
          <w:color w:val="222222"/>
          <w:sz w:val="20"/>
          <w:szCs w:val="20"/>
          <w:shd w:val="clear" w:color="auto" w:fill="FFFFFF"/>
        </w:rPr>
        <w:t>The Journal of Clinical Endocrinology &amp; Metabolism</w:t>
      </w:r>
      <w:r w:rsidRPr="002F2964">
        <w:rPr>
          <w:rFonts w:ascii="Times New Roman" w:hAnsi="Times New Roman" w:cs="Times New Roman"/>
          <w:color w:val="222222"/>
          <w:sz w:val="20"/>
          <w:szCs w:val="20"/>
          <w:shd w:val="clear" w:color="auto" w:fill="FFFFFF"/>
        </w:rPr>
        <w:t> 104, no. 9 (2019): 3614-3623.</w:t>
      </w:r>
    </w:p>
    <w:p w14:paraId="1D19A6AB" w14:textId="08F888B8" w:rsidR="005B4912" w:rsidRPr="005B4912" w:rsidRDefault="005B4912" w:rsidP="00231AA2">
      <w:pPr>
        <w:spacing w:line="240" w:lineRule="auto"/>
        <w:ind w:hanging="480"/>
        <w:contextualSpacing/>
        <w:rPr>
          <w:rFonts w:ascii="Times New Roman" w:hAnsi="Times New Roman" w:cs="Times New Roman"/>
          <w:color w:val="222222"/>
          <w:sz w:val="20"/>
          <w:szCs w:val="20"/>
          <w:shd w:val="clear" w:color="auto" w:fill="FFFFFF"/>
        </w:rPr>
      </w:pPr>
      <w:r w:rsidRPr="0080521D">
        <w:rPr>
          <w:rFonts w:ascii="Times New Roman" w:hAnsi="Times New Roman" w:cs="Times New Roman"/>
          <w:sz w:val="20"/>
          <w:szCs w:val="20"/>
        </w:rPr>
        <w:t>———.,</w:t>
      </w:r>
      <w:r>
        <w:rPr>
          <w:rFonts w:ascii="Times New Roman" w:hAnsi="Times New Roman" w:cs="Times New Roman"/>
          <w:sz w:val="20"/>
          <w:szCs w:val="20"/>
        </w:rPr>
        <w:t xml:space="preserve"> </w:t>
      </w:r>
      <w:r w:rsidRPr="005B4912">
        <w:rPr>
          <w:rFonts w:ascii="Times New Roman" w:hAnsi="Times New Roman" w:cs="Times New Roman"/>
          <w:color w:val="222222"/>
          <w:sz w:val="20"/>
          <w:szCs w:val="20"/>
          <w:shd w:val="clear" w:color="auto" w:fill="FFFFFF"/>
        </w:rPr>
        <w:t>and D. Aled Rees. "The sympathetic nervous system in polycystic ovary syndrome: a novel therapeutic target?" </w:t>
      </w:r>
      <w:r w:rsidRPr="005B4912">
        <w:rPr>
          <w:rFonts w:ascii="Times New Roman" w:hAnsi="Times New Roman" w:cs="Times New Roman"/>
          <w:i/>
          <w:iCs/>
          <w:color w:val="222222"/>
          <w:sz w:val="20"/>
          <w:szCs w:val="20"/>
          <w:shd w:val="clear" w:color="auto" w:fill="FFFFFF"/>
        </w:rPr>
        <w:t>Clinical endocrinology</w:t>
      </w:r>
      <w:r w:rsidRPr="005B4912">
        <w:rPr>
          <w:rFonts w:ascii="Times New Roman" w:hAnsi="Times New Roman" w:cs="Times New Roman"/>
          <w:color w:val="222222"/>
          <w:sz w:val="20"/>
          <w:szCs w:val="20"/>
          <w:shd w:val="clear" w:color="auto" w:fill="FFFFFF"/>
        </w:rPr>
        <w:t> 77, no. 6 (2012): 791-801.</w:t>
      </w:r>
    </w:p>
    <w:p w14:paraId="1EB19BD6" w14:textId="6079D9BC" w:rsidR="00775200" w:rsidRPr="00775200" w:rsidRDefault="00775200" w:rsidP="00231AA2">
      <w:pPr>
        <w:spacing w:line="240" w:lineRule="auto"/>
        <w:ind w:hanging="480"/>
        <w:contextualSpacing/>
        <w:rPr>
          <w:rFonts w:ascii="Times New Roman" w:hAnsi="Times New Roman" w:cs="Times New Roman"/>
          <w:sz w:val="20"/>
          <w:szCs w:val="20"/>
        </w:rPr>
      </w:pPr>
      <w:r w:rsidRPr="00775200">
        <w:rPr>
          <w:rFonts w:ascii="Times New Roman" w:hAnsi="Times New Roman" w:cs="Times New Roman"/>
          <w:color w:val="222222"/>
          <w:sz w:val="20"/>
          <w:szCs w:val="20"/>
          <w:shd w:val="clear" w:color="auto" w:fill="FFFFFF"/>
        </w:rPr>
        <w:t>Lim, S. S., Robert J. Norman, M. J. Davies, and L. J. Moran. "The effect of obesity on polycystic ovary syndrome: a systematic review and meta‐analysis." </w:t>
      </w:r>
      <w:r w:rsidRPr="00775200">
        <w:rPr>
          <w:rFonts w:ascii="Times New Roman" w:hAnsi="Times New Roman" w:cs="Times New Roman"/>
          <w:i/>
          <w:iCs/>
          <w:color w:val="222222"/>
          <w:sz w:val="20"/>
          <w:szCs w:val="20"/>
          <w:shd w:val="clear" w:color="auto" w:fill="FFFFFF"/>
        </w:rPr>
        <w:t>Obesity Reviews</w:t>
      </w:r>
      <w:r w:rsidRPr="00775200">
        <w:rPr>
          <w:rFonts w:ascii="Times New Roman" w:hAnsi="Times New Roman" w:cs="Times New Roman"/>
          <w:color w:val="222222"/>
          <w:sz w:val="20"/>
          <w:szCs w:val="20"/>
          <w:shd w:val="clear" w:color="auto" w:fill="FFFFFF"/>
        </w:rPr>
        <w:t> 14, no. 2 (2013): 95-109.</w:t>
      </w:r>
    </w:p>
    <w:p w14:paraId="755D42D7" w14:textId="6E09FD8B" w:rsidR="00E57EAC" w:rsidRPr="00E57EAC" w:rsidRDefault="00E57EAC" w:rsidP="00231AA2">
      <w:pPr>
        <w:spacing w:line="240" w:lineRule="auto"/>
        <w:ind w:hanging="480"/>
        <w:contextualSpacing/>
        <w:rPr>
          <w:rFonts w:ascii="Times New Roman" w:hAnsi="Times New Roman" w:cs="Times New Roman"/>
          <w:sz w:val="20"/>
          <w:szCs w:val="20"/>
        </w:rPr>
      </w:pPr>
      <w:r w:rsidRPr="00E57EAC">
        <w:rPr>
          <w:rFonts w:ascii="Times New Roman" w:hAnsi="Times New Roman" w:cs="Times New Roman"/>
          <w:color w:val="222222"/>
          <w:sz w:val="20"/>
          <w:szCs w:val="20"/>
          <w:shd w:val="clear" w:color="auto" w:fill="FFFFFF"/>
        </w:rPr>
        <w:t>Lu, Di-Fei, and Xiao-Hui Guo. "Parameters of obesity in polycystic ovary syndrome." </w:t>
      </w:r>
      <w:r w:rsidRPr="00E57EAC">
        <w:rPr>
          <w:rFonts w:ascii="Times New Roman" w:hAnsi="Times New Roman" w:cs="Times New Roman"/>
          <w:i/>
          <w:iCs/>
          <w:color w:val="222222"/>
          <w:sz w:val="20"/>
          <w:szCs w:val="20"/>
          <w:shd w:val="clear" w:color="auto" w:fill="FFFFFF"/>
        </w:rPr>
        <w:t>Journal of Rare Diseases Research &amp; Treatment</w:t>
      </w:r>
      <w:r w:rsidRPr="00E57EAC">
        <w:rPr>
          <w:rFonts w:ascii="Times New Roman" w:hAnsi="Times New Roman" w:cs="Times New Roman"/>
          <w:color w:val="222222"/>
          <w:sz w:val="20"/>
          <w:szCs w:val="20"/>
          <w:shd w:val="clear" w:color="auto" w:fill="FFFFFF"/>
        </w:rPr>
        <w:t> 2, no. 1 (2016).</w:t>
      </w:r>
    </w:p>
    <w:p w14:paraId="35756E6A" w14:textId="503651EF"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Mario, F. M., F. do Amarante, M. K. Toscani, and P. M. Spritzer. “Lean Muscle Mass in Classic or Ovulatory PCOS: Association with Central Obesity and Insulin Resistance.” </w:t>
      </w:r>
      <w:r w:rsidR="00D57E23">
        <w:rPr>
          <w:rFonts w:ascii="Times New Roman" w:hAnsi="Times New Roman" w:cs="Times New Roman"/>
          <w:i/>
          <w:iCs/>
          <w:sz w:val="20"/>
          <w:szCs w:val="20"/>
        </w:rPr>
        <w:t>Experimental</w:t>
      </w:r>
      <w:r w:rsidR="008A43D5">
        <w:rPr>
          <w:rFonts w:ascii="Times New Roman" w:hAnsi="Times New Roman" w:cs="Times New Roman"/>
          <w:i/>
          <w:iCs/>
          <w:sz w:val="20"/>
          <w:szCs w:val="20"/>
        </w:rPr>
        <w:t xml:space="preserve"> and Clinical Endocrinology &amp; Diabetes </w:t>
      </w:r>
      <w:r w:rsidRPr="0080521D">
        <w:rPr>
          <w:rFonts w:ascii="Times New Roman" w:hAnsi="Times New Roman" w:cs="Times New Roman"/>
          <w:sz w:val="20"/>
          <w:szCs w:val="20"/>
        </w:rPr>
        <w:t>120</w:t>
      </w:r>
      <w:r w:rsidR="001D0FD8">
        <w:rPr>
          <w:rFonts w:ascii="Times New Roman" w:hAnsi="Times New Roman" w:cs="Times New Roman"/>
          <w:sz w:val="20"/>
          <w:szCs w:val="20"/>
        </w:rPr>
        <w:t xml:space="preserve">, </w:t>
      </w:r>
      <w:r w:rsidR="002E3206" w:rsidRPr="00775200">
        <w:rPr>
          <w:rFonts w:ascii="Times New Roman" w:hAnsi="Times New Roman" w:cs="Times New Roman"/>
          <w:color w:val="222222"/>
          <w:sz w:val="20"/>
          <w:szCs w:val="20"/>
          <w:shd w:val="clear" w:color="auto" w:fill="FFFFFF"/>
        </w:rPr>
        <w:t xml:space="preserve">no. </w:t>
      </w:r>
      <w:r w:rsidR="001D0FD8">
        <w:rPr>
          <w:rFonts w:ascii="Times New Roman" w:hAnsi="Times New Roman" w:cs="Times New Roman"/>
          <w:color w:val="222222"/>
          <w:sz w:val="20"/>
          <w:szCs w:val="20"/>
          <w:shd w:val="clear" w:color="auto" w:fill="FFFFFF"/>
        </w:rPr>
        <w:t>9</w:t>
      </w:r>
      <w:r w:rsidR="002E3206" w:rsidRPr="00775200">
        <w:rPr>
          <w:rFonts w:ascii="Times New Roman" w:hAnsi="Times New Roman" w:cs="Times New Roman"/>
          <w:color w:val="222222"/>
          <w:sz w:val="20"/>
          <w:szCs w:val="20"/>
          <w:shd w:val="clear" w:color="auto" w:fill="FFFFFF"/>
        </w:rPr>
        <w:t xml:space="preserve"> (201</w:t>
      </w:r>
      <w:r w:rsidR="001D0FD8">
        <w:rPr>
          <w:rFonts w:ascii="Times New Roman" w:hAnsi="Times New Roman" w:cs="Times New Roman"/>
          <w:color w:val="222222"/>
          <w:sz w:val="20"/>
          <w:szCs w:val="20"/>
          <w:shd w:val="clear" w:color="auto" w:fill="FFFFFF"/>
        </w:rPr>
        <w:t>2</w:t>
      </w:r>
      <w:r w:rsidR="002E3206" w:rsidRPr="00775200">
        <w:rPr>
          <w:rFonts w:ascii="Times New Roman" w:hAnsi="Times New Roman" w:cs="Times New Roman"/>
          <w:color w:val="222222"/>
          <w:sz w:val="20"/>
          <w:szCs w:val="20"/>
          <w:shd w:val="clear" w:color="auto" w:fill="FFFFFF"/>
        </w:rPr>
        <w:t xml:space="preserve">): </w:t>
      </w:r>
      <w:r w:rsidR="001D0FD8">
        <w:rPr>
          <w:rFonts w:ascii="Times New Roman" w:hAnsi="Times New Roman" w:cs="Times New Roman"/>
          <w:color w:val="222222"/>
          <w:sz w:val="20"/>
          <w:szCs w:val="20"/>
          <w:shd w:val="clear" w:color="auto" w:fill="FFFFFF"/>
        </w:rPr>
        <w:t>511-516.</w:t>
      </w:r>
    </w:p>
    <w:p w14:paraId="1331B117" w14:textId="18B63149" w:rsidR="000929B4" w:rsidRPr="000929B4" w:rsidRDefault="000929B4" w:rsidP="00231AA2">
      <w:pPr>
        <w:spacing w:line="240" w:lineRule="auto"/>
        <w:ind w:hanging="480"/>
        <w:contextualSpacing/>
        <w:rPr>
          <w:rFonts w:ascii="Times New Roman" w:hAnsi="Times New Roman" w:cs="Times New Roman"/>
          <w:sz w:val="20"/>
          <w:szCs w:val="20"/>
        </w:rPr>
      </w:pPr>
      <w:r w:rsidRPr="000929B4">
        <w:rPr>
          <w:rFonts w:ascii="Times New Roman" w:hAnsi="Times New Roman" w:cs="Times New Roman"/>
          <w:color w:val="222222"/>
          <w:sz w:val="20"/>
          <w:szCs w:val="20"/>
          <w:shd w:val="clear" w:color="auto" w:fill="FFFFFF"/>
        </w:rPr>
        <w:t>Mondragón-Ceballos, Ricardo, Monica Dafne Garcia Granados, Ana Lilia Cerda-Molina, Roberto Chavira-Ramírez, and Leonor Estela Hernández-López. "Waist-to-hip ratio, but not body mass index, is associated with testosterone and estradiol concentrations in young women." </w:t>
      </w:r>
      <w:r w:rsidRPr="000929B4">
        <w:rPr>
          <w:rFonts w:ascii="Times New Roman" w:hAnsi="Times New Roman" w:cs="Times New Roman"/>
          <w:i/>
          <w:iCs/>
          <w:color w:val="222222"/>
          <w:sz w:val="20"/>
          <w:szCs w:val="20"/>
          <w:shd w:val="clear" w:color="auto" w:fill="FFFFFF"/>
        </w:rPr>
        <w:t>International journal of endocrinology</w:t>
      </w:r>
      <w:r w:rsidRPr="000929B4">
        <w:rPr>
          <w:rFonts w:ascii="Times New Roman" w:hAnsi="Times New Roman" w:cs="Times New Roman"/>
          <w:color w:val="222222"/>
          <w:sz w:val="20"/>
          <w:szCs w:val="20"/>
          <w:shd w:val="clear" w:color="auto" w:fill="FFFFFF"/>
        </w:rPr>
        <w:t> 2015 (2015).</w:t>
      </w:r>
    </w:p>
    <w:p w14:paraId="62BD433D" w14:textId="7A70D98A" w:rsidR="00D5007F" w:rsidRPr="00D5007F" w:rsidRDefault="00D5007F" w:rsidP="00231AA2">
      <w:pPr>
        <w:spacing w:line="240" w:lineRule="auto"/>
        <w:ind w:hanging="480"/>
        <w:contextualSpacing/>
        <w:rPr>
          <w:rFonts w:ascii="Times New Roman" w:hAnsi="Times New Roman" w:cs="Times New Roman"/>
          <w:sz w:val="20"/>
          <w:szCs w:val="20"/>
        </w:rPr>
      </w:pPr>
      <w:r w:rsidRPr="00D5007F">
        <w:rPr>
          <w:rFonts w:ascii="Times New Roman" w:hAnsi="Times New Roman" w:cs="Times New Roman"/>
          <w:color w:val="222222"/>
          <w:sz w:val="20"/>
          <w:szCs w:val="20"/>
          <w:shd w:val="clear" w:color="auto" w:fill="FFFFFF"/>
        </w:rPr>
        <w:t>Moran, Lisa Jane, Sanjeeva Ranasinha, Sophia Zoungas, Sarah A. McNaughton, Wendy J. Brown, and Helena Jane Teede. "The contribution of diet, physical activity and sedentary behaviour to body mass index in women with and without polycystic ovary syndrome." </w:t>
      </w:r>
      <w:r w:rsidRPr="00D5007F">
        <w:rPr>
          <w:rFonts w:ascii="Times New Roman" w:hAnsi="Times New Roman" w:cs="Times New Roman"/>
          <w:i/>
          <w:iCs/>
          <w:color w:val="222222"/>
          <w:sz w:val="20"/>
          <w:szCs w:val="20"/>
          <w:shd w:val="clear" w:color="auto" w:fill="FFFFFF"/>
        </w:rPr>
        <w:t>Human reproduction</w:t>
      </w:r>
      <w:r w:rsidRPr="00D5007F">
        <w:rPr>
          <w:rFonts w:ascii="Times New Roman" w:hAnsi="Times New Roman" w:cs="Times New Roman"/>
          <w:color w:val="222222"/>
          <w:sz w:val="20"/>
          <w:szCs w:val="20"/>
          <w:shd w:val="clear" w:color="auto" w:fill="FFFFFF"/>
        </w:rPr>
        <w:t> 28, no. 8 (2013): 2276-2283.</w:t>
      </w:r>
    </w:p>
    <w:p w14:paraId="084DB86C" w14:textId="65DC5B93" w:rsidR="00A81C07" w:rsidRPr="00A81C07" w:rsidRDefault="00A81C07" w:rsidP="00231AA2">
      <w:pPr>
        <w:spacing w:line="240" w:lineRule="auto"/>
        <w:ind w:hanging="480"/>
        <w:contextualSpacing/>
        <w:rPr>
          <w:rFonts w:ascii="Times New Roman" w:hAnsi="Times New Roman" w:cs="Times New Roman"/>
          <w:sz w:val="20"/>
          <w:szCs w:val="20"/>
        </w:rPr>
      </w:pPr>
      <w:r w:rsidRPr="00A81C07">
        <w:rPr>
          <w:rFonts w:ascii="Times New Roman" w:hAnsi="Times New Roman" w:cs="Times New Roman"/>
          <w:color w:val="222222"/>
          <w:sz w:val="20"/>
          <w:szCs w:val="20"/>
          <w:shd w:val="clear" w:color="auto" w:fill="FFFFFF"/>
        </w:rPr>
        <w:t>Nesse, Randolph M. "Natural selection and the regulation of defenses: A signal detection analysis of the smoke detector principle." </w:t>
      </w:r>
      <w:r w:rsidRPr="00A81C07">
        <w:rPr>
          <w:rFonts w:ascii="Times New Roman" w:hAnsi="Times New Roman" w:cs="Times New Roman"/>
          <w:i/>
          <w:iCs/>
          <w:color w:val="222222"/>
          <w:sz w:val="20"/>
          <w:szCs w:val="20"/>
          <w:shd w:val="clear" w:color="auto" w:fill="FFFFFF"/>
        </w:rPr>
        <w:t>Evolution and human behavior</w:t>
      </w:r>
      <w:r w:rsidRPr="00A81C07">
        <w:rPr>
          <w:rFonts w:ascii="Times New Roman" w:hAnsi="Times New Roman" w:cs="Times New Roman"/>
          <w:color w:val="222222"/>
          <w:sz w:val="20"/>
          <w:szCs w:val="20"/>
          <w:shd w:val="clear" w:color="auto" w:fill="FFFFFF"/>
        </w:rPr>
        <w:t> 26, no. 1 (2005): 88-105.</w:t>
      </w:r>
    </w:p>
    <w:p w14:paraId="7AF56BAE" w14:textId="5C7F2198" w:rsidR="00B04DE6" w:rsidRPr="0080521D" w:rsidRDefault="00B04DE6" w:rsidP="00231AA2">
      <w:pPr>
        <w:spacing w:line="240" w:lineRule="auto"/>
        <w:ind w:hanging="480"/>
        <w:contextualSpacing/>
        <w:rPr>
          <w:rFonts w:ascii="Times New Roman" w:hAnsi="Times New Roman" w:cs="Times New Roman"/>
          <w:sz w:val="20"/>
          <w:szCs w:val="20"/>
        </w:rPr>
      </w:pPr>
      <w:r w:rsidRPr="00B04DE6">
        <w:rPr>
          <w:rFonts w:ascii="Times New Roman" w:hAnsi="Times New Roman" w:cs="Times New Roman"/>
          <w:color w:val="222222"/>
          <w:sz w:val="20"/>
          <w:szCs w:val="20"/>
          <w:shd w:val="clear" w:color="auto" w:fill="FFFFFF"/>
        </w:rPr>
        <w:t>Nettle, Daniel. </w:t>
      </w:r>
      <w:r w:rsidRPr="00B04DE6">
        <w:rPr>
          <w:rFonts w:ascii="Times New Roman" w:hAnsi="Times New Roman" w:cs="Times New Roman"/>
          <w:i/>
          <w:iCs/>
          <w:color w:val="222222"/>
          <w:sz w:val="20"/>
          <w:szCs w:val="20"/>
          <w:shd w:val="clear" w:color="auto" w:fill="FFFFFF"/>
        </w:rPr>
        <w:t>Personality: What makes you the way you are</w:t>
      </w:r>
      <w:r w:rsidRPr="00B04DE6">
        <w:rPr>
          <w:rFonts w:ascii="Times New Roman" w:hAnsi="Times New Roman" w:cs="Times New Roman"/>
          <w:color w:val="222222"/>
          <w:sz w:val="20"/>
          <w:szCs w:val="20"/>
          <w:shd w:val="clear" w:color="auto" w:fill="FFFFFF"/>
        </w:rPr>
        <w:t>. OUP Oxford, 2007</w:t>
      </w:r>
      <w:r>
        <w:rPr>
          <w:rFonts w:ascii="Arial" w:hAnsi="Arial" w:cs="Arial"/>
          <w:color w:val="222222"/>
          <w:sz w:val="20"/>
          <w:szCs w:val="20"/>
          <w:shd w:val="clear" w:color="auto" w:fill="FFFFFF"/>
        </w:rPr>
        <w:t>.</w:t>
      </w:r>
    </w:p>
    <w:p w14:paraId="153F2DC7" w14:textId="3D33F1C6" w:rsidR="00AA06B2" w:rsidRPr="00AA06B2" w:rsidRDefault="001A35D9"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Ohlsson Gotby, Agnes, </w:t>
      </w:r>
      <w:r w:rsidR="00AA06B2" w:rsidRPr="00AA06B2">
        <w:rPr>
          <w:rFonts w:ascii="Times New Roman" w:hAnsi="Times New Roman" w:cs="Times New Roman"/>
          <w:color w:val="222222"/>
          <w:sz w:val="20"/>
          <w:szCs w:val="20"/>
          <w:shd w:val="clear" w:color="auto" w:fill="FFFFFF"/>
        </w:rPr>
        <w:t>Anna Nordenström, Henrik Falhammar, Agneta Nordenskjöld, Angelica Linden Hirschberg, Louise Frisén, Mikael Landén, and Paul Lichtenstein. "Congenital adrenal hyperplasia, polycystic ovary syndrome and criminal behavior: a Swedish population based study." </w:t>
      </w:r>
      <w:r w:rsidR="00AA06B2" w:rsidRPr="00AA06B2">
        <w:rPr>
          <w:rFonts w:ascii="Times New Roman" w:hAnsi="Times New Roman" w:cs="Times New Roman"/>
          <w:i/>
          <w:iCs/>
          <w:color w:val="222222"/>
          <w:sz w:val="20"/>
          <w:szCs w:val="20"/>
          <w:shd w:val="clear" w:color="auto" w:fill="FFFFFF"/>
        </w:rPr>
        <w:t>Psychiatry research</w:t>
      </w:r>
      <w:r w:rsidR="00AA06B2" w:rsidRPr="00AA06B2">
        <w:rPr>
          <w:rFonts w:ascii="Times New Roman" w:hAnsi="Times New Roman" w:cs="Times New Roman"/>
          <w:color w:val="222222"/>
          <w:sz w:val="20"/>
          <w:szCs w:val="20"/>
          <w:shd w:val="clear" w:color="auto" w:fill="FFFFFF"/>
        </w:rPr>
        <w:t> 229, no. 3 (2015): 953-959.</w:t>
      </w:r>
    </w:p>
    <w:p w14:paraId="1E8FCFC3" w14:textId="0D35FD96" w:rsidR="0012658E" w:rsidRPr="0012658E" w:rsidRDefault="0012658E" w:rsidP="00231AA2">
      <w:pPr>
        <w:spacing w:line="240" w:lineRule="auto"/>
        <w:ind w:hanging="480"/>
        <w:contextualSpacing/>
        <w:rPr>
          <w:rFonts w:ascii="Times New Roman" w:hAnsi="Times New Roman" w:cs="Times New Roman"/>
          <w:sz w:val="20"/>
          <w:szCs w:val="20"/>
        </w:rPr>
      </w:pPr>
      <w:r w:rsidRPr="0012658E">
        <w:rPr>
          <w:rFonts w:ascii="Times New Roman" w:hAnsi="Times New Roman" w:cs="Times New Roman"/>
          <w:color w:val="222222"/>
          <w:sz w:val="20"/>
          <w:szCs w:val="20"/>
          <w:shd w:val="clear" w:color="auto" w:fill="FFFFFF"/>
        </w:rPr>
        <w:t xml:space="preserve">Ollila, Meri-Maija, Antti Kiviniemi, Elisabet Stener-Victorin, Mikko Tulppo, Katri Puukka, Juha Tapanainen, Stephen Franks, Laure Morin-Papunen, and Terhi Piltonen. "Effect of polycystic ovary syndrome on cardiac autonomic </w:t>
      </w:r>
      <w:r w:rsidRPr="0012658E">
        <w:rPr>
          <w:rFonts w:ascii="Times New Roman" w:hAnsi="Times New Roman" w:cs="Times New Roman"/>
          <w:color w:val="222222"/>
          <w:sz w:val="20"/>
          <w:szCs w:val="20"/>
          <w:shd w:val="clear" w:color="auto" w:fill="FFFFFF"/>
        </w:rPr>
        <w:lastRenderedPageBreak/>
        <w:t>function at a late fertile age: a prospective Northern Finland Birth Cohort 1966 study." </w:t>
      </w:r>
      <w:r w:rsidRPr="0012658E">
        <w:rPr>
          <w:rFonts w:ascii="Times New Roman" w:hAnsi="Times New Roman" w:cs="Times New Roman"/>
          <w:i/>
          <w:iCs/>
          <w:color w:val="222222"/>
          <w:sz w:val="20"/>
          <w:szCs w:val="20"/>
          <w:shd w:val="clear" w:color="auto" w:fill="FFFFFF"/>
        </w:rPr>
        <w:t>BMJ open</w:t>
      </w:r>
      <w:r w:rsidRPr="0012658E">
        <w:rPr>
          <w:rFonts w:ascii="Times New Roman" w:hAnsi="Times New Roman" w:cs="Times New Roman"/>
          <w:color w:val="222222"/>
          <w:sz w:val="20"/>
          <w:szCs w:val="20"/>
          <w:shd w:val="clear" w:color="auto" w:fill="FFFFFF"/>
        </w:rPr>
        <w:t> 9, no. 12 (2019): e033780.</w:t>
      </w:r>
    </w:p>
    <w:p w14:paraId="2E6B6FD1" w14:textId="4D1D037B" w:rsidR="006E3730" w:rsidRPr="006E3730" w:rsidRDefault="006E3730" w:rsidP="00231AA2">
      <w:pPr>
        <w:spacing w:line="240" w:lineRule="auto"/>
        <w:ind w:hanging="480"/>
        <w:contextualSpacing/>
        <w:rPr>
          <w:rFonts w:ascii="Times New Roman" w:hAnsi="Times New Roman" w:cs="Times New Roman"/>
          <w:sz w:val="20"/>
          <w:szCs w:val="20"/>
        </w:rPr>
      </w:pPr>
      <w:r w:rsidRPr="006E3730">
        <w:rPr>
          <w:rFonts w:ascii="Times New Roman" w:hAnsi="Times New Roman" w:cs="Times New Roman"/>
          <w:color w:val="222222"/>
          <w:sz w:val="20"/>
          <w:szCs w:val="20"/>
          <w:shd w:val="clear" w:color="auto" w:fill="FFFFFF"/>
        </w:rPr>
        <w:t>O'Reilly, Michael W., Angela E. Taylor, Nicola J. Crabtree, Beverly A. Hughes, Farfia Capper, Rachel K. Crowley, Paul M. Stewart, Jeremy W. Tomlinson, and Wiebke Arlt. "Hyperandrogenemia predicts metabolic phenotype in polycystic ovary syndrome: the utility of serum androstenedione." </w:t>
      </w:r>
      <w:r w:rsidRPr="006E3730">
        <w:rPr>
          <w:rFonts w:ascii="Times New Roman" w:hAnsi="Times New Roman" w:cs="Times New Roman"/>
          <w:i/>
          <w:iCs/>
          <w:color w:val="222222"/>
          <w:sz w:val="20"/>
          <w:szCs w:val="20"/>
          <w:shd w:val="clear" w:color="auto" w:fill="FFFFFF"/>
        </w:rPr>
        <w:t>The journal of clinical endocrinology &amp; metabolism</w:t>
      </w:r>
      <w:r w:rsidRPr="006E3730">
        <w:rPr>
          <w:rFonts w:ascii="Times New Roman" w:hAnsi="Times New Roman" w:cs="Times New Roman"/>
          <w:color w:val="222222"/>
          <w:sz w:val="20"/>
          <w:szCs w:val="20"/>
          <w:shd w:val="clear" w:color="auto" w:fill="FFFFFF"/>
        </w:rPr>
        <w:t> 99, no. 3 (2014): 1027-1036.</w:t>
      </w:r>
    </w:p>
    <w:p w14:paraId="50844465" w14:textId="4F124686" w:rsidR="00350367" w:rsidRPr="00350367" w:rsidRDefault="00350367" w:rsidP="00231AA2">
      <w:pPr>
        <w:spacing w:line="240" w:lineRule="auto"/>
        <w:ind w:hanging="480"/>
        <w:contextualSpacing/>
        <w:rPr>
          <w:rFonts w:ascii="Times New Roman" w:hAnsi="Times New Roman" w:cs="Times New Roman"/>
          <w:sz w:val="20"/>
          <w:szCs w:val="20"/>
        </w:rPr>
      </w:pPr>
      <w:r w:rsidRPr="00350367">
        <w:rPr>
          <w:rFonts w:ascii="Times New Roman" w:hAnsi="Times New Roman" w:cs="Times New Roman"/>
          <w:sz w:val="20"/>
          <w:szCs w:val="20"/>
        </w:rPr>
        <w:t>Özdil Demiryürek, Esra</w:t>
      </w:r>
      <w:r w:rsidRPr="00350367">
        <w:rPr>
          <w:rFonts w:ascii="Times New Roman" w:hAnsi="Times New Roman" w:cs="Times New Roman"/>
          <w:color w:val="222222"/>
          <w:sz w:val="20"/>
          <w:szCs w:val="20"/>
          <w:shd w:val="clear" w:color="auto" w:fill="FFFFFF"/>
        </w:rPr>
        <w:t>, Atilla Tekin, Engin Çakmak, Osman Temizkan, Oğuz Karamustafalıoğlu, Sibel Gökova, and Enes Demiryürek. "Correlations between impulsiveness and biochemical parameters in women with polycystic ovary syndrome." </w:t>
      </w:r>
      <w:r w:rsidRPr="00350367">
        <w:rPr>
          <w:rFonts w:ascii="Times New Roman" w:hAnsi="Times New Roman" w:cs="Times New Roman"/>
          <w:i/>
          <w:iCs/>
          <w:color w:val="222222"/>
          <w:sz w:val="20"/>
          <w:szCs w:val="20"/>
          <w:shd w:val="clear" w:color="auto" w:fill="FFFFFF"/>
        </w:rPr>
        <w:t>European Journal of Obstetrics &amp; Gynecology and Reproductive Biology</w:t>
      </w:r>
      <w:r w:rsidRPr="00350367">
        <w:rPr>
          <w:rFonts w:ascii="Times New Roman" w:hAnsi="Times New Roman" w:cs="Times New Roman"/>
          <w:color w:val="222222"/>
          <w:sz w:val="20"/>
          <w:szCs w:val="20"/>
          <w:shd w:val="clear" w:color="auto" w:fill="FFFFFF"/>
        </w:rPr>
        <w:t> 207 (2016): 5-10.</w:t>
      </w:r>
    </w:p>
    <w:p w14:paraId="5F4D11C4" w14:textId="4EF2D1A3" w:rsidR="008F0691" w:rsidRPr="008F0691" w:rsidRDefault="008F0691" w:rsidP="00231AA2">
      <w:pPr>
        <w:spacing w:line="240" w:lineRule="auto"/>
        <w:ind w:hanging="480"/>
        <w:contextualSpacing/>
        <w:rPr>
          <w:rFonts w:ascii="Times New Roman" w:hAnsi="Times New Roman" w:cs="Times New Roman"/>
          <w:sz w:val="20"/>
          <w:szCs w:val="20"/>
        </w:rPr>
      </w:pPr>
      <w:r w:rsidRPr="008F0691">
        <w:rPr>
          <w:rFonts w:ascii="Times New Roman" w:hAnsi="Times New Roman" w:cs="Times New Roman"/>
          <w:color w:val="222222"/>
          <w:sz w:val="20"/>
          <w:szCs w:val="20"/>
          <w:shd w:val="clear" w:color="auto" w:fill="FFFFFF"/>
        </w:rPr>
        <w:t>Özkeçeci, Gülay, Bekir Serdar Ünlü, Hüseyin Dursun, Önder Akçi, Gülengül Köken, Ersel Onrat, and Alaettin Avsar. "Heart rate variability and heart rate turbulence in patients with polycystic ovary syndrome." </w:t>
      </w:r>
      <w:r w:rsidRPr="008F0691">
        <w:rPr>
          <w:rFonts w:ascii="Times New Roman" w:hAnsi="Times New Roman" w:cs="Times New Roman"/>
          <w:i/>
          <w:iCs/>
          <w:color w:val="222222"/>
          <w:sz w:val="20"/>
          <w:szCs w:val="20"/>
          <w:shd w:val="clear" w:color="auto" w:fill="FFFFFF"/>
        </w:rPr>
        <w:t>The Anatolian Journal of Cardiology</w:t>
      </w:r>
      <w:r w:rsidRPr="008F0691">
        <w:rPr>
          <w:rFonts w:ascii="Times New Roman" w:hAnsi="Times New Roman" w:cs="Times New Roman"/>
          <w:color w:val="222222"/>
          <w:sz w:val="20"/>
          <w:szCs w:val="20"/>
          <w:shd w:val="clear" w:color="auto" w:fill="FFFFFF"/>
        </w:rPr>
        <w:t> 16, no. 5 (2016): 323.</w:t>
      </w:r>
    </w:p>
    <w:p w14:paraId="0FD57EA5" w14:textId="520AA2B6" w:rsidR="00E37404" w:rsidRPr="00E37404" w:rsidRDefault="00E37404" w:rsidP="00231AA2">
      <w:pPr>
        <w:spacing w:line="240" w:lineRule="auto"/>
        <w:ind w:hanging="480"/>
        <w:contextualSpacing/>
        <w:rPr>
          <w:rFonts w:ascii="Times New Roman" w:hAnsi="Times New Roman" w:cs="Times New Roman"/>
          <w:sz w:val="20"/>
          <w:szCs w:val="20"/>
        </w:rPr>
      </w:pPr>
      <w:r w:rsidRPr="00E37404">
        <w:rPr>
          <w:rFonts w:ascii="Times New Roman" w:hAnsi="Times New Roman" w:cs="Times New Roman"/>
          <w:color w:val="222222"/>
          <w:sz w:val="20"/>
          <w:szCs w:val="20"/>
          <w:shd w:val="clear" w:color="auto" w:fill="FFFFFF"/>
        </w:rPr>
        <w:t>Pasquali, Renato, Francesco Casimirri, Stefano Venturoli, Maria Antonio, Labate Morselli, Sandro Reho, Anna Pezzoli, and Roberto Paradisi. "Body fat distribution has weight-independent effects on clinical, hormonal, and metabolic features of women with polycystic ovary syndrome." </w:t>
      </w:r>
      <w:r w:rsidRPr="00E37404">
        <w:rPr>
          <w:rFonts w:ascii="Times New Roman" w:hAnsi="Times New Roman" w:cs="Times New Roman"/>
          <w:i/>
          <w:iCs/>
          <w:color w:val="222222"/>
          <w:sz w:val="20"/>
          <w:szCs w:val="20"/>
          <w:shd w:val="clear" w:color="auto" w:fill="FFFFFF"/>
        </w:rPr>
        <w:t>Metabolism</w:t>
      </w:r>
      <w:r w:rsidRPr="00E37404">
        <w:rPr>
          <w:rFonts w:ascii="Times New Roman" w:hAnsi="Times New Roman" w:cs="Times New Roman"/>
          <w:color w:val="222222"/>
          <w:sz w:val="20"/>
          <w:szCs w:val="20"/>
          <w:shd w:val="clear" w:color="auto" w:fill="FFFFFF"/>
        </w:rPr>
        <w:t> 43, no. 6 (1994): 706-713.</w:t>
      </w:r>
    </w:p>
    <w:p w14:paraId="5D574840" w14:textId="3D24C28A" w:rsidR="00516F8C" w:rsidRPr="00516F8C" w:rsidRDefault="00516F8C" w:rsidP="00231AA2">
      <w:pPr>
        <w:spacing w:line="240" w:lineRule="auto"/>
        <w:ind w:hanging="480"/>
        <w:contextualSpacing/>
        <w:rPr>
          <w:rFonts w:ascii="Times New Roman" w:hAnsi="Times New Roman" w:cs="Times New Roman"/>
          <w:sz w:val="20"/>
          <w:szCs w:val="20"/>
        </w:rPr>
      </w:pPr>
      <w:r w:rsidRPr="00516F8C">
        <w:rPr>
          <w:rFonts w:ascii="Times New Roman" w:hAnsi="Times New Roman" w:cs="Times New Roman"/>
          <w:color w:val="222222"/>
          <w:sz w:val="20"/>
          <w:szCs w:val="20"/>
          <w:shd w:val="clear" w:color="auto" w:fill="FFFFFF"/>
        </w:rPr>
        <w:t>Reyes del Paso, Gustavo A., Wolf Langewitz, Lambertus JM Mulder, Arie Van Roon, and Stefan Duschek. "The utility of low frequency heart rate variability as an index of sympathetic cardiac tone: a review with emphasis on a reanalysis of previous studies." </w:t>
      </w:r>
      <w:r w:rsidRPr="00516F8C">
        <w:rPr>
          <w:rFonts w:ascii="Times New Roman" w:hAnsi="Times New Roman" w:cs="Times New Roman"/>
          <w:i/>
          <w:iCs/>
          <w:color w:val="222222"/>
          <w:sz w:val="20"/>
          <w:szCs w:val="20"/>
          <w:shd w:val="clear" w:color="auto" w:fill="FFFFFF"/>
        </w:rPr>
        <w:t>Psychophysiology</w:t>
      </w:r>
      <w:r w:rsidRPr="00516F8C">
        <w:rPr>
          <w:rFonts w:ascii="Times New Roman" w:hAnsi="Times New Roman" w:cs="Times New Roman"/>
          <w:color w:val="222222"/>
          <w:sz w:val="20"/>
          <w:szCs w:val="20"/>
          <w:shd w:val="clear" w:color="auto" w:fill="FFFFFF"/>
        </w:rPr>
        <w:t> 50, no. 5 (2013): 477-487.</w:t>
      </w:r>
    </w:p>
    <w:p w14:paraId="27B539E0" w14:textId="75AD3620" w:rsidR="006D2BD8" w:rsidRPr="006D2BD8" w:rsidRDefault="006D2BD8" w:rsidP="00231AA2">
      <w:pPr>
        <w:spacing w:line="240" w:lineRule="auto"/>
        <w:ind w:hanging="480"/>
        <w:contextualSpacing/>
        <w:rPr>
          <w:rFonts w:ascii="Times New Roman" w:hAnsi="Times New Roman" w:cs="Times New Roman"/>
          <w:sz w:val="20"/>
          <w:szCs w:val="20"/>
        </w:rPr>
      </w:pPr>
      <w:r w:rsidRPr="006D2BD8">
        <w:rPr>
          <w:rFonts w:ascii="Times New Roman" w:hAnsi="Times New Roman" w:cs="Times New Roman"/>
          <w:color w:val="222222"/>
          <w:sz w:val="20"/>
          <w:szCs w:val="20"/>
          <w:shd w:val="clear" w:color="auto" w:fill="FFFFFF"/>
        </w:rPr>
        <w:t>Rothenberg, Stephanie S., Rachel Beverley, Emily Barnard, Massoud Baradaran-Shoraka, and Joseph S. Sanfilippo. "Polycystic ovary syndrome in adolescents." </w:t>
      </w:r>
      <w:r w:rsidRPr="006D2BD8">
        <w:rPr>
          <w:rFonts w:ascii="Times New Roman" w:hAnsi="Times New Roman" w:cs="Times New Roman"/>
          <w:i/>
          <w:iCs/>
          <w:color w:val="222222"/>
          <w:sz w:val="20"/>
          <w:szCs w:val="20"/>
          <w:shd w:val="clear" w:color="auto" w:fill="FFFFFF"/>
        </w:rPr>
        <w:t>Best Practice &amp; Research Clinical Obstetrics &amp; Gynaecology</w:t>
      </w:r>
      <w:r w:rsidRPr="006D2BD8">
        <w:rPr>
          <w:rFonts w:ascii="Times New Roman" w:hAnsi="Times New Roman" w:cs="Times New Roman"/>
          <w:color w:val="222222"/>
          <w:sz w:val="20"/>
          <w:szCs w:val="20"/>
          <w:shd w:val="clear" w:color="auto" w:fill="FFFFFF"/>
        </w:rPr>
        <w:t> 48 (2018): 103-114.</w:t>
      </w:r>
    </w:p>
    <w:p w14:paraId="6B5FAA0B" w14:textId="77777777" w:rsidR="00B12BC8" w:rsidRPr="00231AA2" w:rsidRDefault="00B12BC8" w:rsidP="00231AA2">
      <w:pPr>
        <w:spacing w:line="240" w:lineRule="auto"/>
        <w:ind w:hanging="480"/>
        <w:contextualSpacing/>
        <w:rPr>
          <w:rFonts w:ascii="Times New Roman" w:hAnsi="Times New Roman" w:cs="Times New Roman"/>
          <w:sz w:val="20"/>
          <w:szCs w:val="20"/>
          <w:lang w:val="de-DE"/>
        </w:rPr>
      </w:pPr>
      <w:r w:rsidRPr="00B12BC8">
        <w:rPr>
          <w:rFonts w:ascii="Times New Roman" w:hAnsi="Times New Roman" w:cs="Times New Roman"/>
          <w:color w:val="222222"/>
          <w:sz w:val="20"/>
          <w:szCs w:val="20"/>
          <w:shd w:val="clear" w:color="auto" w:fill="FFFFFF"/>
        </w:rPr>
        <w:t>Rubinsztajn, Renata, Marta Kumor, Krzysztof Byskiniewicz, and Ryszarda Chazan. "The Sympathetic Activity and Its Correlation With Body Mass Index (BMI) in Patients With Obstructive Sleep Apnea (OSA." </w:t>
      </w:r>
      <w:r w:rsidRPr="00231AA2">
        <w:rPr>
          <w:rFonts w:ascii="Times New Roman" w:hAnsi="Times New Roman" w:cs="Times New Roman"/>
          <w:i/>
          <w:iCs/>
          <w:color w:val="222222"/>
          <w:sz w:val="20"/>
          <w:szCs w:val="20"/>
          <w:shd w:val="clear" w:color="auto" w:fill="FFFFFF"/>
          <w:lang w:val="de-DE"/>
        </w:rPr>
        <w:t>Chest</w:t>
      </w:r>
      <w:r w:rsidRPr="00231AA2">
        <w:rPr>
          <w:rFonts w:ascii="Times New Roman" w:hAnsi="Times New Roman" w:cs="Times New Roman"/>
          <w:color w:val="222222"/>
          <w:sz w:val="20"/>
          <w:szCs w:val="20"/>
          <w:shd w:val="clear" w:color="auto" w:fill="FFFFFF"/>
          <w:lang w:val="de-DE"/>
        </w:rPr>
        <w:t> 124, no. 4 (2003): 74S.</w:t>
      </w:r>
      <w:r w:rsidRPr="00231AA2">
        <w:rPr>
          <w:rFonts w:ascii="Times New Roman" w:hAnsi="Times New Roman" w:cs="Times New Roman"/>
          <w:sz w:val="20"/>
          <w:szCs w:val="20"/>
          <w:lang w:val="de-DE"/>
        </w:rPr>
        <w:t xml:space="preserve"> </w:t>
      </w:r>
    </w:p>
    <w:p w14:paraId="2D5C8502" w14:textId="2EE7FB85" w:rsidR="002E6BA2" w:rsidRPr="00231AA2" w:rsidRDefault="002E6BA2" w:rsidP="00231AA2">
      <w:pPr>
        <w:spacing w:line="240" w:lineRule="auto"/>
        <w:ind w:hanging="480"/>
        <w:contextualSpacing/>
        <w:rPr>
          <w:rFonts w:ascii="Times New Roman" w:hAnsi="Times New Roman" w:cs="Times New Roman"/>
          <w:sz w:val="20"/>
          <w:szCs w:val="20"/>
          <w:lang w:val="de-DE"/>
        </w:rPr>
      </w:pPr>
      <w:r w:rsidRPr="00231AA2">
        <w:rPr>
          <w:rFonts w:ascii="Times New Roman" w:hAnsi="Times New Roman" w:cs="Times New Roman"/>
          <w:sz w:val="20"/>
          <w:szCs w:val="20"/>
          <w:lang w:val="de-DE"/>
        </w:rPr>
        <w:t>Ruesten, Anne von, Annika Steffen, Anna Floegel, Daphne L. van der A, Giovanna Masala, Anne Tjonneland, Jytte Halkjaer, et al.</w:t>
      </w:r>
      <w:r w:rsidRPr="00231AA2">
        <w:rPr>
          <w:rFonts w:ascii="Times New Roman" w:hAnsi="Times New Roman" w:cs="Times New Roman"/>
          <w:color w:val="222222"/>
          <w:sz w:val="20"/>
          <w:szCs w:val="20"/>
          <w:shd w:val="clear" w:color="auto" w:fill="FFFFFF"/>
          <w:lang w:val="de-DE"/>
        </w:rPr>
        <w:t xml:space="preserve"> </w:t>
      </w:r>
      <w:r w:rsidRPr="002E6BA2">
        <w:rPr>
          <w:rFonts w:ascii="Times New Roman" w:hAnsi="Times New Roman" w:cs="Times New Roman"/>
          <w:color w:val="222222"/>
          <w:sz w:val="20"/>
          <w:szCs w:val="20"/>
          <w:shd w:val="clear" w:color="auto" w:fill="FFFFFF"/>
        </w:rPr>
        <w:t>"Trend in obesity prevalence in European adult cohort populations during follow-up since 1996 and their predictions to 2015." </w:t>
      </w:r>
      <w:r w:rsidRPr="00231AA2">
        <w:rPr>
          <w:rFonts w:ascii="Times New Roman" w:hAnsi="Times New Roman" w:cs="Times New Roman"/>
          <w:i/>
          <w:iCs/>
          <w:color w:val="222222"/>
          <w:sz w:val="20"/>
          <w:szCs w:val="20"/>
          <w:shd w:val="clear" w:color="auto" w:fill="FFFFFF"/>
          <w:lang w:val="de-DE"/>
        </w:rPr>
        <w:t>PloS one</w:t>
      </w:r>
      <w:r w:rsidRPr="00231AA2">
        <w:rPr>
          <w:rFonts w:ascii="Times New Roman" w:hAnsi="Times New Roman" w:cs="Times New Roman"/>
          <w:color w:val="222222"/>
          <w:sz w:val="20"/>
          <w:szCs w:val="20"/>
          <w:shd w:val="clear" w:color="auto" w:fill="FFFFFF"/>
          <w:lang w:val="de-DE"/>
        </w:rPr>
        <w:t> 6, no. 11 (2011): e27455.</w:t>
      </w:r>
    </w:p>
    <w:p w14:paraId="0133FDD4" w14:textId="67363B82" w:rsidR="00926BB0" w:rsidRPr="00926BB0" w:rsidRDefault="00926BB0" w:rsidP="00231AA2">
      <w:pPr>
        <w:spacing w:line="240" w:lineRule="auto"/>
        <w:ind w:hanging="480"/>
        <w:contextualSpacing/>
        <w:rPr>
          <w:rFonts w:ascii="Times New Roman" w:hAnsi="Times New Roman" w:cs="Times New Roman"/>
          <w:sz w:val="20"/>
          <w:szCs w:val="20"/>
        </w:rPr>
      </w:pPr>
      <w:r w:rsidRPr="00231AA2">
        <w:rPr>
          <w:rFonts w:ascii="Times New Roman" w:hAnsi="Times New Roman" w:cs="Times New Roman"/>
          <w:color w:val="222222"/>
          <w:sz w:val="20"/>
          <w:szCs w:val="20"/>
          <w:shd w:val="clear" w:color="auto" w:fill="FFFFFF"/>
          <w:lang w:val="de-DE"/>
        </w:rPr>
        <w:t xml:space="preserve">Santoro, Nanette, Javier Torrens, Sybil Crawford, Jenifer E. Allsworth, Joel S. Finkelstein, Ellen B. Gold, Stan Korenman et al. </w:t>
      </w:r>
      <w:r w:rsidRPr="00926BB0">
        <w:rPr>
          <w:rFonts w:ascii="Times New Roman" w:hAnsi="Times New Roman" w:cs="Times New Roman"/>
          <w:color w:val="222222"/>
          <w:sz w:val="20"/>
          <w:szCs w:val="20"/>
          <w:shd w:val="clear" w:color="auto" w:fill="FFFFFF"/>
        </w:rPr>
        <w:t>"Correlates of circulating androgens in mid-life women: the study of women’s health across the nation." </w:t>
      </w:r>
      <w:r w:rsidRPr="00926BB0">
        <w:rPr>
          <w:rFonts w:ascii="Times New Roman" w:hAnsi="Times New Roman" w:cs="Times New Roman"/>
          <w:i/>
          <w:iCs/>
          <w:color w:val="222222"/>
          <w:sz w:val="20"/>
          <w:szCs w:val="20"/>
          <w:shd w:val="clear" w:color="auto" w:fill="FFFFFF"/>
        </w:rPr>
        <w:t>The Journal of Clinical Endocrinology &amp; Metabolism</w:t>
      </w:r>
      <w:r w:rsidRPr="00926BB0">
        <w:rPr>
          <w:rFonts w:ascii="Times New Roman" w:hAnsi="Times New Roman" w:cs="Times New Roman"/>
          <w:color w:val="222222"/>
          <w:sz w:val="20"/>
          <w:szCs w:val="20"/>
          <w:shd w:val="clear" w:color="auto" w:fill="FFFFFF"/>
        </w:rPr>
        <w:t> 90, no. 8 (2005): 4836-4845.</w:t>
      </w:r>
    </w:p>
    <w:p w14:paraId="1C94180E" w14:textId="0B7C4D14"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Saranya, Kuppusamy, Gopal Krushna Pal, Syed Habeebullah, and Pravati Pal. “Assessment of Cardiovascular Autonomic Function in Patients with Polycystic Ovary Syndrome.” </w:t>
      </w:r>
      <w:r w:rsidRPr="0080521D">
        <w:rPr>
          <w:rFonts w:ascii="Times New Roman" w:hAnsi="Times New Roman" w:cs="Times New Roman"/>
          <w:i/>
          <w:iCs/>
          <w:sz w:val="20"/>
          <w:szCs w:val="20"/>
        </w:rPr>
        <w:t>Journal of Obstetrics and Gynaecology Research</w:t>
      </w:r>
      <w:r w:rsidRPr="0080521D">
        <w:rPr>
          <w:rFonts w:ascii="Times New Roman" w:hAnsi="Times New Roman" w:cs="Times New Roman"/>
          <w:sz w:val="20"/>
          <w:szCs w:val="20"/>
        </w:rPr>
        <w:t xml:space="preserve"> 40</w:t>
      </w:r>
      <w:r w:rsidR="005B48CD">
        <w:rPr>
          <w:rFonts w:ascii="Times New Roman" w:hAnsi="Times New Roman" w:cs="Times New Roman"/>
          <w:sz w:val="20"/>
          <w:szCs w:val="20"/>
        </w:rPr>
        <w:t xml:space="preserve">, </w:t>
      </w:r>
      <w:r w:rsidR="005B48CD" w:rsidRPr="00926BB0">
        <w:rPr>
          <w:rFonts w:ascii="Times New Roman" w:hAnsi="Times New Roman" w:cs="Times New Roman"/>
          <w:color w:val="222222"/>
          <w:sz w:val="20"/>
          <w:szCs w:val="20"/>
          <w:shd w:val="clear" w:color="auto" w:fill="FFFFFF"/>
        </w:rPr>
        <w:t xml:space="preserve">no. </w:t>
      </w:r>
      <w:r w:rsidR="005B48CD">
        <w:rPr>
          <w:rFonts w:ascii="Times New Roman" w:hAnsi="Times New Roman" w:cs="Times New Roman"/>
          <w:color w:val="222222"/>
          <w:sz w:val="20"/>
          <w:szCs w:val="20"/>
          <w:shd w:val="clear" w:color="auto" w:fill="FFFFFF"/>
        </w:rPr>
        <w:t>1</w:t>
      </w:r>
      <w:r w:rsidR="005B48CD" w:rsidRPr="00926BB0">
        <w:rPr>
          <w:rFonts w:ascii="Times New Roman" w:hAnsi="Times New Roman" w:cs="Times New Roman"/>
          <w:color w:val="222222"/>
          <w:sz w:val="20"/>
          <w:szCs w:val="20"/>
          <w:shd w:val="clear" w:color="auto" w:fill="FFFFFF"/>
        </w:rPr>
        <w:t xml:space="preserve"> (20</w:t>
      </w:r>
      <w:r w:rsidR="005B48CD">
        <w:rPr>
          <w:rFonts w:ascii="Times New Roman" w:hAnsi="Times New Roman" w:cs="Times New Roman"/>
          <w:color w:val="222222"/>
          <w:sz w:val="20"/>
          <w:szCs w:val="20"/>
          <w:shd w:val="clear" w:color="auto" w:fill="FFFFFF"/>
        </w:rPr>
        <w:t>14</w:t>
      </w:r>
      <w:r w:rsidR="005B48CD" w:rsidRPr="00926BB0">
        <w:rPr>
          <w:rFonts w:ascii="Times New Roman" w:hAnsi="Times New Roman" w:cs="Times New Roman"/>
          <w:color w:val="222222"/>
          <w:sz w:val="20"/>
          <w:szCs w:val="20"/>
          <w:shd w:val="clear" w:color="auto" w:fill="FFFFFF"/>
        </w:rPr>
        <w:t xml:space="preserve">): </w:t>
      </w:r>
      <w:r w:rsidR="005B48CD">
        <w:rPr>
          <w:rFonts w:ascii="Times New Roman" w:hAnsi="Times New Roman" w:cs="Times New Roman"/>
          <w:color w:val="222222"/>
          <w:sz w:val="20"/>
          <w:szCs w:val="20"/>
          <w:shd w:val="clear" w:color="auto" w:fill="FFFFFF"/>
        </w:rPr>
        <w:t>192-99.</w:t>
      </w:r>
    </w:p>
    <w:p w14:paraId="12F2A552" w14:textId="4A4FFB45" w:rsidR="00205D5C" w:rsidRPr="00205D5C" w:rsidRDefault="00205D5C" w:rsidP="00231AA2">
      <w:pPr>
        <w:spacing w:line="240" w:lineRule="auto"/>
        <w:ind w:hanging="480"/>
        <w:contextualSpacing/>
        <w:rPr>
          <w:rFonts w:ascii="Times New Roman" w:hAnsi="Times New Roman" w:cs="Times New Roman"/>
          <w:sz w:val="20"/>
          <w:szCs w:val="20"/>
        </w:rPr>
      </w:pPr>
      <w:r w:rsidRPr="00205D5C">
        <w:rPr>
          <w:rFonts w:ascii="Times New Roman" w:hAnsi="Times New Roman" w:cs="Times New Roman"/>
          <w:color w:val="222222"/>
          <w:sz w:val="20"/>
          <w:szCs w:val="20"/>
          <w:shd w:val="clear" w:color="auto" w:fill="FFFFFF"/>
        </w:rPr>
        <w:t>Scaruffi, Elisabetta, Alessandra Gambineri, Stefania Cattaneo, Jenni Turra, Roberto Vettor, and Roberto Mioni. "Personality and psychiatric disorders in women affected by polycystic ovary syndrome." </w:t>
      </w:r>
      <w:r w:rsidRPr="00205D5C">
        <w:rPr>
          <w:rFonts w:ascii="Times New Roman" w:hAnsi="Times New Roman" w:cs="Times New Roman"/>
          <w:i/>
          <w:iCs/>
          <w:color w:val="222222"/>
          <w:sz w:val="20"/>
          <w:szCs w:val="20"/>
          <w:shd w:val="clear" w:color="auto" w:fill="FFFFFF"/>
        </w:rPr>
        <w:t>Frontiers in endocrinology</w:t>
      </w:r>
      <w:r w:rsidRPr="00205D5C">
        <w:rPr>
          <w:rFonts w:ascii="Times New Roman" w:hAnsi="Times New Roman" w:cs="Times New Roman"/>
          <w:color w:val="222222"/>
          <w:sz w:val="20"/>
          <w:szCs w:val="20"/>
          <w:shd w:val="clear" w:color="auto" w:fill="FFFFFF"/>
        </w:rPr>
        <w:t> 5 (2014): 185.</w:t>
      </w:r>
    </w:p>
    <w:p w14:paraId="66131CAA" w14:textId="6D9D4109" w:rsidR="00DE17B0" w:rsidRPr="00DE17B0" w:rsidRDefault="00DE17B0" w:rsidP="00231AA2">
      <w:pPr>
        <w:spacing w:line="240" w:lineRule="auto"/>
        <w:ind w:hanging="480"/>
        <w:contextualSpacing/>
        <w:rPr>
          <w:rFonts w:ascii="Times New Roman" w:hAnsi="Times New Roman" w:cs="Times New Roman"/>
          <w:sz w:val="20"/>
          <w:szCs w:val="20"/>
        </w:rPr>
      </w:pPr>
      <w:r w:rsidRPr="00DE17B0">
        <w:rPr>
          <w:rFonts w:ascii="Times New Roman" w:hAnsi="Times New Roman" w:cs="Times New Roman"/>
          <w:color w:val="222222"/>
          <w:sz w:val="20"/>
          <w:szCs w:val="20"/>
          <w:shd w:val="clear" w:color="auto" w:fill="FFFFFF"/>
        </w:rPr>
        <w:t>Selye, Hans. "Stress and the general adaptation syndrome." </w:t>
      </w:r>
      <w:r w:rsidRPr="00DE17B0">
        <w:rPr>
          <w:rFonts w:ascii="Times New Roman" w:hAnsi="Times New Roman" w:cs="Times New Roman"/>
          <w:i/>
          <w:iCs/>
          <w:color w:val="222222"/>
          <w:sz w:val="20"/>
          <w:szCs w:val="20"/>
          <w:shd w:val="clear" w:color="auto" w:fill="FFFFFF"/>
        </w:rPr>
        <w:t>British medical journal</w:t>
      </w:r>
      <w:r w:rsidRPr="00DE17B0">
        <w:rPr>
          <w:rFonts w:ascii="Times New Roman" w:hAnsi="Times New Roman" w:cs="Times New Roman"/>
          <w:color w:val="222222"/>
          <w:sz w:val="20"/>
          <w:szCs w:val="20"/>
          <w:shd w:val="clear" w:color="auto" w:fill="FFFFFF"/>
        </w:rPr>
        <w:t> 1, no. 4667 (1950): 1383-92.</w:t>
      </w:r>
    </w:p>
    <w:p w14:paraId="258E23B7" w14:textId="65D6A5F1" w:rsidR="00C914EE" w:rsidRPr="00FB535A" w:rsidRDefault="00FB535A" w:rsidP="00231AA2">
      <w:pPr>
        <w:spacing w:line="240" w:lineRule="auto"/>
        <w:ind w:hanging="480"/>
        <w:contextualSpacing/>
        <w:rPr>
          <w:rFonts w:ascii="Times New Roman" w:hAnsi="Times New Roman" w:cs="Times New Roman"/>
          <w:sz w:val="20"/>
          <w:szCs w:val="20"/>
        </w:rPr>
      </w:pPr>
      <w:r w:rsidRPr="00FB535A">
        <w:rPr>
          <w:rFonts w:ascii="Times New Roman" w:hAnsi="Times New Roman" w:cs="Times New Roman"/>
          <w:color w:val="222222"/>
          <w:sz w:val="20"/>
          <w:szCs w:val="20"/>
          <w:shd w:val="clear" w:color="auto" w:fill="FFFFFF"/>
        </w:rPr>
        <w:t>Shaffer, Fred, and Jay P. Ginsberg. "An overview of heart rate variability metrics and norms." </w:t>
      </w:r>
      <w:r w:rsidRPr="00FB535A">
        <w:rPr>
          <w:rFonts w:ascii="Times New Roman" w:hAnsi="Times New Roman" w:cs="Times New Roman"/>
          <w:i/>
          <w:iCs/>
          <w:color w:val="222222"/>
          <w:sz w:val="20"/>
          <w:szCs w:val="20"/>
          <w:shd w:val="clear" w:color="auto" w:fill="FFFFFF"/>
        </w:rPr>
        <w:t>Frontiers in public health</w:t>
      </w:r>
      <w:r w:rsidRPr="00FB535A">
        <w:rPr>
          <w:rFonts w:ascii="Times New Roman" w:hAnsi="Times New Roman" w:cs="Times New Roman"/>
          <w:color w:val="222222"/>
          <w:sz w:val="20"/>
          <w:szCs w:val="20"/>
          <w:shd w:val="clear" w:color="auto" w:fill="FFFFFF"/>
        </w:rPr>
        <w:t> (2017): 258 – 258.</w:t>
      </w:r>
      <w:r w:rsidR="00C914EE" w:rsidRPr="00FB535A">
        <w:rPr>
          <w:rFonts w:ascii="Times New Roman" w:hAnsi="Times New Roman" w:cs="Times New Roman"/>
          <w:sz w:val="20"/>
          <w:szCs w:val="20"/>
        </w:rPr>
        <w:t xml:space="preserve"> </w:t>
      </w:r>
    </w:p>
    <w:p w14:paraId="7E58D2B2" w14:textId="1ADCE37B" w:rsidR="001F33FA" w:rsidRPr="001F33FA" w:rsidRDefault="001F33FA" w:rsidP="00231AA2">
      <w:pPr>
        <w:spacing w:line="240" w:lineRule="auto"/>
        <w:ind w:hanging="480"/>
        <w:contextualSpacing/>
        <w:rPr>
          <w:rFonts w:ascii="Times New Roman" w:hAnsi="Times New Roman" w:cs="Times New Roman"/>
          <w:sz w:val="20"/>
          <w:szCs w:val="20"/>
        </w:rPr>
      </w:pPr>
      <w:r w:rsidRPr="001F33FA">
        <w:rPr>
          <w:rFonts w:ascii="Times New Roman" w:hAnsi="Times New Roman" w:cs="Times New Roman"/>
          <w:color w:val="222222"/>
          <w:sz w:val="20"/>
          <w:szCs w:val="20"/>
          <w:shd w:val="clear" w:color="auto" w:fill="FFFFFF"/>
        </w:rPr>
        <w:t>Shorakae, Soulmaz, Sanjeeva Ranasinha, Sally Abell, Gavin Lambert, Elisabeth Lambert, Barbora de Courten, and Helena Teede. "Inter‐related effects of insulin resistance, hyperandrogenism, sympathetic dysfunction and chronic inflammation in PCOS." </w:t>
      </w:r>
      <w:r w:rsidRPr="001F33FA">
        <w:rPr>
          <w:rFonts w:ascii="Times New Roman" w:hAnsi="Times New Roman" w:cs="Times New Roman"/>
          <w:i/>
          <w:iCs/>
          <w:color w:val="222222"/>
          <w:sz w:val="20"/>
          <w:szCs w:val="20"/>
          <w:shd w:val="clear" w:color="auto" w:fill="FFFFFF"/>
        </w:rPr>
        <w:t>Clinical endocrinology</w:t>
      </w:r>
      <w:r w:rsidRPr="001F33FA">
        <w:rPr>
          <w:rFonts w:ascii="Times New Roman" w:hAnsi="Times New Roman" w:cs="Times New Roman"/>
          <w:color w:val="222222"/>
          <w:sz w:val="20"/>
          <w:szCs w:val="20"/>
          <w:shd w:val="clear" w:color="auto" w:fill="FFFFFF"/>
        </w:rPr>
        <w:t> 89, no. 5 (2018): 628-633.</w:t>
      </w:r>
    </w:p>
    <w:p w14:paraId="01DA2869" w14:textId="7893700B" w:rsidR="001A3B14" w:rsidRPr="00794758" w:rsidRDefault="001A3B14" w:rsidP="00231AA2">
      <w:pPr>
        <w:spacing w:line="240" w:lineRule="auto"/>
        <w:ind w:hanging="480"/>
        <w:contextualSpacing/>
        <w:rPr>
          <w:rFonts w:ascii="Times New Roman" w:hAnsi="Times New Roman" w:cs="Times New Roman"/>
          <w:sz w:val="20"/>
          <w:szCs w:val="20"/>
        </w:rPr>
      </w:pPr>
      <w:r w:rsidRPr="00794758">
        <w:rPr>
          <w:rFonts w:ascii="Times New Roman" w:hAnsi="Times New Roman" w:cs="Times New Roman"/>
          <w:color w:val="222222"/>
          <w:sz w:val="20"/>
          <w:szCs w:val="20"/>
          <w:shd w:val="clear" w:color="auto" w:fill="FFFFFF"/>
        </w:rPr>
        <w:t>Siemienowicz, Katarzyna Joanna. "Fetal programming of adult disease: Causes and consequences of metabolic dysregulation in an ovine model of PCOS."</w:t>
      </w:r>
      <w:r w:rsidR="009643EE" w:rsidRPr="00794758">
        <w:rPr>
          <w:rFonts w:ascii="Times New Roman" w:hAnsi="Times New Roman" w:cs="Times New Roman"/>
          <w:color w:val="222222"/>
          <w:sz w:val="20"/>
          <w:szCs w:val="20"/>
          <w:shd w:val="clear" w:color="auto" w:fill="FFFFFF"/>
        </w:rPr>
        <w:t xml:space="preserve"> </w:t>
      </w:r>
      <w:r w:rsidR="009643EE" w:rsidRPr="00794758">
        <w:rPr>
          <w:rFonts w:ascii="Times New Roman" w:hAnsi="Times New Roman" w:cs="Times New Roman"/>
          <w:i/>
          <w:iCs/>
          <w:sz w:val="20"/>
          <w:szCs w:val="20"/>
        </w:rPr>
        <w:t xml:space="preserve">Edinburgh Medical School Thesis and Dissertation Collection: </w:t>
      </w:r>
      <w:r w:rsidR="009643EE" w:rsidRPr="00794758">
        <w:rPr>
          <w:rFonts w:ascii="Times New Roman" w:hAnsi="Times New Roman" w:cs="Times New Roman"/>
          <w:sz w:val="20"/>
          <w:szCs w:val="20"/>
        </w:rPr>
        <w:t>The University of Edinburgh</w:t>
      </w:r>
      <w:r w:rsidR="00794758" w:rsidRPr="00794758">
        <w:rPr>
          <w:rFonts w:ascii="Times New Roman" w:hAnsi="Times New Roman" w:cs="Times New Roman"/>
          <w:sz w:val="20"/>
          <w:szCs w:val="20"/>
        </w:rPr>
        <w:t xml:space="preserve"> </w:t>
      </w:r>
      <w:r w:rsidRPr="00794758">
        <w:rPr>
          <w:rFonts w:ascii="Times New Roman" w:hAnsi="Times New Roman" w:cs="Times New Roman"/>
          <w:color w:val="222222"/>
          <w:sz w:val="20"/>
          <w:szCs w:val="20"/>
          <w:shd w:val="clear" w:color="auto" w:fill="FFFFFF"/>
        </w:rPr>
        <w:t>(2018).</w:t>
      </w:r>
    </w:p>
    <w:p w14:paraId="23E2C8C2" w14:textId="66DCCBDA" w:rsidR="00590A7E" w:rsidRPr="00590A7E" w:rsidRDefault="00590A7E" w:rsidP="00231AA2">
      <w:pPr>
        <w:spacing w:line="240" w:lineRule="auto"/>
        <w:ind w:hanging="480"/>
        <w:contextualSpacing/>
        <w:rPr>
          <w:rFonts w:ascii="Times New Roman" w:hAnsi="Times New Roman" w:cs="Times New Roman"/>
          <w:sz w:val="20"/>
          <w:szCs w:val="20"/>
        </w:rPr>
      </w:pPr>
      <w:r w:rsidRPr="00590A7E">
        <w:rPr>
          <w:rFonts w:ascii="Times New Roman" w:hAnsi="Times New Roman" w:cs="Times New Roman"/>
          <w:color w:val="222222"/>
          <w:sz w:val="20"/>
          <w:szCs w:val="20"/>
          <w:shd w:val="clear" w:color="auto" w:fill="FFFFFF"/>
        </w:rPr>
        <w:t>Skiba, Marina A., Rakibul M. Islam, Robin J. Bell, and Susan R. Davis. "Understanding variation in prevalence estimates of polycystic ovary syndrome: a systematic review and meta-analysis." </w:t>
      </w:r>
      <w:r w:rsidRPr="00590A7E">
        <w:rPr>
          <w:rFonts w:ascii="Times New Roman" w:hAnsi="Times New Roman" w:cs="Times New Roman"/>
          <w:i/>
          <w:iCs/>
          <w:color w:val="222222"/>
          <w:sz w:val="20"/>
          <w:szCs w:val="20"/>
          <w:shd w:val="clear" w:color="auto" w:fill="FFFFFF"/>
        </w:rPr>
        <w:t>Human reproduction update</w:t>
      </w:r>
      <w:r w:rsidRPr="00590A7E">
        <w:rPr>
          <w:rFonts w:ascii="Times New Roman" w:hAnsi="Times New Roman" w:cs="Times New Roman"/>
          <w:color w:val="222222"/>
          <w:sz w:val="20"/>
          <w:szCs w:val="20"/>
          <w:shd w:val="clear" w:color="auto" w:fill="FFFFFF"/>
        </w:rPr>
        <w:t> 24, no. 6 (2018): 694-709.</w:t>
      </w:r>
    </w:p>
    <w:p w14:paraId="6887988D" w14:textId="1BF36249" w:rsidR="006571C9" w:rsidRPr="006571C9" w:rsidRDefault="006571C9" w:rsidP="00231AA2">
      <w:pPr>
        <w:spacing w:line="240" w:lineRule="auto"/>
        <w:ind w:hanging="480"/>
        <w:contextualSpacing/>
        <w:rPr>
          <w:rFonts w:ascii="Times New Roman" w:hAnsi="Times New Roman" w:cs="Times New Roman"/>
          <w:sz w:val="20"/>
          <w:szCs w:val="20"/>
        </w:rPr>
      </w:pPr>
      <w:r w:rsidRPr="006571C9">
        <w:rPr>
          <w:rFonts w:ascii="Times New Roman" w:hAnsi="Times New Roman" w:cs="Times New Roman"/>
          <w:color w:val="222222"/>
          <w:sz w:val="20"/>
          <w:szCs w:val="20"/>
          <w:shd w:val="clear" w:color="auto" w:fill="FFFFFF"/>
        </w:rPr>
        <w:t>Svendsen, Pernille Fog, Lisbeth Nilas, Kirsten Nørgaard, Jens-Erik Beck Jensen, and Sten Madsbad. "Obesity, body composition and metabolic disturbances in polycystic ovary syndrome." </w:t>
      </w:r>
      <w:r w:rsidRPr="006571C9">
        <w:rPr>
          <w:rFonts w:ascii="Times New Roman" w:hAnsi="Times New Roman" w:cs="Times New Roman"/>
          <w:i/>
          <w:iCs/>
          <w:color w:val="222222"/>
          <w:sz w:val="20"/>
          <w:szCs w:val="20"/>
          <w:shd w:val="clear" w:color="auto" w:fill="FFFFFF"/>
        </w:rPr>
        <w:t>Human Reproduction</w:t>
      </w:r>
      <w:r w:rsidRPr="006571C9">
        <w:rPr>
          <w:rFonts w:ascii="Times New Roman" w:hAnsi="Times New Roman" w:cs="Times New Roman"/>
          <w:color w:val="222222"/>
          <w:sz w:val="20"/>
          <w:szCs w:val="20"/>
          <w:shd w:val="clear" w:color="auto" w:fill="FFFFFF"/>
        </w:rPr>
        <w:t> 23, no. 9 (2008): 2113-2121.</w:t>
      </w:r>
    </w:p>
    <w:p w14:paraId="239214D6" w14:textId="162CEBFC" w:rsidR="00A75B83" w:rsidRPr="00A75B83" w:rsidRDefault="00A75B83" w:rsidP="00231AA2">
      <w:pPr>
        <w:spacing w:line="240" w:lineRule="auto"/>
        <w:ind w:hanging="480"/>
        <w:contextualSpacing/>
        <w:rPr>
          <w:rFonts w:ascii="Times New Roman" w:hAnsi="Times New Roman" w:cs="Times New Roman"/>
          <w:sz w:val="20"/>
          <w:szCs w:val="20"/>
        </w:rPr>
      </w:pPr>
      <w:r w:rsidRPr="00A75B83">
        <w:rPr>
          <w:rFonts w:ascii="Times New Roman" w:hAnsi="Times New Roman" w:cs="Times New Roman"/>
          <w:color w:val="222222"/>
          <w:sz w:val="20"/>
          <w:szCs w:val="20"/>
          <w:shd w:val="clear" w:color="auto" w:fill="FFFFFF"/>
        </w:rPr>
        <w:t xml:space="preserve">Sverrisdottir, Yrsa Bergmann, Tove Mogren, Josefin Kataoka, Per Olof Janson, and Elisabet Stener-Victorin. "Is polycystic ovary syndrome associated with high sympathetic nerve activity and size at </w:t>
      </w:r>
      <w:r w:rsidR="00497B8C" w:rsidRPr="00A75B83">
        <w:rPr>
          <w:rFonts w:ascii="Times New Roman" w:hAnsi="Times New Roman" w:cs="Times New Roman"/>
          <w:color w:val="222222"/>
          <w:sz w:val="20"/>
          <w:szCs w:val="20"/>
          <w:shd w:val="clear" w:color="auto" w:fill="FFFFFF"/>
        </w:rPr>
        <w:t>birth?</w:t>
      </w:r>
      <w:r w:rsidRPr="00A75B83">
        <w:rPr>
          <w:rFonts w:ascii="Times New Roman" w:hAnsi="Times New Roman" w:cs="Times New Roman"/>
          <w:color w:val="222222"/>
          <w:sz w:val="20"/>
          <w:szCs w:val="20"/>
          <w:shd w:val="clear" w:color="auto" w:fill="FFFFFF"/>
        </w:rPr>
        <w:t>" </w:t>
      </w:r>
      <w:r w:rsidRPr="00A75B83">
        <w:rPr>
          <w:rFonts w:ascii="Times New Roman" w:hAnsi="Times New Roman" w:cs="Times New Roman"/>
          <w:i/>
          <w:iCs/>
          <w:color w:val="222222"/>
          <w:sz w:val="20"/>
          <w:szCs w:val="20"/>
          <w:shd w:val="clear" w:color="auto" w:fill="FFFFFF"/>
        </w:rPr>
        <w:t>American Journal of Physiology-Endocrinology and Metabolism</w:t>
      </w:r>
      <w:r w:rsidRPr="00A75B83">
        <w:rPr>
          <w:rFonts w:ascii="Times New Roman" w:hAnsi="Times New Roman" w:cs="Times New Roman"/>
          <w:color w:val="222222"/>
          <w:sz w:val="20"/>
          <w:szCs w:val="20"/>
          <w:shd w:val="clear" w:color="auto" w:fill="FFFFFF"/>
        </w:rPr>
        <w:t> 294, no. 3 (2008): E576-E581.</w:t>
      </w:r>
    </w:p>
    <w:p w14:paraId="54C023CC" w14:textId="542D4F43" w:rsidR="00497B8C" w:rsidRPr="006571C9"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lastRenderedPageBreak/>
        <w:t xml:space="preserve">Teede, HJ, ML Misso, MF Costello, A Dokras, J Laven, L Moran, T Piltonen, and RJ </w:t>
      </w:r>
      <w:r w:rsidR="00BB2BC5" w:rsidRPr="0080521D">
        <w:rPr>
          <w:rFonts w:ascii="Times New Roman" w:hAnsi="Times New Roman" w:cs="Times New Roman"/>
          <w:sz w:val="20"/>
          <w:szCs w:val="20"/>
        </w:rPr>
        <w:t>Norman. “International</w:t>
      </w:r>
      <w:r w:rsidRPr="0080521D">
        <w:rPr>
          <w:rFonts w:ascii="Times New Roman" w:hAnsi="Times New Roman" w:cs="Times New Roman"/>
          <w:sz w:val="20"/>
          <w:szCs w:val="20"/>
        </w:rPr>
        <w:t xml:space="preserve"> PCOS Network. Recommendations from the International Evidence-Based Guideline for the Assessment and Management of Polycystic Ovary Syndrome.” </w:t>
      </w:r>
      <w:r w:rsidRPr="0080521D">
        <w:rPr>
          <w:rFonts w:ascii="Times New Roman" w:hAnsi="Times New Roman" w:cs="Times New Roman"/>
          <w:i/>
          <w:iCs/>
          <w:sz w:val="20"/>
          <w:szCs w:val="20"/>
        </w:rPr>
        <w:t>Hum</w:t>
      </w:r>
      <w:r w:rsidR="00BC59EB">
        <w:rPr>
          <w:rFonts w:ascii="Times New Roman" w:hAnsi="Times New Roman" w:cs="Times New Roman"/>
          <w:i/>
          <w:iCs/>
          <w:sz w:val="20"/>
          <w:szCs w:val="20"/>
        </w:rPr>
        <w:t>an</w:t>
      </w:r>
      <w:r w:rsidRPr="0080521D">
        <w:rPr>
          <w:rFonts w:ascii="Times New Roman" w:hAnsi="Times New Roman" w:cs="Times New Roman"/>
          <w:i/>
          <w:iCs/>
          <w:sz w:val="20"/>
          <w:szCs w:val="20"/>
        </w:rPr>
        <w:t xml:space="preserve"> Reprod</w:t>
      </w:r>
      <w:r w:rsidR="00BC59EB">
        <w:rPr>
          <w:rFonts w:ascii="Times New Roman" w:hAnsi="Times New Roman" w:cs="Times New Roman"/>
          <w:i/>
          <w:iCs/>
          <w:sz w:val="20"/>
          <w:szCs w:val="20"/>
        </w:rPr>
        <w:t>uction</w:t>
      </w:r>
      <w:r w:rsidRPr="0080521D">
        <w:rPr>
          <w:rFonts w:ascii="Times New Roman" w:hAnsi="Times New Roman" w:cs="Times New Roman"/>
          <w:sz w:val="20"/>
          <w:szCs w:val="20"/>
        </w:rPr>
        <w:t xml:space="preserve"> 33</w:t>
      </w:r>
      <w:r w:rsidR="00BB2BC5">
        <w:rPr>
          <w:rFonts w:ascii="Times New Roman" w:hAnsi="Times New Roman" w:cs="Times New Roman"/>
          <w:sz w:val="20"/>
          <w:szCs w:val="20"/>
        </w:rPr>
        <w:t xml:space="preserve">, </w:t>
      </w:r>
      <w:r w:rsidR="00497B8C" w:rsidRPr="006571C9">
        <w:rPr>
          <w:rFonts w:ascii="Times New Roman" w:hAnsi="Times New Roman" w:cs="Times New Roman"/>
          <w:color w:val="222222"/>
          <w:sz w:val="20"/>
          <w:szCs w:val="20"/>
          <w:shd w:val="clear" w:color="auto" w:fill="FFFFFF"/>
        </w:rPr>
        <w:t>no. 9 (20</w:t>
      </w:r>
      <w:r w:rsidR="00497B8C">
        <w:rPr>
          <w:rFonts w:ascii="Times New Roman" w:hAnsi="Times New Roman" w:cs="Times New Roman"/>
          <w:color w:val="222222"/>
          <w:sz w:val="20"/>
          <w:szCs w:val="20"/>
          <w:shd w:val="clear" w:color="auto" w:fill="FFFFFF"/>
        </w:rPr>
        <w:t>1</w:t>
      </w:r>
      <w:r w:rsidR="00497B8C" w:rsidRPr="006571C9">
        <w:rPr>
          <w:rFonts w:ascii="Times New Roman" w:hAnsi="Times New Roman" w:cs="Times New Roman"/>
          <w:color w:val="222222"/>
          <w:sz w:val="20"/>
          <w:szCs w:val="20"/>
          <w:shd w:val="clear" w:color="auto" w:fill="FFFFFF"/>
        </w:rPr>
        <w:t xml:space="preserve">8): </w:t>
      </w:r>
      <w:r w:rsidR="00BB2BC5">
        <w:rPr>
          <w:rFonts w:ascii="Times New Roman" w:hAnsi="Times New Roman" w:cs="Times New Roman"/>
          <w:color w:val="222222"/>
          <w:sz w:val="20"/>
          <w:szCs w:val="20"/>
          <w:shd w:val="clear" w:color="auto" w:fill="FFFFFF"/>
        </w:rPr>
        <w:t>1602-18.</w:t>
      </w:r>
    </w:p>
    <w:p w14:paraId="0FAB7BCB" w14:textId="00AD4F5E" w:rsidR="00E37800" w:rsidRPr="00E37800" w:rsidRDefault="00E37800" w:rsidP="00231AA2">
      <w:pPr>
        <w:spacing w:line="240" w:lineRule="auto"/>
        <w:ind w:hanging="480"/>
        <w:contextualSpacing/>
        <w:rPr>
          <w:rFonts w:ascii="Times New Roman" w:hAnsi="Times New Roman" w:cs="Times New Roman"/>
          <w:sz w:val="20"/>
          <w:szCs w:val="20"/>
        </w:rPr>
      </w:pPr>
      <w:r w:rsidRPr="00E37800">
        <w:rPr>
          <w:rFonts w:ascii="Times New Roman" w:hAnsi="Times New Roman" w:cs="Times New Roman"/>
          <w:color w:val="222222"/>
          <w:sz w:val="20"/>
          <w:szCs w:val="20"/>
          <w:shd w:val="clear" w:color="auto" w:fill="FFFFFF"/>
        </w:rPr>
        <w:t>Tekin, Göknur, Abdullah Tekin, Esra B. Kılıçarslan, Bülent Haydardedeoğlu, Tuna Katırcıbaşı, Tolga Koçum, Tansel Erol, Yücel Çölkesen, Alpay T. Sezgin, and Haldun Müderrisoğlu. "Altered autonomic neural control of the cardiovascular system in patients with polycystic ovary syndrome." </w:t>
      </w:r>
      <w:r w:rsidRPr="00E37800">
        <w:rPr>
          <w:rFonts w:ascii="Times New Roman" w:hAnsi="Times New Roman" w:cs="Times New Roman"/>
          <w:i/>
          <w:iCs/>
          <w:color w:val="222222"/>
          <w:sz w:val="20"/>
          <w:szCs w:val="20"/>
          <w:shd w:val="clear" w:color="auto" w:fill="FFFFFF"/>
        </w:rPr>
        <w:t>International Journal of Cardiology</w:t>
      </w:r>
      <w:r w:rsidRPr="00E37800">
        <w:rPr>
          <w:rFonts w:ascii="Times New Roman" w:hAnsi="Times New Roman" w:cs="Times New Roman"/>
          <w:color w:val="222222"/>
          <w:sz w:val="20"/>
          <w:szCs w:val="20"/>
          <w:shd w:val="clear" w:color="auto" w:fill="FFFFFF"/>
        </w:rPr>
        <w:t> 130, no. 1 (2008): 49-55.</w:t>
      </w:r>
    </w:p>
    <w:p w14:paraId="2123EEB2" w14:textId="791E2E37"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VandenBos, Gary R. </w:t>
      </w:r>
      <w:r w:rsidRPr="0080521D">
        <w:rPr>
          <w:rFonts w:ascii="Times New Roman" w:hAnsi="Times New Roman" w:cs="Times New Roman"/>
          <w:i/>
          <w:iCs/>
          <w:sz w:val="20"/>
          <w:szCs w:val="20"/>
        </w:rPr>
        <w:t>APA Dictionary of Psychology.</w:t>
      </w:r>
      <w:r w:rsidRPr="0080521D">
        <w:rPr>
          <w:rFonts w:ascii="Times New Roman" w:hAnsi="Times New Roman" w:cs="Times New Roman"/>
          <w:sz w:val="20"/>
          <w:szCs w:val="20"/>
        </w:rPr>
        <w:t xml:space="preserve"> American Psychological Association</w:t>
      </w:r>
      <w:r w:rsidR="00E24DAA">
        <w:rPr>
          <w:rFonts w:ascii="Times New Roman" w:hAnsi="Times New Roman" w:cs="Times New Roman"/>
          <w:sz w:val="20"/>
          <w:szCs w:val="20"/>
        </w:rPr>
        <w:t>, 2007.</w:t>
      </w:r>
    </w:p>
    <w:p w14:paraId="56C86533" w14:textId="28CFC056" w:rsidR="00A44210" w:rsidRPr="00A44210" w:rsidRDefault="00A44210" w:rsidP="00231AA2">
      <w:pPr>
        <w:spacing w:line="240" w:lineRule="auto"/>
        <w:ind w:hanging="480"/>
        <w:contextualSpacing/>
        <w:rPr>
          <w:rFonts w:ascii="Times New Roman" w:hAnsi="Times New Roman" w:cs="Times New Roman"/>
          <w:sz w:val="20"/>
          <w:szCs w:val="20"/>
        </w:rPr>
      </w:pPr>
      <w:r w:rsidRPr="00A44210">
        <w:rPr>
          <w:rFonts w:ascii="Times New Roman" w:hAnsi="Times New Roman" w:cs="Times New Roman"/>
          <w:color w:val="222222"/>
          <w:sz w:val="20"/>
          <w:szCs w:val="20"/>
          <w:shd w:val="clear" w:color="auto" w:fill="FFFFFF"/>
        </w:rPr>
        <w:t>Veltman-Verhulst, Susanne M., Jacky Boivin, Marinus JC Eijkemans, and Bart JCM Fauser. "Emotional distress is a common risk in women with polycystic ovary syndrome: a systematic review and meta-analysis of 28 studies." </w:t>
      </w:r>
      <w:r w:rsidRPr="00A44210">
        <w:rPr>
          <w:rFonts w:ascii="Times New Roman" w:hAnsi="Times New Roman" w:cs="Times New Roman"/>
          <w:i/>
          <w:iCs/>
          <w:color w:val="222222"/>
          <w:sz w:val="20"/>
          <w:szCs w:val="20"/>
          <w:shd w:val="clear" w:color="auto" w:fill="FFFFFF"/>
        </w:rPr>
        <w:t>Human reproduction update</w:t>
      </w:r>
      <w:r w:rsidRPr="00A44210">
        <w:rPr>
          <w:rFonts w:ascii="Times New Roman" w:hAnsi="Times New Roman" w:cs="Times New Roman"/>
          <w:color w:val="222222"/>
          <w:sz w:val="20"/>
          <w:szCs w:val="20"/>
          <w:shd w:val="clear" w:color="auto" w:fill="FFFFFF"/>
        </w:rPr>
        <w:t> 18, no. 6 (2012): 638-651.</w:t>
      </w:r>
    </w:p>
    <w:p w14:paraId="095BDDFE" w14:textId="77777777" w:rsidR="003349B5" w:rsidRPr="003349B5" w:rsidRDefault="003349B5" w:rsidP="00231AA2">
      <w:pPr>
        <w:spacing w:line="240" w:lineRule="auto"/>
        <w:ind w:hanging="480"/>
        <w:contextualSpacing/>
        <w:rPr>
          <w:rFonts w:ascii="Times New Roman" w:hAnsi="Times New Roman" w:cs="Times New Roman"/>
          <w:color w:val="222222"/>
          <w:sz w:val="20"/>
          <w:szCs w:val="20"/>
          <w:shd w:val="clear" w:color="auto" w:fill="FFFFFF"/>
        </w:rPr>
      </w:pPr>
      <w:r w:rsidRPr="003349B5">
        <w:rPr>
          <w:rFonts w:ascii="Times New Roman" w:hAnsi="Times New Roman" w:cs="Times New Roman"/>
          <w:color w:val="222222"/>
          <w:sz w:val="20"/>
          <w:szCs w:val="20"/>
          <w:shd w:val="clear" w:color="auto" w:fill="FFFFFF"/>
        </w:rPr>
        <w:t>Von Rosenberg, Wilhelm, Theerasak Chanwimalueang, Tricia Adjei, Usman Jaffer, Valentin Goverdovsky, and Danilo P. Mandic. "Resolving ambiguities in the LF/HF ratio: LF-HF scatter plots for the categorization of mental and physical stress from HRV." </w:t>
      </w:r>
      <w:r w:rsidRPr="003349B5">
        <w:rPr>
          <w:rFonts w:ascii="Times New Roman" w:hAnsi="Times New Roman" w:cs="Times New Roman"/>
          <w:i/>
          <w:iCs/>
          <w:color w:val="222222"/>
          <w:sz w:val="20"/>
          <w:szCs w:val="20"/>
          <w:shd w:val="clear" w:color="auto" w:fill="FFFFFF"/>
        </w:rPr>
        <w:t>Frontiers in physiology</w:t>
      </w:r>
      <w:r w:rsidRPr="003349B5">
        <w:rPr>
          <w:rFonts w:ascii="Times New Roman" w:hAnsi="Times New Roman" w:cs="Times New Roman"/>
          <w:color w:val="222222"/>
          <w:sz w:val="20"/>
          <w:szCs w:val="20"/>
          <w:shd w:val="clear" w:color="auto" w:fill="FFFFFF"/>
        </w:rPr>
        <w:t> 8 (2017): 360.</w:t>
      </w:r>
    </w:p>
    <w:p w14:paraId="6234CACB" w14:textId="174C9EB7" w:rsidR="0027560B" w:rsidRPr="0027560B" w:rsidRDefault="0027560B" w:rsidP="00231AA2">
      <w:pPr>
        <w:spacing w:line="240" w:lineRule="auto"/>
        <w:ind w:hanging="480"/>
        <w:contextualSpacing/>
        <w:rPr>
          <w:rFonts w:ascii="Times New Roman" w:hAnsi="Times New Roman" w:cs="Times New Roman"/>
          <w:sz w:val="20"/>
          <w:szCs w:val="20"/>
        </w:rPr>
      </w:pPr>
      <w:r w:rsidRPr="0027560B">
        <w:rPr>
          <w:rFonts w:ascii="Times New Roman" w:hAnsi="Times New Roman" w:cs="Times New Roman"/>
          <w:color w:val="222222"/>
          <w:sz w:val="20"/>
          <w:szCs w:val="20"/>
          <w:shd w:val="clear" w:color="auto" w:fill="FFFFFF"/>
        </w:rPr>
        <w:t>Wallin, B. Gunnar, and Nisha Charkoudian. "Sympathetic neural control of integrated cardiovascular function: insights from measurement of human sympathetic nerve activity." </w:t>
      </w:r>
      <w:r w:rsidRPr="0027560B">
        <w:rPr>
          <w:rFonts w:ascii="Times New Roman" w:hAnsi="Times New Roman" w:cs="Times New Roman"/>
          <w:i/>
          <w:iCs/>
          <w:color w:val="222222"/>
          <w:sz w:val="20"/>
          <w:szCs w:val="20"/>
          <w:shd w:val="clear" w:color="auto" w:fill="FFFFFF"/>
        </w:rPr>
        <w:t>Muscle &amp; nerve</w:t>
      </w:r>
      <w:r w:rsidRPr="0027560B">
        <w:rPr>
          <w:rFonts w:ascii="Times New Roman" w:hAnsi="Times New Roman" w:cs="Times New Roman"/>
          <w:color w:val="222222"/>
          <w:sz w:val="20"/>
          <w:szCs w:val="20"/>
          <w:shd w:val="clear" w:color="auto" w:fill="FFFFFF"/>
        </w:rPr>
        <w:t> 36, no. 5 (2007): 595-614.</w:t>
      </w:r>
    </w:p>
    <w:p w14:paraId="78EB2E2B" w14:textId="676FD6AD" w:rsidR="00360384" w:rsidRPr="00360384" w:rsidRDefault="00360384" w:rsidP="00231AA2">
      <w:pPr>
        <w:spacing w:line="240" w:lineRule="auto"/>
        <w:ind w:hanging="480"/>
        <w:contextualSpacing/>
        <w:rPr>
          <w:rFonts w:ascii="Times New Roman" w:hAnsi="Times New Roman" w:cs="Times New Roman"/>
          <w:sz w:val="20"/>
          <w:szCs w:val="20"/>
        </w:rPr>
      </w:pPr>
      <w:r w:rsidRPr="00360384">
        <w:rPr>
          <w:rFonts w:ascii="Times New Roman" w:hAnsi="Times New Roman" w:cs="Times New Roman"/>
          <w:color w:val="222222"/>
          <w:sz w:val="20"/>
          <w:szCs w:val="20"/>
          <w:shd w:val="clear" w:color="auto" w:fill="FFFFFF"/>
        </w:rPr>
        <w:t>Yau, Tiffany TL, Noel YH Ng, L. P. Cheung, and Ronald CW Ma. "Polycystic ovary syndrome: a common reproductive syndrome with long-term metabolic consequences." </w:t>
      </w:r>
      <w:r w:rsidRPr="00360384">
        <w:rPr>
          <w:rFonts w:ascii="Times New Roman" w:hAnsi="Times New Roman" w:cs="Times New Roman"/>
          <w:i/>
          <w:iCs/>
          <w:color w:val="222222"/>
          <w:sz w:val="20"/>
          <w:szCs w:val="20"/>
          <w:shd w:val="clear" w:color="auto" w:fill="FFFFFF"/>
        </w:rPr>
        <w:t>Hong Kong Medical Journal</w:t>
      </w:r>
      <w:r w:rsidRPr="00360384">
        <w:rPr>
          <w:rFonts w:ascii="Times New Roman" w:hAnsi="Times New Roman" w:cs="Times New Roman"/>
          <w:color w:val="222222"/>
          <w:sz w:val="20"/>
          <w:szCs w:val="20"/>
          <w:shd w:val="clear" w:color="auto" w:fill="FFFFFF"/>
        </w:rPr>
        <w:t> 23, no. 6 (2017): 622.</w:t>
      </w:r>
    </w:p>
    <w:p w14:paraId="5CB6B426" w14:textId="6ABDF8FA" w:rsidR="00D4406C" w:rsidRPr="00D4406C" w:rsidRDefault="00D4406C" w:rsidP="00231AA2">
      <w:pPr>
        <w:spacing w:line="240" w:lineRule="auto"/>
        <w:ind w:hanging="480"/>
        <w:contextualSpacing/>
        <w:rPr>
          <w:rFonts w:ascii="Times New Roman" w:hAnsi="Times New Roman" w:cs="Times New Roman"/>
          <w:sz w:val="20"/>
          <w:szCs w:val="20"/>
        </w:rPr>
      </w:pPr>
      <w:r w:rsidRPr="00D4406C">
        <w:rPr>
          <w:rFonts w:ascii="Times New Roman" w:hAnsi="Times New Roman" w:cs="Times New Roman"/>
          <w:color w:val="222222"/>
          <w:sz w:val="20"/>
          <w:szCs w:val="20"/>
          <w:shd w:val="clear" w:color="auto" w:fill="FFFFFF"/>
        </w:rPr>
        <w:t>Yildirir, Aylin, Funda Aybar, Giray Kabakci, Hakan Yarali, and Ali Oto. "Heart rate variability in young women with polycystic ovary syndrome." </w:t>
      </w:r>
      <w:r w:rsidRPr="00D4406C">
        <w:rPr>
          <w:rFonts w:ascii="Times New Roman" w:hAnsi="Times New Roman" w:cs="Times New Roman"/>
          <w:i/>
          <w:iCs/>
          <w:color w:val="222222"/>
          <w:sz w:val="20"/>
          <w:szCs w:val="20"/>
          <w:shd w:val="clear" w:color="auto" w:fill="FFFFFF"/>
        </w:rPr>
        <w:t>Annals of Noninvasive Electrocardiology</w:t>
      </w:r>
      <w:r w:rsidRPr="00D4406C">
        <w:rPr>
          <w:rFonts w:ascii="Times New Roman" w:hAnsi="Times New Roman" w:cs="Times New Roman"/>
          <w:color w:val="222222"/>
          <w:sz w:val="20"/>
          <w:szCs w:val="20"/>
          <w:shd w:val="clear" w:color="auto" w:fill="FFFFFF"/>
        </w:rPr>
        <w:t> 11, no. 4 (2006): 306-312.</w:t>
      </w:r>
    </w:p>
    <w:p w14:paraId="44C66F64" w14:textId="59B8B6DB" w:rsidR="00C914EE" w:rsidRPr="0080521D" w:rsidRDefault="00C914EE" w:rsidP="00231AA2">
      <w:pPr>
        <w:spacing w:line="240" w:lineRule="auto"/>
        <w:ind w:hanging="480"/>
        <w:contextualSpacing/>
        <w:rPr>
          <w:rFonts w:ascii="Times New Roman" w:hAnsi="Times New Roman" w:cs="Times New Roman"/>
          <w:sz w:val="20"/>
          <w:szCs w:val="20"/>
        </w:rPr>
      </w:pPr>
      <w:r w:rsidRPr="0080521D">
        <w:rPr>
          <w:rFonts w:ascii="Times New Roman" w:hAnsi="Times New Roman" w:cs="Times New Roman"/>
          <w:sz w:val="20"/>
          <w:szCs w:val="20"/>
        </w:rPr>
        <w:t xml:space="preserve">Zawadski, J., and A Dunaif. “Diagnostic Criteria for Polycystic Ovary Syndrome: Towards a Rational Approach.” In </w:t>
      </w:r>
      <w:r w:rsidRPr="0080521D">
        <w:rPr>
          <w:rFonts w:ascii="Times New Roman" w:hAnsi="Times New Roman" w:cs="Times New Roman"/>
          <w:i/>
          <w:iCs/>
          <w:sz w:val="20"/>
          <w:szCs w:val="20"/>
        </w:rPr>
        <w:t>Polycystic Ovary Syndrome</w:t>
      </w:r>
      <w:r w:rsidRPr="0080521D">
        <w:rPr>
          <w:rFonts w:ascii="Times New Roman" w:hAnsi="Times New Roman" w:cs="Times New Roman"/>
          <w:sz w:val="20"/>
          <w:szCs w:val="20"/>
        </w:rPr>
        <w:t>, edited by A Dunaif, J.R. Givens, F.P. Haseltine, and G.R. Merriam, 377–84. Boston: Blackwell Scientific Publications</w:t>
      </w:r>
      <w:r w:rsidR="007D31D1">
        <w:rPr>
          <w:rFonts w:ascii="Times New Roman" w:hAnsi="Times New Roman" w:cs="Times New Roman"/>
          <w:sz w:val="20"/>
          <w:szCs w:val="20"/>
        </w:rPr>
        <w:t>, 1992.</w:t>
      </w:r>
    </w:p>
    <w:p w14:paraId="1C3CC793" w14:textId="671F4C47" w:rsidR="00A244C7" w:rsidRPr="0080521D" w:rsidRDefault="00A244C7" w:rsidP="00231AA2">
      <w:pPr>
        <w:spacing w:line="240" w:lineRule="auto"/>
        <w:ind w:hanging="480"/>
        <w:rPr>
          <w:rFonts w:ascii="Times New Roman" w:hAnsi="Times New Roman" w:cs="Times New Roman"/>
          <w:sz w:val="20"/>
          <w:szCs w:val="20"/>
        </w:rPr>
      </w:pPr>
    </w:p>
    <w:sectPr w:rsidR="00A244C7" w:rsidRPr="0080521D" w:rsidSect="00455385">
      <w:footerReference w:type="default" r:id="rId9"/>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8FEA43" w14:textId="77777777" w:rsidR="00455385" w:rsidRDefault="00455385" w:rsidP="00753A00">
      <w:pPr>
        <w:spacing w:after="0" w:line="240" w:lineRule="auto"/>
      </w:pPr>
      <w:r>
        <w:separator/>
      </w:r>
    </w:p>
  </w:endnote>
  <w:endnote w:type="continuationSeparator" w:id="0">
    <w:p w14:paraId="22EB82A1" w14:textId="77777777" w:rsidR="00455385" w:rsidRDefault="00455385" w:rsidP="00753A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inionMath-Regular">
    <w:altName w:val="Arial Unicode MS"/>
    <w:panose1 w:val="00000000000000000000"/>
    <w:charset w:val="86"/>
    <w:family w:val="auto"/>
    <w:notTrueType/>
    <w:pitch w:val="default"/>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B8C00C" w14:textId="11BB66BA" w:rsidR="001E5A57" w:rsidRPr="00335A2B" w:rsidRDefault="001E5A57">
    <w:pPr>
      <w:pStyle w:val="Footer"/>
      <w:jc w:val="center"/>
      <w:rPr>
        <w:rFonts w:ascii="Garamond" w:hAnsi="Garamond"/>
        <w:sz w:val="24"/>
        <w:szCs w:val="24"/>
      </w:rPr>
    </w:pPr>
  </w:p>
  <w:p w14:paraId="0995792A" w14:textId="77777777" w:rsidR="001E5A57" w:rsidRDefault="001E5A5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333A49" w14:textId="77777777" w:rsidR="00455385" w:rsidRDefault="00455385" w:rsidP="00753A00">
      <w:pPr>
        <w:spacing w:after="0" w:line="240" w:lineRule="auto"/>
      </w:pPr>
      <w:r>
        <w:separator/>
      </w:r>
    </w:p>
  </w:footnote>
  <w:footnote w:type="continuationSeparator" w:id="0">
    <w:p w14:paraId="307A47ED" w14:textId="77777777" w:rsidR="00455385" w:rsidRDefault="00455385" w:rsidP="00753A0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47A3F"/>
    <w:multiLevelType w:val="hybridMultilevel"/>
    <w:tmpl w:val="4DEA72FA"/>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0A603DBB"/>
    <w:multiLevelType w:val="hybridMultilevel"/>
    <w:tmpl w:val="D4685B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D64DF5"/>
    <w:multiLevelType w:val="hybridMultilevel"/>
    <w:tmpl w:val="D5281368"/>
    <w:lvl w:ilvl="0" w:tplc="04090001">
      <w:start w:val="1"/>
      <w:numFmt w:val="bullet"/>
      <w:lvlText w:val=""/>
      <w:lvlJc w:val="left"/>
      <w:pPr>
        <w:ind w:left="720" w:hanging="360"/>
      </w:pPr>
      <w:rPr>
        <w:rFonts w:ascii="Symbol" w:hAnsi="Symbol" w:hint="default"/>
      </w:rPr>
    </w:lvl>
    <w:lvl w:ilvl="1" w:tplc="0409000B">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1">
      <w:start w:val="1"/>
      <w:numFmt w:val="bullet"/>
      <w:lvlText w:val=""/>
      <w:lvlJc w:val="left"/>
      <w:pPr>
        <w:ind w:left="3600" w:hanging="360"/>
      </w:pPr>
      <w:rPr>
        <w:rFonts w:ascii="Symbol" w:hAnsi="Symbo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EA6607"/>
    <w:multiLevelType w:val="hybridMultilevel"/>
    <w:tmpl w:val="78C8164E"/>
    <w:lvl w:ilvl="0" w:tplc="04090001">
      <w:start w:val="1"/>
      <w:numFmt w:val="bullet"/>
      <w:lvlText w:val=""/>
      <w:lvlJc w:val="left"/>
      <w:pPr>
        <w:ind w:left="720" w:hanging="360"/>
      </w:pPr>
      <w:rPr>
        <w:rFonts w:ascii="Symbol" w:hAnsi="Symbol" w:hint="default"/>
      </w:rPr>
    </w:lvl>
    <w:lvl w:ilvl="1" w:tplc="0409000B">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3090BCB"/>
    <w:multiLevelType w:val="hybridMultilevel"/>
    <w:tmpl w:val="EFB0E8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56D62FC"/>
    <w:multiLevelType w:val="hybridMultilevel"/>
    <w:tmpl w:val="D5EA0A54"/>
    <w:lvl w:ilvl="0" w:tplc="BDE0C71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6E94A13"/>
    <w:multiLevelType w:val="hybridMultilevel"/>
    <w:tmpl w:val="1F1034B4"/>
    <w:lvl w:ilvl="0" w:tplc="D6865E58">
      <w:start w:val="700"/>
      <w:numFmt w:val="bullet"/>
      <w:lvlText w:val="-"/>
      <w:lvlJc w:val="left"/>
      <w:pPr>
        <w:ind w:left="720" w:hanging="360"/>
      </w:pPr>
      <w:rPr>
        <w:rFonts w:ascii="Garamond" w:eastAsiaTheme="minorHAnsi" w:hAnsi="Garamond"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8166144"/>
    <w:multiLevelType w:val="hybridMultilevel"/>
    <w:tmpl w:val="722EBD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1F46E24"/>
    <w:multiLevelType w:val="hybridMultilevel"/>
    <w:tmpl w:val="2910A058"/>
    <w:lvl w:ilvl="0" w:tplc="04090001">
      <w:start w:val="1"/>
      <w:numFmt w:val="bullet"/>
      <w:lvlText w:val=""/>
      <w:lvlJc w:val="left"/>
      <w:pPr>
        <w:ind w:left="4680" w:hanging="360"/>
      </w:pPr>
      <w:rPr>
        <w:rFonts w:ascii="Symbol" w:hAnsi="Symbol" w:hint="default"/>
      </w:rPr>
    </w:lvl>
    <w:lvl w:ilvl="1" w:tplc="0409000B">
      <w:start w:val="1"/>
      <w:numFmt w:val="bullet"/>
      <w:lvlText w:val=""/>
      <w:lvlJc w:val="left"/>
      <w:pPr>
        <w:ind w:left="5400" w:hanging="360"/>
      </w:pPr>
      <w:rPr>
        <w:rFonts w:ascii="Wingdings" w:hAnsi="Wingdings" w:hint="default"/>
      </w:rPr>
    </w:lvl>
    <w:lvl w:ilvl="2" w:tplc="04090005" w:tentative="1">
      <w:start w:val="1"/>
      <w:numFmt w:val="bullet"/>
      <w:lvlText w:val=""/>
      <w:lvlJc w:val="left"/>
      <w:pPr>
        <w:ind w:left="6120" w:hanging="360"/>
      </w:pPr>
      <w:rPr>
        <w:rFonts w:ascii="Wingdings" w:hAnsi="Wingdings" w:hint="default"/>
      </w:rPr>
    </w:lvl>
    <w:lvl w:ilvl="3" w:tplc="04090001" w:tentative="1">
      <w:start w:val="1"/>
      <w:numFmt w:val="bullet"/>
      <w:lvlText w:val=""/>
      <w:lvlJc w:val="left"/>
      <w:pPr>
        <w:ind w:left="6840" w:hanging="360"/>
      </w:pPr>
      <w:rPr>
        <w:rFonts w:ascii="Symbol" w:hAnsi="Symbol" w:hint="default"/>
      </w:rPr>
    </w:lvl>
    <w:lvl w:ilvl="4" w:tplc="04090003" w:tentative="1">
      <w:start w:val="1"/>
      <w:numFmt w:val="bullet"/>
      <w:lvlText w:val="o"/>
      <w:lvlJc w:val="left"/>
      <w:pPr>
        <w:ind w:left="7560" w:hanging="360"/>
      </w:pPr>
      <w:rPr>
        <w:rFonts w:ascii="Courier New" w:hAnsi="Courier New" w:cs="Courier New" w:hint="default"/>
      </w:rPr>
    </w:lvl>
    <w:lvl w:ilvl="5" w:tplc="04090005" w:tentative="1">
      <w:start w:val="1"/>
      <w:numFmt w:val="bullet"/>
      <w:lvlText w:val=""/>
      <w:lvlJc w:val="left"/>
      <w:pPr>
        <w:ind w:left="8280" w:hanging="360"/>
      </w:pPr>
      <w:rPr>
        <w:rFonts w:ascii="Wingdings" w:hAnsi="Wingdings" w:hint="default"/>
      </w:rPr>
    </w:lvl>
    <w:lvl w:ilvl="6" w:tplc="04090001" w:tentative="1">
      <w:start w:val="1"/>
      <w:numFmt w:val="bullet"/>
      <w:lvlText w:val=""/>
      <w:lvlJc w:val="left"/>
      <w:pPr>
        <w:ind w:left="9000" w:hanging="360"/>
      </w:pPr>
      <w:rPr>
        <w:rFonts w:ascii="Symbol" w:hAnsi="Symbol" w:hint="default"/>
      </w:rPr>
    </w:lvl>
    <w:lvl w:ilvl="7" w:tplc="04090003" w:tentative="1">
      <w:start w:val="1"/>
      <w:numFmt w:val="bullet"/>
      <w:lvlText w:val="o"/>
      <w:lvlJc w:val="left"/>
      <w:pPr>
        <w:ind w:left="9720" w:hanging="360"/>
      </w:pPr>
      <w:rPr>
        <w:rFonts w:ascii="Courier New" w:hAnsi="Courier New" w:cs="Courier New" w:hint="default"/>
      </w:rPr>
    </w:lvl>
    <w:lvl w:ilvl="8" w:tplc="04090005" w:tentative="1">
      <w:start w:val="1"/>
      <w:numFmt w:val="bullet"/>
      <w:lvlText w:val=""/>
      <w:lvlJc w:val="left"/>
      <w:pPr>
        <w:ind w:left="10440" w:hanging="360"/>
      </w:pPr>
      <w:rPr>
        <w:rFonts w:ascii="Wingdings" w:hAnsi="Wingdings" w:hint="default"/>
      </w:rPr>
    </w:lvl>
  </w:abstractNum>
  <w:abstractNum w:abstractNumId="9" w15:restartNumberingAfterBreak="0">
    <w:nsid w:val="47605F84"/>
    <w:multiLevelType w:val="hybridMultilevel"/>
    <w:tmpl w:val="486E30F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AA56CC9"/>
    <w:multiLevelType w:val="hybridMultilevel"/>
    <w:tmpl w:val="A17CA56A"/>
    <w:lvl w:ilvl="0" w:tplc="0409000B">
      <w:start w:val="1"/>
      <w:numFmt w:val="bullet"/>
      <w:lvlText w:val=""/>
      <w:lvlJc w:val="left"/>
      <w:pPr>
        <w:ind w:left="45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1D75F64"/>
    <w:multiLevelType w:val="hybridMultilevel"/>
    <w:tmpl w:val="9ECC87E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57CA3551"/>
    <w:multiLevelType w:val="hybridMultilevel"/>
    <w:tmpl w:val="7C7403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81C7D76"/>
    <w:multiLevelType w:val="hybridMultilevel"/>
    <w:tmpl w:val="BB6E0752"/>
    <w:lvl w:ilvl="0" w:tplc="0409000B">
      <w:start w:val="1"/>
      <w:numFmt w:val="bullet"/>
      <w:lvlText w:val=""/>
      <w:lvlJc w:val="left"/>
      <w:pPr>
        <w:ind w:left="720" w:hanging="360"/>
      </w:pPr>
      <w:rPr>
        <w:rFonts w:ascii="Wingdings" w:hAnsi="Wingdings" w:hint="default"/>
      </w:rPr>
    </w:lvl>
    <w:lvl w:ilvl="1" w:tplc="04090001">
      <w:start w:val="1"/>
      <w:numFmt w:val="bullet"/>
      <w:lvlText w:val=""/>
      <w:lvlJc w:val="left"/>
      <w:pPr>
        <w:ind w:left="1440" w:hanging="360"/>
      </w:pPr>
      <w:rPr>
        <w:rFonts w:ascii="Symbol" w:hAnsi="Symbol" w:hint="default"/>
      </w:rPr>
    </w:lvl>
    <w:lvl w:ilvl="2" w:tplc="04090001">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35B5D8B"/>
    <w:multiLevelType w:val="hybridMultilevel"/>
    <w:tmpl w:val="CDD85A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AE40355"/>
    <w:multiLevelType w:val="hybridMultilevel"/>
    <w:tmpl w:val="EEDCF7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B394637"/>
    <w:multiLevelType w:val="hybridMultilevel"/>
    <w:tmpl w:val="049403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E3C40E3"/>
    <w:multiLevelType w:val="hybridMultilevel"/>
    <w:tmpl w:val="1C9CF3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4F22BFD"/>
    <w:multiLevelType w:val="hybridMultilevel"/>
    <w:tmpl w:val="9C9803D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76351135"/>
    <w:multiLevelType w:val="hybridMultilevel"/>
    <w:tmpl w:val="3DDEDD80"/>
    <w:lvl w:ilvl="0" w:tplc="04090009">
      <w:start w:val="1"/>
      <w:numFmt w:val="bullet"/>
      <w:lvlText w:val=""/>
      <w:lvlJc w:val="left"/>
      <w:pPr>
        <w:ind w:left="1080" w:hanging="360"/>
      </w:pPr>
      <w:rPr>
        <w:rFonts w:ascii="Wingdings" w:hAnsi="Wingdings" w:hint="default"/>
      </w:rPr>
    </w:lvl>
    <w:lvl w:ilvl="1" w:tplc="0409000B">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79CA1901"/>
    <w:multiLevelType w:val="hybridMultilevel"/>
    <w:tmpl w:val="0E6A48C0"/>
    <w:lvl w:ilvl="0" w:tplc="A30A5AC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B7B6C2A"/>
    <w:multiLevelType w:val="hybridMultilevel"/>
    <w:tmpl w:val="9F143B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7DB42F56"/>
    <w:multiLevelType w:val="hybridMultilevel"/>
    <w:tmpl w:val="4E0C74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6126229">
    <w:abstractNumId w:val="3"/>
  </w:num>
  <w:num w:numId="2" w16cid:durableId="1769278232">
    <w:abstractNumId w:val="21"/>
  </w:num>
  <w:num w:numId="3" w16cid:durableId="2108186862">
    <w:abstractNumId w:val="9"/>
  </w:num>
  <w:num w:numId="4" w16cid:durableId="703747827">
    <w:abstractNumId w:val="11"/>
  </w:num>
  <w:num w:numId="5" w16cid:durableId="1303074724">
    <w:abstractNumId w:val="1"/>
  </w:num>
  <w:num w:numId="6" w16cid:durableId="956257358">
    <w:abstractNumId w:val="14"/>
  </w:num>
  <w:num w:numId="7" w16cid:durableId="661395142">
    <w:abstractNumId w:val="15"/>
  </w:num>
  <w:num w:numId="8" w16cid:durableId="1437365758">
    <w:abstractNumId w:val="7"/>
  </w:num>
  <w:num w:numId="9" w16cid:durableId="142966012">
    <w:abstractNumId w:val="4"/>
  </w:num>
  <w:num w:numId="10" w16cid:durableId="2036149027">
    <w:abstractNumId w:val="2"/>
  </w:num>
  <w:num w:numId="11" w16cid:durableId="680205484">
    <w:abstractNumId w:val="8"/>
  </w:num>
  <w:num w:numId="12" w16cid:durableId="2085566849">
    <w:abstractNumId w:val="0"/>
  </w:num>
  <w:num w:numId="13" w16cid:durableId="753747840">
    <w:abstractNumId w:val="19"/>
  </w:num>
  <w:num w:numId="14" w16cid:durableId="577832050">
    <w:abstractNumId w:val="16"/>
  </w:num>
  <w:num w:numId="15" w16cid:durableId="613825961">
    <w:abstractNumId w:val="10"/>
  </w:num>
  <w:num w:numId="16" w16cid:durableId="259534415">
    <w:abstractNumId w:val="13"/>
  </w:num>
  <w:num w:numId="17" w16cid:durableId="943609450">
    <w:abstractNumId w:val="17"/>
  </w:num>
  <w:num w:numId="18" w16cid:durableId="1111782616">
    <w:abstractNumId w:val="12"/>
  </w:num>
  <w:num w:numId="19" w16cid:durableId="317658685">
    <w:abstractNumId w:val="22"/>
  </w:num>
  <w:num w:numId="20" w16cid:durableId="1090812437">
    <w:abstractNumId w:val="6"/>
  </w:num>
  <w:num w:numId="21" w16cid:durableId="790444722">
    <w:abstractNumId w:val="18"/>
  </w:num>
  <w:num w:numId="22" w16cid:durableId="1806579022">
    <w:abstractNumId w:val="20"/>
  </w:num>
  <w:num w:numId="23" w16cid:durableId="210221395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fr-FR" w:vendorID="64" w:dllVersion="0" w:nlCheck="1" w:checkStyle="0"/>
  <w:proofState w:spelling="clean" w:grammar="clean"/>
  <w:defaultTabStop w:val="706"/>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TEzsjSwMDA0NLY0szBQ0lEKTi0uzszPAykwNKsFAD4/eOEtAAAA"/>
  </w:docVars>
  <w:rsids>
    <w:rsidRoot w:val="00753A00"/>
    <w:rsid w:val="00000C82"/>
    <w:rsid w:val="00000E79"/>
    <w:rsid w:val="00002737"/>
    <w:rsid w:val="000029E1"/>
    <w:rsid w:val="000037B6"/>
    <w:rsid w:val="00003B42"/>
    <w:rsid w:val="00004215"/>
    <w:rsid w:val="00005B52"/>
    <w:rsid w:val="00006D23"/>
    <w:rsid w:val="0000704E"/>
    <w:rsid w:val="000073E9"/>
    <w:rsid w:val="0001080F"/>
    <w:rsid w:val="00010875"/>
    <w:rsid w:val="00011A73"/>
    <w:rsid w:val="00011E3B"/>
    <w:rsid w:val="000122FA"/>
    <w:rsid w:val="000128ED"/>
    <w:rsid w:val="000132F2"/>
    <w:rsid w:val="0001333B"/>
    <w:rsid w:val="00013548"/>
    <w:rsid w:val="00013581"/>
    <w:rsid w:val="00014015"/>
    <w:rsid w:val="0001424D"/>
    <w:rsid w:val="00014A75"/>
    <w:rsid w:val="000153BE"/>
    <w:rsid w:val="000156A4"/>
    <w:rsid w:val="0001685A"/>
    <w:rsid w:val="0001776F"/>
    <w:rsid w:val="000178EC"/>
    <w:rsid w:val="00017C44"/>
    <w:rsid w:val="0002014E"/>
    <w:rsid w:val="00020183"/>
    <w:rsid w:val="0002145A"/>
    <w:rsid w:val="00021D5A"/>
    <w:rsid w:val="00021F19"/>
    <w:rsid w:val="00021F26"/>
    <w:rsid w:val="000224A3"/>
    <w:rsid w:val="000243B7"/>
    <w:rsid w:val="00024759"/>
    <w:rsid w:val="00024A48"/>
    <w:rsid w:val="00026177"/>
    <w:rsid w:val="000315AF"/>
    <w:rsid w:val="0003290A"/>
    <w:rsid w:val="000331FA"/>
    <w:rsid w:val="0003386F"/>
    <w:rsid w:val="00034B87"/>
    <w:rsid w:val="0003551E"/>
    <w:rsid w:val="00035F37"/>
    <w:rsid w:val="0003776E"/>
    <w:rsid w:val="0004031D"/>
    <w:rsid w:val="00040F00"/>
    <w:rsid w:val="000411C4"/>
    <w:rsid w:val="00041B71"/>
    <w:rsid w:val="00041D7E"/>
    <w:rsid w:val="0004217B"/>
    <w:rsid w:val="0004228F"/>
    <w:rsid w:val="000444AB"/>
    <w:rsid w:val="000453BB"/>
    <w:rsid w:val="000455AE"/>
    <w:rsid w:val="00046A9C"/>
    <w:rsid w:val="00046CA6"/>
    <w:rsid w:val="00046CB1"/>
    <w:rsid w:val="00046E7D"/>
    <w:rsid w:val="00050FEF"/>
    <w:rsid w:val="000510EC"/>
    <w:rsid w:val="0005190E"/>
    <w:rsid w:val="00052879"/>
    <w:rsid w:val="00052B03"/>
    <w:rsid w:val="00053896"/>
    <w:rsid w:val="00053971"/>
    <w:rsid w:val="00053E38"/>
    <w:rsid w:val="00053E80"/>
    <w:rsid w:val="000544C5"/>
    <w:rsid w:val="00054BDA"/>
    <w:rsid w:val="00054FA4"/>
    <w:rsid w:val="00055486"/>
    <w:rsid w:val="00055CD8"/>
    <w:rsid w:val="00055D1B"/>
    <w:rsid w:val="00056A49"/>
    <w:rsid w:val="0006060E"/>
    <w:rsid w:val="00060FC4"/>
    <w:rsid w:val="000613AF"/>
    <w:rsid w:val="00061934"/>
    <w:rsid w:val="00062976"/>
    <w:rsid w:val="0006466C"/>
    <w:rsid w:val="000654BA"/>
    <w:rsid w:val="000656F4"/>
    <w:rsid w:val="00066736"/>
    <w:rsid w:val="0006701B"/>
    <w:rsid w:val="000670AC"/>
    <w:rsid w:val="00067719"/>
    <w:rsid w:val="00067BC0"/>
    <w:rsid w:val="000701C0"/>
    <w:rsid w:val="000703B8"/>
    <w:rsid w:val="00071719"/>
    <w:rsid w:val="00071B54"/>
    <w:rsid w:val="00071C62"/>
    <w:rsid w:val="00071D8E"/>
    <w:rsid w:val="00071EB1"/>
    <w:rsid w:val="00072DB4"/>
    <w:rsid w:val="00073180"/>
    <w:rsid w:val="00073618"/>
    <w:rsid w:val="00073C2B"/>
    <w:rsid w:val="00074BBE"/>
    <w:rsid w:val="00074C2F"/>
    <w:rsid w:val="00074CF0"/>
    <w:rsid w:val="000751F1"/>
    <w:rsid w:val="0007534F"/>
    <w:rsid w:val="000771B8"/>
    <w:rsid w:val="00080C42"/>
    <w:rsid w:val="00080E02"/>
    <w:rsid w:val="000818EC"/>
    <w:rsid w:val="0008219C"/>
    <w:rsid w:val="00082284"/>
    <w:rsid w:val="0008278E"/>
    <w:rsid w:val="00082947"/>
    <w:rsid w:val="00083B6A"/>
    <w:rsid w:val="00084453"/>
    <w:rsid w:val="0008495B"/>
    <w:rsid w:val="00084C39"/>
    <w:rsid w:val="0008589C"/>
    <w:rsid w:val="00085C60"/>
    <w:rsid w:val="00085CEF"/>
    <w:rsid w:val="00086A2A"/>
    <w:rsid w:val="00092920"/>
    <w:rsid w:val="000929B4"/>
    <w:rsid w:val="000934D5"/>
    <w:rsid w:val="000936FD"/>
    <w:rsid w:val="00093B20"/>
    <w:rsid w:val="00093B5C"/>
    <w:rsid w:val="00093F28"/>
    <w:rsid w:val="000941E0"/>
    <w:rsid w:val="000948C9"/>
    <w:rsid w:val="00094AC4"/>
    <w:rsid w:val="0009586F"/>
    <w:rsid w:val="00096092"/>
    <w:rsid w:val="00096BEF"/>
    <w:rsid w:val="00097F2A"/>
    <w:rsid w:val="00097F8B"/>
    <w:rsid w:val="000A0B99"/>
    <w:rsid w:val="000A0C48"/>
    <w:rsid w:val="000A164E"/>
    <w:rsid w:val="000A1E0E"/>
    <w:rsid w:val="000A2369"/>
    <w:rsid w:val="000A4169"/>
    <w:rsid w:val="000A6046"/>
    <w:rsid w:val="000A61B9"/>
    <w:rsid w:val="000A7715"/>
    <w:rsid w:val="000A7E93"/>
    <w:rsid w:val="000A7EDE"/>
    <w:rsid w:val="000B0D68"/>
    <w:rsid w:val="000B1552"/>
    <w:rsid w:val="000B1A43"/>
    <w:rsid w:val="000B1BC7"/>
    <w:rsid w:val="000B1DBC"/>
    <w:rsid w:val="000B36C3"/>
    <w:rsid w:val="000B3EDA"/>
    <w:rsid w:val="000B3F8C"/>
    <w:rsid w:val="000B442E"/>
    <w:rsid w:val="000B4E29"/>
    <w:rsid w:val="000B523E"/>
    <w:rsid w:val="000B6AEB"/>
    <w:rsid w:val="000B75DD"/>
    <w:rsid w:val="000B7C95"/>
    <w:rsid w:val="000C0E06"/>
    <w:rsid w:val="000C2E3D"/>
    <w:rsid w:val="000C30A8"/>
    <w:rsid w:val="000C3D84"/>
    <w:rsid w:val="000C41A7"/>
    <w:rsid w:val="000C4E02"/>
    <w:rsid w:val="000C4FDC"/>
    <w:rsid w:val="000C50FD"/>
    <w:rsid w:val="000C5C87"/>
    <w:rsid w:val="000C5F82"/>
    <w:rsid w:val="000C7380"/>
    <w:rsid w:val="000C7466"/>
    <w:rsid w:val="000C78AD"/>
    <w:rsid w:val="000C79A7"/>
    <w:rsid w:val="000C7B11"/>
    <w:rsid w:val="000C7B7F"/>
    <w:rsid w:val="000D0066"/>
    <w:rsid w:val="000D0791"/>
    <w:rsid w:val="000D2D79"/>
    <w:rsid w:val="000D33BA"/>
    <w:rsid w:val="000D3ACA"/>
    <w:rsid w:val="000D3EC3"/>
    <w:rsid w:val="000D4050"/>
    <w:rsid w:val="000D47B5"/>
    <w:rsid w:val="000D5C01"/>
    <w:rsid w:val="000D64E8"/>
    <w:rsid w:val="000D6C90"/>
    <w:rsid w:val="000D756D"/>
    <w:rsid w:val="000D76F7"/>
    <w:rsid w:val="000E0597"/>
    <w:rsid w:val="000E15EC"/>
    <w:rsid w:val="000E1F14"/>
    <w:rsid w:val="000E2013"/>
    <w:rsid w:val="000E4CE1"/>
    <w:rsid w:val="000E4FC7"/>
    <w:rsid w:val="000E502A"/>
    <w:rsid w:val="000E5102"/>
    <w:rsid w:val="000E535A"/>
    <w:rsid w:val="000E53F6"/>
    <w:rsid w:val="000E545A"/>
    <w:rsid w:val="000E5877"/>
    <w:rsid w:val="000E5AC9"/>
    <w:rsid w:val="000E7C72"/>
    <w:rsid w:val="000F01EB"/>
    <w:rsid w:val="000F0844"/>
    <w:rsid w:val="000F1A72"/>
    <w:rsid w:val="000F1D76"/>
    <w:rsid w:val="000F20ED"/>
    <w:rsid w:val="000F555C"/>
    <w:rsid w:val="000F651D"/>
    <w:rsid w:val="000F7704"/>
    <w:rsid w:val="000F79E4"/>
    <w:rsid w:val="001000BA"/>
    <w:rsid w:val="00100D5D"/>
    <w:rsid w:val="001020A6"/>
    <w:rsid w:val="0010217C"/>
    <w:rsid w:val="0010264F"/>
    <w:rsid w:val="00102A40"/>
    <w:rsid w:val="001033E2"/>
    <w:rsid w:val="00104141"/>
    <w:rsid w:val="001042FF"/>
    <w:rsid w:val="001043B9"/>
    <w:rsid w:val="00104AB3"/>
    <w:rsid w:val="0010508E"/>
    <w:rsid w:val="001051C1"/>
    <w:rsid w:val="0010530E"/>
    <w:rsid w:val="0010616F"/>
    <w:rsid w:val="00106689"/>
    <w:rsid w:val="0010670E"/>
    <w:rsid w:val="0011020B"/>
    <w:rsid w:val="00112445"/>
    <w:rsid w:val="00112DF9"/>
    <w:rsid w:val="00113022"/>
    <w:rsid w:val="00113188"/>
    <w:rsid w:val="001136C0"/>
    <w:rsid w:val="0011472A"/>
    <w:rsid w:val="001158E0"/>
    <w:rsid w:val="00115CD3"/>
    <w:rsid w:val="0011628D"/>
    <w:rsid w:val="0011644B"/>
    <w:rsid w:val="00116BA4"/>
    <w:rsid w:val="001175B0"/>
    <w:rsid w:val="00117780"/>
    <w:rsid w:val="00120C47"/>
    <w:rsid w:val="001213BE"/>
    <w:rsid w:val="00121626"/>
    <w:rsid w:val="001217AC"/>
    <w:rsid w:val="00124D86"/>
    <w:rsid w:val="0012658E"/>
    <w:rsid w:val="00126FAC"/>
    <w:rsid w:val="001274D9"/>
    <w:rsid w:val="001303E5"/>
    <w:rsid w:val="00130CEA"/>
    <w:rsid w:val="00131564"/>
    <w:rsid w:val="0013182E"/>
    <w:rsid w:val="00131D36"/>
    <w:rsid w:val="00131E90"/>
    <w:rsid w:val="00131EBA"/>
    <w:rsid w:val="00131FB2"/>
    <w:rsid w:val="0013299B"/>
    <w:rsid w:val="00132C74"/>
    <w:rsid w:val="0013437D"/>
    <w:rsid w:val="00134471"/>
    <w:rsid w:val="00134E05"/>
    <w:rsid w:val="00134E6B"/>
    <w:rsid w:val="00134FAA"/>
    <w:rsid w:val="00136061"/>
    <w:rsid w:val="001369EB"/>
    <w:rsid w:val="00136D14"/>
    <w:rsid w:val="00137A19"/>
    <w:rsid w:val="0014046A"/>
    <w:rsid w:val="00140825"/>
    <w:rsid w:val="00140963"/>
    <w:rsid w:val="0014202A"/>
    <w:rsid w:val="00142481"/>
    <w:rsid w:val="00143D1C"/>
    <w:rsid w:val="00143FF0"/>
    <w:rsid w:val="001447B2"/>
    <w:rsid w:val="00145B4C"/>
    <w:rsid w:val="00147410"/>
    <w:rsid w:val="00147EF8"/>
    <w:rsid w:val="001502A3"/>
    <w:rsid w:val="00150DB3"/>
    <w:rsid w:val="0015225B"/>
    <w:rsid w:val="00152D88"/>
    <w:rsid w:val="00153771"/>
    <w:rsid w:val="00153BBA"/>
    <w:rsid w:val="00154762"/>
    <w:rsid w:val="00154EFC"/>
    <w:rsid w:val="00155453"/>
    <w:rsid w:val="00155E03"/>
    <w:rsid w:val="00157187"/>
    <w:rsid w:val="00161273"/>
    <w:rsid w:val="0016133B"/>
    <w:rsid w:val="00161C6B"/>
    <w:rsid w:val="00162C61"/>
    <w:rsid w:val="00163EF8"/>
    <w:rsid w:val="00163F6C"/>
    <w:rsid w:val="00165050"/>
    <w:rsid w:val="00165D34"/>
    <w:rsid w:val="001660EB"/>
    <w:rsid w:val="00166445"/>
    <w:rsid w:val="00167569"/>
    <w:rsid w:val="00170082"/>
    <w:rsid w:val="00170C16"/>
    <w:rsid w:val="00171113"/>
    <w:rsid w:val="0017206C"/>
    <w:rsid w:val="001736DB"/>
    <w:rsid w:val="001737E5"/>
    <w:rsid w:val="00173AEE"/>
    <w:rsid w:val="00174436"/>
    <w:rsid w:val="001745C9"/>
    <w:rsid w:val="00174830"/>
    <w:rsid w:val="00175200"/>
    <w:rsid w:val="001756BD"/>
    <w:rsid w:val="00175D8F"/>
    <w:rsid w:val="001764EB"/>
    <w:rsid w:val="001766CA"/>
    <w:rsid w:val="0017673D"/>
    <w:rsid w:val="00176828"/>
    <w:rsid w:val="001769B9"/>
    <w:rsid w:val="00176BB9"/>
    <w:rsid w:val="00176EC0"/>
    <w:rsid w:val="00177A6A"/>
    <w:rsid w:val="00180179"/>
    <w:rsid w:val="001803F7"/>
    <w:rsid w:val="00180A59"/>
    <w:rsid w:val="00180AFF"/>
    <w:rsid w:val="00180B16"/>
    <w:rsid w:val="00180BC4"/>
    <w:rsid w:val="001817EA"/>
    <w:rsid w:val="00182015"/>
    <w:rsid w:val="00182849"/>
    <w:rsid w:val="00182C29"/>
    <w:rsid w:val="00183304"/>
    <w:rsid w:val="001834E9"/>
    <w:rsid w:val="001838E3"/>
    <w:rsid w:val="00183EFD"/>
    <w:rsid w:val="00184099"/>
    <w:rsid w:val="001842EA"/>
    <w:rsid w:val="0018503C"/>
    <w:rsid w:val="001862DD"/>
    <w:rsid w:val="001863B9"/>
    <w:rsid w:val="00186807"/>
    <w:rsid w:val="00186AA5"/>
    <w:rsid w:val="00186CDA"/>
    <w:rsid w:val="00187CA9"/>
    <w:rsid w:val="0019003A"/>
    <w:rsid w:val="001914B3"/>
    <w:rsid w:val="00192221"/>
    <w:rsid w:val="00192928"/>
    <w:rsid w:val="001943D4"/>
    <w:rsid w:val="00194ADF"/>
    <w:rsid w:val="00194B5E"/>
    <w:rsid w:val="00194D50"/>
    <w:rsid w:val="001951D0"/>
    <w:rsid w:val="00195B50"/>
    <w:rsid w:val="00195D21"/>
    <w:rsid w:val="0019669B"/>
    <w:rsid w:val="00197A1C"/>
    <w:rsid w:val="001A0271"/>
    <w:rsid w:val="001A082B"/>
    <w:rsid w:val="001A1A26"/>
    <w:rsid w:val="001A35D9"/>
    <w:rsid w:val="001A3B14"/>
    <w:rsid w:val="001A4728"/>
    <w:rsid w:val="001A5083"/>
    <w:rsid w:val="001A6A1C"/>
    <w:rsid w:val="001A74EA"/>
    <w:rsid w:val="001A7BDA"/>
    <w:rsid w:val="001B04ED"/>
    <w:rsid w:val="001B090B"/>
    <w:rsid w:val="001B128A"/>
    <w:rsid w:val="001B1ABD"/>
    <w:rsid w:val="001B21D8"/>
    <w:rsid w:val="001B38FE"/>
    <w:rsid w:val="001B3A42"/>
    <w:rsid w:val="001B434C"/>
    <w:rsid w:val="001B7B29"/>
    <w:rsid w:val="001C135C"/>
    <w:rsid w:val="001C1639"/>
    <w:rsid w:val="001C26DE"/>
    <w:rsid w:val="001C2DA5"/>
    <w:rsid w:val="001C318E"/>
    <w:rsid w:val="001C3F0A"/>
    <w:rsid w:val="001C4447"/>
    <w:rsid w:val="001C4A00"/>
    <w:rsid w:val="001C4AE4"/>
    <w:rsid w:val="001C58B9"/>
    <w:rsid w:val="001C5DF9"/>
    <w:rsid w:val="001C79FE"/>
    <w:rsid w:val="001D08E3"/>
    <w:rsid w:val="001D0B3C"/>
    <w:rsid w:val="001D0C80"/>
    <w:rsid w:val="001D0FD8"/>
    <w:rsid w:val="001D1053"/>
    <w:rsid w:val="001D19E6"/>
    <w:rsid w:val="001D1B39"/>
    <w:rsid w:val="001D1D6B"/>
    <w:rsid w:val="001D1E28"/>
    <w:rsid w:val="001D2B58"/>
    <w:rsid w:val="001D3C42"/>
    <w:rsid w:val="001D44A2"/>
    <w:rsid w:val="001D4851"/>
    <w:rsid w:val="001D4E0C"/>
    <w:rsid w:val="001D5E99"/>
    <w:rsid w:val="001D659F"/>
    <w:rsid w:val="001D66EA"/>
    <w:rsid w:val="001D66EB"/>
    <w:rsid w:val="001D689B"/>
    <w:rsid w:val="001D7300"/>
    <w:rsid w:val="001E001E"/>
    <w:rsid w:val="001E08A4"/>
    <w:rsid w:val="001E0D1B"/>
    <w:rsid w:val="001E1636"/>
    <w:rsid w:val="001E2003"/>
    <w:rsid w:val="001E2E95"/>
    <w:rsid w:val="001E3F40"/>
    <w:rsid w:val="001E4AB9"/>
    <w:rsid w:val="001E4B9E"/>
    <w:rsid w:val="001E5286"/>
    <w:rsid w:val="001E5994"/>
    <w:rsid w:val="001E5A57"/>
    <w:rsid w:val="001E689D"/>
    <w:rsid w:val="001E69E4"/>
    <w:rsid w:val="001E732F"/>
    <w:rsid w:val="001E77EF"/>
    <w:rsid w:val="001F07B2"/>
    <w:rsid w:val="001F0DDE"/>
    <w:rsid w:val="001F17DC"/>
    <w:rsid w:val="001F24B3"/>
    <w:rsid w:val="001F271B"/>
    <w:rsid w:val="001F33FA"/>
    <w:rsid w:val="001F3C88"/>
    <w:rsid w:val="001F409D"/>
    <w:rsid w:val="001F4A19"/>
    <w:rsid w:val="001F50CC"/>
    <w:rsid w:val="001F5DC4"/>
    <w:rsid w:val="001F611A"/>
    <w:rsid w:val="001F6E6B"/>
    <w:rsid w:val="001F6ECB"/>
    <w:rsid w:val="001F6F9C"/>
    <w:rsid w:val="001F7766"/>
    <w:rsid w:val="002001B9"/>
    <w:rsid w:val="002004C4"/>
    <w:rsid w:val="002007E5"/>
    <w:rsid w:val="00200AA7"/>
    <w:rsid w:val="00200C8B"/>
    <w:rsid w:val="0020112D"/>
    <w:rsid w:val="0020152A"/>
    <w:rsid w:val="00201B29"/>
    <w:rsid w:val="00203982"/>
    <w:rsid w:val="00204552"/>
    <w:rsid w:val="0020460D"/>
    <w:rsid w:val="00204740"/>
    <w:rsid w:val="0020499A"/>
    <w:rsid w:val="00205CF9"/>
    <w:rsid w:val="00205D38"/>
    <w:rsid w:val="00205D5C"/>
    <w:rsid w:val="00206114"/>
    <w:rsid w:val="00206360"/>
    <w:rsid w:val="002069CC"/>
    <w:rsid w:val="00206C3F"/>
    <w:rsid w:val="00206D8E"/>
    <w:rsid w:val="002078E0"/>
    <w:rsid w:val="00207E22"/>
    <w:rsid w:val="0021078A"/>
    <w:rsid w:val="00210D08"/>
    <w:rsid w:val="00211B9B"/>
    <w:rsid w:val="00211E08"/>
    <w:rsid w:val="0021223D"/>
    <w:rsid w:val="00212AE6"/>
    <w:rsid w:val="00213611"/>
    <w:rsid w:val="00213C01"/>
    <w:rsid w:val="00217100"/>
    <w:rsid w:val="0021731E"/>
    <w:rsid w:val="002203F1"/>
    <w:rsid w:val="002208B1"/>
    <w:rsid w:val="002216A6"/>
    <w:rsid w:val="002221BD"/>
    <w:rsid w:val="00223828"/>
    <w:rsid w:val="00225214"/>
    <w:rsid w:val="002257BC"/>
    <w:rsid w:val="00225A00"/>
    <w:rsid w:val="00225C20"/>
    <w:rsid w:val="00225DC6"/>
    <w:rsid w:val="002272CB"/>
    <w:rsid w:val="00230522"/>
    <w:rsid w:val="00231755"/>
    <w:rsid w:val="00231AA2"/>
    <w:rsid w:val="00231B28"/>
    <w:rsid w:val="00231FE9"/>
    <w:rsid w:val="0023229A"/>
    <w:rsid w:val="00232BA8"/>
    <w:rsid w:val="00232E23"/>
    <w:rsid w:val="00233097"/>
    <w:rsid w:val="00234D53"/>
    <w:rsid w:val="00236591"/>
    <w:rsid w:val="00237355"/>
    <w:rsid w:val="002379ED"/>
    <w:rsid w:val="00240EFE"/>
    <w:rsid w:val="002415F7"/>
    <w:rsid w:val="002421F0"/>
    <w:rsid w:val="00242296"/>
    <w:rsid w:val="0024299E"/>
    <w:rsid w:val="00242B6A"/>
    <w:rsid w:val="00243359"/>
    <w:rsid w:val="0024377B"/>
    <w:rsid w:val="00243C36"/>
    <w:rsid w:val="00244BFA"/>
    <w:rsid w:val="002456F1"/>
    <w:rsid w:val="00245D4D"/>
    <w:rsid w:val="0024762D"/>
    <w:rsid w:val="0025048A"/>
    <w:rsid w:val="002505A2"/>
    <w:rsid w:val="00250BFB"/>
    <w:rsid w:val="00250FE7"/>
    <w:rsid w:val="002527E9"/>
    <w:rsid w:val="00253279"/>
    <w:rsid w:val="00254702"/>
    <w:rsid w:val="002564D9"/>
    <w:rsid w:val="00257985"/>
    <w:rsid w:val="0026136F"/>
    <w:rsid w:val="00262A48"/>
    <w:rsid w:val="00262BC5"/>
    <w:rsid w:val="00263188"/>
    <w:rsid w:val="002647D6"/>
    <w:rsid w:val="00265AE9"/>
    <w:rsid w:val="002660D9"/>
    <w:rsid w:val="00267386"/>
    <w:rsid w:val="002676B4"/>
    <w:rsid w:val="00267B60"/>
    <w:rsid w:val="00267D5C"/>
    <w:rsid w:val="00270079"/>
    <w:rsid w:val="00271214"/>
    <w:rsid w:val="00272075"/>
    <w:rsid w:val="00272AE0"/>
    <w:rsid w:val="00272C45"/>
    <w:rsid w:val="0027560B"/>
    <w:rsid w:val="00276CAD"/>
    <w:rsid w:val="0027739F"/>
    <w:rsid w:val="002775A8"/>
    <w:rsid w:val="002775E0"/>
    <w:rsid w:val="00277AC3"/>
    <w:rsid w:val="00277C22"/>
    <w:rsid w:val="002800DC"/>
    <w:rsid w:val="00280471"/>
    <w:rsid w:val="0028064B"/>
    <w:rsid w:val="00281FE2"/>
    <w:rsid w:val="002820AC"/>
    <w:rsid w:val="00283120"/>
    <w:rsid w:val="0028448A"/>
    <w:rsid w:val="00287635"/>
    <w:rsid w:val="00290058"/>
    <w:rsid w:val="00290CAB"/>
    <w:rsid w:val="002916B0"/>
    <w:rsid w:val="00292307"/>
    <w:rsid w:val="00292991"/>
    <w:rsid w:val="00292C09"/>
    <w:rsid w:val="00292EC9"/>
    <w:rsid w:val="00293065"/>
    <w:rsid w:val="00293AD1"/>
    <w:rsid w:val="002941D0"/>
    <w:rsid w:val="0029420E"/>
    <w:rsid w:val="00294689"/>
    <w:rsid w:val="00294B0A"/>
    <w:rsid w:val="00296003"/>
    <w:rsid w:val="00296634"/>
    <w:rsid w:val="00296E44"/>
    <w:rsid w:val="00297400"/>
    <w:rsid w:val="002974D2"/>
    <w:rsid w:val="0029781A"/>
    <w:rsid w:val="00297890"/>
    <w:rsid w:val="00297CC2"/>
    <w:rsid w:val="002A0707"/>
    <w:rsid w:val="002A09D7"/>
    <w:rsid w:val="002A0AF7"/>
    <w:rsid w:val="002A0D2E"/>
    <w:rsid w:val="002A1028"/>
    <w:rsid w:val="002A17E6"/>
    <w:rsid w:val="002A2237"/>
    <w:rsid w:val="002A2745"/>
    <w:rsid w:val="002A32AB"/>
    <w:rsid w:val="002A3488"/>
    <w:rsid w:val="002A3BA1"/>
    <w:rsid w:val="002A4A5E"/>
    <w:rsid w:val="002A4ECE"/>
    <w:rsid w:val="002A525D"/>
    <w:rsid w:val="002A57C0"/>
    <w:rsid w:val="002A6393"/>
    <w:rsid w:val="002A6C00"/>
    <w:rsid w:val="002A727E"/>
    <w:rsid w:val="002A74E3"/>
    <w:rsid w:val="002B0BAC"/>
    <w:rsid w:val="002B0C02"/>
    <w:rsid w:val="002B0C19"/>
    <w:rsid w:val="002B1D71"/>
    <w:rsid w:val="002B2376"/>
    <w:rsid w:val="002B2DAD"/>
    <w:rsid w:val="002B3320"/>
    <w:rsid w:val="002B49C3"/>
    <w:rsid w:val="002B4E49"/>
    <w:rsid w:val="002B51A9"/>
    <w:rsid w:val="002B5773"/>
    <w:rsid w:val="002B589A"/>
    <w:rsid w:val="002B5E09"/>
    <w:rsid w:val="002B625C"/>
    <w:rsid w:val="002B63E8"/>
    <w:rsid w:val="002B66D3"/>
    <w:rsid w:val="002B751E"/>
    <w:rsid w:val="002B7B6E"/>
    <w:rsid w:val="002B7ECC"/>
    <w:rsid w:val="002B7FBB"/>
    <w:rsid w:val="002C028A"/>
    <w:rsid w:val="002C0812"/>
    <w:rsid w:val="002C0DDA"/>
    <w:rsid w:val="002C1788"/>
    <w:rsid w:val="002C185D"/>
    <w:rsid w:val="002C1DF4"/>
    <w:rsid w:val="002C1E3B"/>
    <w:rsid w:val="002C2117"/>
    <w:rsid w:val="002C2DD8"/>
    <w:rsid w:val="002C39BB"/>
    <w:rsid w:val="002C3A6E"/>
    <w:rsid w:val="002C46B7"/>
    <w:rsid w:val="002C697A"/>
    <w:rsid w:val="002C745B"/>
    <w:rsid w:val="002C74A9"/>
    <w:rsid w:val="002C755A"/>
    <w:rsid w:val="002D1A28"/>
    <w:rsid w:val="002D1D09"/>
    <w:rsid w:val="002D2A46"/>
    <w:rsid w:val="002D3044"/>
    <w:rsid w:val="002D4422"/>
    <w:rsid w:val="002D4EAD"/>
    <w:rsid w:val="002D4FBD"/>
    <w:rsid w:val="002D541C"/>
    <w:rsid w:val="002D581E"/>
    <w:rsid w:val="002D7BF1"/>
    <w:rsid w:val="002D7C2F"/>
    <w:rsid w:val="002E02ED"/>
    <w:rsid w:val="002E03E6"/>
    <w:rsid w:val="002E10F2"/>
    <w:rsid w:val="002E1252"/>
    <w:rsid w:val="002E12A7"/>
    <w:rsid w:val="002E14C1"/>
    <w:rsid w:val="002E1F93"/>
    <w:rsid w:val="002E3206"/>
    <w:rsid w:val="002E3866"/>
    <w:rsid w:val="002E45E4"/>
    <w:rsid w:val="002E49A5"/>
    <w:rsid w:val="002E68D8"/>
    <w:rsid w:val="002E6BA2"/>
    <w:rsid w:val="002E744A"/>
    <w:rsid w:val="002E76A6"/>
    <w:rsid w:val="002E79BA"/>
    <w:rsid w:val="002E7BFC"/>
    <w:rsid w:val="002F0CC3"/>
    <w:rsid w:val="002F1ED4"/>
    <w:rsid w:val="002F292C"/>
    <w:rsid w:val="002F2964"/>
    <w:rsid w:val="002F2BB1"/>
    <w:rsid w:val="002F31B6"/>
    <w:rsid w:val="002F340A"/>
    <w:rsid w:val="002F3937"/>
    <w:rsid w:val="002F489D"/>
    <w:rsid w:val="002F5A04"/>
    <w:rsid w:val="002F5D85"/>
    <w:rsid w:val="002F5DA5"/>
    <w:rsid w:val="002F6A47"/>
    <w:rsid w:val="002F7018"/>
    <w:rsid w:val="00300380"/>
    <w:rsid w:val="003017C2"/>
    <w:rsid w:val="00301D03"/>
    <w:rsid w:val="003026FC"/>
    <w:rsid w:val="00302776"/>
    <w:rsid w:val="00302910"/>
    <w:rsid w:val="00302E7F"/>
    <w:rsid w:val="0030392B"/>
    <w:rsid w:val="0030432D"/>
    <w:rsid w:val="0030488C"/>
    <w:rsid w:val="00304C16"/>
    <w:rsid w:val="00306C91"/>
    <w:rsid w:val="00306F63"/>
    <w:rsid w:val="0030710F"/>
    <w:rsid w:val="00307342"/>
    <w:rsid w:val="00307EE8"/>
    <w:rsid w:val="0031133E"/>
    <w:rsid w:val="00312D08"/>
    <w:rsid w:val="00312F15"/>
    <w:rsid w:val="00313267"/>
    <w:rsid w:val="00314879"/>
    <w:rsid w:val="00314CB6"/>
    <w:rsid w:val="00314DF1"/>
    <w:rsid w:val="00315299"/>
    <w:rsid w:val="0031607E"/>
    <w:rsid w:val="003162C4"/>
    <w:rsid w:val="00316E2E"/>
    <w:rsid w:val="003179A7"/>
    <w:rsid w:val="00320358"/>
    <w:rsid w:val="00320A98"/>
    <w:rsid w:val="00320AC0"/>
    <w:rsid w:val="00320EC7"/>
    <w:rsid w:val="00322EC8"/>
    <w:rsid w:val="0032360A"/>
    <w:rsid w:val="00326492"/>
    <w:rsid w:val="00326616"/>
    <w:rsid w:val="00327490"/>
    <w:rsid w:val="00327AAB"/>
    <w:rsid w:val="00330962"/>
    <w:rsid w:val="00330C8F"/>
    <w:rsid w:val="00330CA9"/>
    <w:rsid w:val="00331371"/>
    <w:rsid w:val="0033271B"/>
    <w:rsid w:val="00333C73"/>
    <w:rsid w:val="003349B5"/>
    <w:rsid w:val="00335A2B"/>
    <w:rsid w:val="00335CD0"/>
    <w:rsid w:val="00335D14"/>
    <w:rsid w:val="00335FAB"/>
    <w:rsid w:val="0033777B"/>
    <w:rsid w:val="00341276"/>
    <w:rsid w:val="003416D6"/>
    <w:rsid w:val="003422F1"/>
    <w:rsid w:val="003445FF"/>
    <w:rsid w:val="00344F97"/>
    <w:rsid w:val="003454B2"/>
    <w:rsid w:val="003465F9"/>
    <w:rsid w:val="00347EF7"/>
    <w:rsid w:val="00350367"/>
    <w:rsid w:val="00350880"/>
    <w:rsid w:val="00350996"/>
    <w:rsid w:val="00350EB3"/>
    <w:rsid w:val="00351A75"/>
    <w:rsid w:val="00351B96"/>
    <w:rsid w:val="00351CE0"/>
    <w:rsid w:val="003520DB"/>
    <w:rsid w:val="00352C06"/>
    <w:rsid w:val="00352CF4"/>
    <w:rsid w:val="003533AA"/>
    <w:rsid w:val="0035407A"/>
    <w:rsid w:val="00354349"/>
    <w:rsid w:val="00354FAC"/>
    <w:rsid w:val="00355349"/>
    <w:rsid w:val="00356095"/>
    <w:rsid w:val="00357FBC"/>
    <w:rsid w:val="00360384"/>
    <w:rsid w:val="00360A19"/>
    <w:rsid w:val="00361D0C"/>
    <w:rsid w:val="003634C6"/>
    <w:rsid w:val="0036358D"/>
    <w:rsid w:val="00363B5E"/>
    <w:rsid w:val="00364361"/>
    <w:rsid w:val="00364AE5"/>
    <w:rsid w:val="003652CD"/>
    <w:rsid w:val="00366189"/>
    <w:rsid w:val="00366E41"/>
    <w:rsid w:val="0036798B"/>
    <w:rsid w:val="00370270"/>
    <w:rsid w:val="00370AD2"/>
    <w:rsid w:val="00370FDD"/>
    <w:rsid w:val="00371A09"/>
    <w:rsid w:val="00371B79"/>
    <w:rsid w:val="00373004"/>
    <w:rsid w:val="00373431"/>
    <w:rsid w:val="0037368B"/>
    <w:rsid w:val="003738DD"/>
    <w:rsid w:val="00373B1F"/>
    <w:rsid w:val="00374717"/>
    <w:rsid w:val="003747A7"/>
    <w:rsid w:val="00374A82"/>
    <w:rsid w:val="00375764"/>
    <w:rsid w:val="00376643"/>
    <w:rsid w:val="00376892"/>
    <w:rsid w:val="00377006"/>
    <w:rsid w:val="00377803"/>
    <w:rsid w:val="00377815"/>
    <w:rsid w:val="003812CC"/>
    <w:rsid w:val="0038156D"/>
    <w:rsid w:val="00381DB3"/>
    <w:rsid w:val="00382393"/>
    <w:rsid w:val="003832A5"/>
    <w:rsid w:val="00383989"/>
    <w:rsid w:val="00383CBD"/>
    <w:rsid w:val="00383D9B"/>
    <w:rsid w:val="00384C3A"/>
    <w:rsid w:val="00384D60"/>
    <w:rsid w:val="003859C0"/>
    <w:rsid w:val="003861F0"/>
    <w:rsid w:val="00386752"/>
    <w:rsid w:val="00386753"/>
    <w:rsid w:val="00386BC5"/>
    <w:rsid w:val="00386DDF"/>
    <w:rsid w:val="003906AD"/>
    <w:rsid w:val="00390D85"/>
    <w:rsid w:val="003918A7"/>
    <w:rsid w:val="003922B0"/>
    <w:rsid w:val="00392BA2"/>
    <w:rsid w:val="00392EDC"/>
    <w:rsid w:val="0039318A"/>
    <w:rsid w:val="00393D14"/>
    <w:rsid w:val="003965DE"/>
    <w:rsid w:val="00397478"/>
    <w:rsid w:val="00397CDD"/>
    <w:rsid w:val="003A002B"/>
    <w:rsid w:val="003A0820"/>
    <w:rsid w:val="003A0A48"/>
    <w:rsid w:val="003A166F"/>
    <w:rsid w:val="003A220B"/>
    <w:rsid w:val="003A27E2"/>
    <w:rsid w:val="003A2DE3"/>
    <w:rsid w:val="003A301C"/>
    <w:rsid w:val="003A351D"/>
    <w:rsid w:val="003A473F"/>
    <w:rsid w:val="003A47F6"/>
    <w:rsid w:val="003A4881"/>
    <w:rsid w:val="003A4982"/>
    <w:rsid w:val="003A5F4D"/>
    <w:rsid w:val="003A6056"/>
    <w:rsid w:val="003A695C"/>
    <w:rsid w:val="003A6C60"/>
    <w:rsid w:val="003A6FE8"/>
    <w:rsid w:val="003A7FCE"/>
    <w:rsid w:val="003B076C"/>
    <w:rsid w:val="003B1594"/>
    <w:rsid w:val="003B21D3"/>
    <w:rsid w:val="003B2DE7"/>
    <w:rsid w:val="003B391B"/>
    <w:rsid w:val="003B3C35"/>
    <w:rsid w:val="003B5B7D"/>
    <w:rsid w:val="003B5C12"/>
    <w:rsid w:val="003B5E46"/>
    <w:rsid w:val="003B5F4D"/>
    <w:rsid w:val="003B7001"/>
    <w:rsid w:val="003C0669"/>
    <w:rsid w:val="003C0D88"/>
    <w:rsid w:val="003C1943"/>
    <w:rsid w:val="003C19E7"/>
    <w:rsid w:val="003C1A99"/>
    <w:rsid w:val="003C2312"/>
    <w:rsid w:val="003C246D"/>
    <w:rsid w:val="003C35AF"/>
    <w:rsid w:val="003C4822"/>
    <w:rsid w:val="003C48C2"/>
    <w:rsid w:val="003C4A04"/>
    <w:rsid w:val="003C4DE1"/>
    <w:rsid w:val="003C5520"/>
    <w:rsid w:val="003C62FE"/>
    <w:rsid w:val="003C6785"/>
    <w:rsid w:val="003C67CD"/>
    <w:rsid w:val="003C6C28"/>
    <w:rsid w:val="003D22FA"/>
    <w:rsid w:val="003D369B"/>
    <w:rsid w:val="003D3A6A"/>
    <w:rsid w:val="003D3DCE"/>
    <w:rsid w:val="003D42D6"/>
    <w:rsid w:val="003D4B00"/>
    <w:rsid w:val="003D60DD"/>
    <w:rsid w:val="003D6291"/>
    <w:rsid w:val="003D63BE"/>
    <w:rsid w:val="003D656E"/>
    <w:rsid w:val="003D6BAC"/>
    <w:rsid w:val="003D72A7"/>
    <w:rsid w:val="003D7B71"/>
    <w:rsid w:val="003E007E"/>
    <w:rsid w:val="003E0985"/>
    <w:rsid w:val="003E0CF2"/>
    <w:rsid w:val="003E1326"/>
    <w:rsid w:val="003E1579"/>
    <w:rsid w:val="003E28AD"/>
    <w:rsid w:val="003E5258"/>
    <w:rsid w:val="003E53CE"/>
    <w:rsid w:val="003E6001"/>
    <w:rsid w:val="003E6A3C"/>
    <w:rsid w:val="003E710D"/>
    <w:rsid w:val="003E77ED"/>
    <w:rsid w:val="003F05A0"/>
    <w:rsid w:val="003F0709"/>
    <w:rsid w:val="003F1ADF"/>
    <w:rsid w:val="003F1D23"/>
    <w:rsid w:val="003F3928"/>
    <w:rsid w:val="003F41F9"/>
    <w:rsid w:val="003F449C"/>
    <w:rsid w:val="003F485F"/>
    <w:rsid w:val="003F5719"/>
    <w:rsid w:val="003F5C66"/>
    <w:rsid w:val="003F70C2"/>
    <w:rsid w:val="003F7569"/>
    <w:rsid w:val="004000CB"/>
    <w:rsid w:val="00400133"/>
    <w:rsid w:val="00401C30"/>
    <w:rsid w:val="00401C3B"/>
    <w:rsid w:val="0040251B"/>
    <w:rsid w:val="00403F14"/>
    <w:rsid w:val="00405536"/>
    <w:rsid w:val="00405DFA"/>
    <w:rsid w:val="00405E2A"/>
    <w:rsid w:val="00406200"/>
    <w:rsid w:val="0040736B"/>
    <w:rsid w:val="00410B62"/>
    <w:rsid w:val="004115E6"/>
    <w:rsid w:val="00412B3C"/>
    <w:rsid w:val="00412C1D"/>
    <w:rsid w:val="00412CD7"/>
    <w:rsid w:val="004130DC"/>
    <w:rsid w:val="00413F91"/>
    <w:rsid w:val="00414666"/>
    <w:rsid w:val="0041540D"/>
    <w:rsid w:val="00415544"/>
    <w:rsid w:val="004169EC"/>
    <w:rsid w:val="00416F90"/>
    <w:rsid w:val="00420209"/>
    <w:rsid w:val="00420C95"/>
    <w:rsid w:val="00421184"/>
    <w:rsid w:val="004214E6"/>
    <w:rsid w:val="0042221C"/>
    <w:rsid w:val="00422B54"/>
    <w:rsid w:val="00422E46"/>
    <w:rsid w:val="0042305F"/>
    <w:rsid w:val="004232EA"/>
    <w:rsid w:val="0042370F"/>
    <w:rsid w:val="00423AF5"/>
    <w:rsid w:val="00423B1A"/>
    <w:rsid w:val="004258CF"/>
    <w:rsid w:val="00427895"/>
    <w:rsid w:val="00427D12"/>
    <w:rsid w:val="00427E13"/>
    <w:rsid w:val="00430CF8"/>
    <w:rsid w:val="00431887"/>
    <w:rsid w:val="00431FD2"/>
    <w:rsid w:val="0043254C"/>
    <w:rsid w:val="0043254D"/>
    <w:rsid w:val="0043267B"/>
    <w:rsid w:val="00432F1A"/>
    <w:rsid w:val="00433011"/>
    <w:rsid w:val="0043347A"/>
    <w:rsid w:val="00433627"/>
    <w:rsid w:val="0043401E"/>
    <w:rsid w:val="004344BD"/>
    <w:rsid w:val="00434A56"/>
    <w:rsid w:val="0043557C"/>
    <w:rsid w:val="00436C3D"/>
    <w:rsid w:val="00437292"/>
    <w:rsid w:val="00437915"/>
    <w:rsid w:val="0044020D"/>
    <w:rsid w:val="004411BB"/>
    <w:rsid w:val="004416CE"/>
    <w:rsid w:val="00444CE1"/>
    <w:rsid w:val="00445191"/>
    <w:rsid w:val="0044622C"/>
    <w:rsid w:val="004462F8"/>
    <w:rsid w:val="00446871"/>
    <w:rsid w:val="00446A9B"/>
    <w:rsid w:val="00446DFA"/>
    <w:rsid w:val="00446E5C"/>
    <w:rsid w:val="00446F61"/>
    <w:rsid w:val="0044705A"/>
    <w:rsid w:val="004470D4"/>
    <w:rsid w:val="004478EE"/>
    <w:rsid w:val="0045001B"/>
    <w:rsid w:val="00450A47"/>
    <w:rsid w:val="00450BFB"/>
    <w:rsid w:val="00450E3C"/>
    <w:rsid w:val="0045115F"/>
    <w:rsid w:val="00451302"/>
    <w:rsid w:val="00452246"/>
    <w:rsid w:val="00452787"/>
    <w:rsid w:val="00452E5A"/>
    <w:rsid w:val="00452FDF"/>
    <w:rsid w:val="00453068"/>
    <w:rsid w:val="00453307"/>
    <w:rsid w:val="0045363F"/>
    <w:rsid w:val="00453F4A"/>
    <w:rsid w:val="004546AE"/>
    <w:rsid w:val="004548F5"/>
    <w:rsid w:val="00454E1E"/>
    <w:rsid w:val="00455385"/>
    <w:rsid w:val="00456996"/>
    <w:rsid w:val="004573BA"/>
    <w:rsid w:val="00460988"/>
    <w:rsid w:val="0046159F"/>
    <w:rsid w:val="004615D8"/>
    <w:rsid w:val="0046250E"/>
    <w:rsid w:val="004629AC"/>
    <w:rsid w:val="00462E71"/>
    <w:rsid w:val="00463750"/>
    <w:rsid w:val="00463FE3"/>
    <w:rsid w:val="00464A08"/>
    <w:rsid w:val="0046639B"/>
    <w:rsid w:val="00466751"/>
    <w:rsid w:val="004700B8"/>
    <w:rsid w:val="0047094C"/>
    <w:rsid w:val="00470A21"/>
    <w:rsid w:val="00470B4C"/>
    <w:rsid w:val="00471B90"/>
    <w:rsid w:val="0047258A"/>
    <w:rsid w:val="004728AE"/>
    <w:rsid w:val="0047291E"/>
    <w:rsid w:val="004735E3"/>
    <w:rsid w:val="004747FD"/>
    <w:rsid w:val="004750FF"/>
    <w:rsid w:val="00475A79"/>
    <w:rsid w:val="00476212"/>
    <w:rsid w:val="0047637D"/>
    <w:rsid w:val="004767D2"/>
    <w:rsid w:val="004770EC"/>
    <w:rsid w:val="0047769A"/>
    <w:rsid w:val="00477B90"/>
    <w:rsid w:val="00477D57"/>
    <w:rsid w:val="004805C3"/>
    <w:rsid w:val="00480803"/>
    <w:rsid w:val="00480F76"/>
    <w:rsid w:val="00481DC7"/>
    <w:rsid w:val="0048249F"/>
    <w:rsid w:val="0048309A"/>
    <w:rsid w:val="00484457"/>
    <w:rsid w:val="0048487B"/>
    <w:rsid w:val="00486030"/>
    <w:rsid w:val="004867E8"/>
    <w:rsid w:val="0048707D"/>
    <w:rsid w:val="0049001A"/>
    <w:rsid w:val="0049087B"/>
    <w:rsid w:val="00490A01"/>
    <w:rsid w:val="00491CD1"/>
    <w:rsid w:val="00492DBC"/>
    <w:rsid w:val="0049372B"/>
    <w:rsid w:val="00493DE4"/>
    <w:rsid w:val="00493E09"/>
    <w:rsid w:val="00494593"/>
    <w:rsid w:val="00494BE0"/>
    <w:rsid w:val="00494C32"/>
    <w:rsid w:val="0049506D"/>
    <w:rsid w:val="00495623"/>
    <w:rsid w:val="00496961"/>
    <w:rsid w:val="004975B6"/>
    <w:rsid w:val="00497B8C"/>
    <w:rsid w:val="004A08B5"/>
    <w:rsid w:val="004A0A7B"/>
    <w:rsid w:val="004A14EF"/>
    <w:rsid w:val="004A1809"/>
    <w:rsid w:val="004A1BD1"/>
    <w:rsid w:val="004A22AA"/>
    <w:rsid w:val="004A2B76"/>
    <w:rsid w:val="004A2E1E"/>
    <w:rsid w:val="004A4867"/>
    <w:rsid w:val="004A49D2"/>
    <w:rsid w:val="004A5899"/>
    <w:rsid w:val="004A5D35"/>
    <w:rsid w:val="004A5FE9"/>
    <w:rsid w:val="004A6A1B"/>
    <w:rsid w:val="004A6D58"/>
    <w:rsid w:val="004A700E"/>
    <w:rsid w:val="004A7817"/>
    <w:rsid w:val="004B0EB2"/>
    <w:rsid w:val="004B111E"/>
    <w:rsid w:val="004B2176"/>
    <w:rsid w:val="004B273A"/>
    <w:rsid w:val="004B2BC2"/>
    <w:rsid w:val="004B47E0"/>
    <w:rsid w:val="004B657B"/>
    <w:rsid w:val="004B6A30"/>
    <w:rsid w:val="004B70D6"/>
    <w:rsid w:val="004B7419"/>
    <w:rsid w:val="004B7A7F"/>
    <w:rsid w:val="004C019E"/>
    <w:rsid w:val="004C026E"/>
    <w:rsid w:val="004C02B6"/>
    <w:rsid w:val="004C09D4"/>
    <w:rsid w:val="004C1317"/>
    <w:rsid w:val="004C1538"/>
    <w:rsid w:val="004C1E95"/>
    <w:rsid w:val="004C2533"/>
    <w:rsid w:val="004C2556"/>
    <w:rsid w:val="004C2987"/>
    <w:rsid w:val="004C29C2"/>
    <w:rsid w:val="004C2BEE"/>
    <w:rsid w:val="004C2F15"/>
    <w:rsid w:val="004C3128"/>
    <w:rsid w:val="004C34B1"/>
    <w:rsid w:val="004C4831"/>
    <w:rsid w:val="004C5188"/>
    <w:rsid w:val="004C5412"/>
    <w:rsid w:val="004C7DA4"/>
    <w:rsid w:val="004C7E3D"/>
    <w:rsid w:val="004C7E71"/>
    <w:rsid w:val="004D011D"/>
    <w:rsid w:val="004D05E5"/>
    <w:rsid w:val="004D0A25"/>
    <w:rsid w:val="004D1084"/>
    <w:rsid w:val="004D1BF6"/>
    <w:rsid w:val="004D202F"/>
    <w:rsid w:val="004D2335"/>
    <w:rsid w:val="004D3D14"/>
    <w:rsid w:val="004D3DCB"/>
    <w:rsid w:val="004D49A1"/>
    <w:rsid w:val="004D6490"/>
    <w:rsid w:val="004D7186"/>
    <w:rsid w:val="004D72BF"/>
    <w:rsid w:val="004D7645"/>
    <w:rsid w:val="004E153F"/>
    <w:rsid w:val="004E1A15"/>
    <w:rsid w:val="004E2752"/>
    <w:rsid w:val="004E2E7B"/>
    <w:rsid w:val="004E319D"/>
    <w:rsid w:val="004E512A"/>
    <w:rsid w:val="004E6238"/>
    <w:rsid w:val="004E7848"/>
    <w:rsid w:val="004F0219"/>
    <w:rsid w:val="004F0273"/>
    <w:rsid w:val="004F033C"/>
    <w:rsid w:val="004F0C0E"/>
    <w:rsid w:val="004F10D8"/>
    <w:rsid w:val="004F12A7"/>
    <w:rsid w:val="004F23A8"/>
    <w:rsid w:val="004F3239"/>
    <w:rsid w:val="004F3F13"/>
    <w:rsid w:val="004F41DA"/>
    <w:rsid w:val="004F42AF"/>
    <w:rsid w:val="004F6359"/>
    <w:rsid w:val="004F6FAF"/>
    <w:rsid w:val="004F7CD5"/>
    <w:rsid w:val="004F7E9F"/>
    <w:rsid w:val="0050015F"/>
    <w:rsid w:val="00500188"/>
    <w:rsid w:val="00500C52"/>
    <w:rsid w:val="00500F69"/>
    <w:rsid w:val="00501D8C"/>
    <w:rsid w:val="00503A1B"/>
    <w:rsid w:val="00504120"/>
    <w:rsid w:val="00504239"/>
    <w:rsid w:val="005052AB"/>
    <w:rsid w:val="00505A00"/>
    <w:rsid w:val="00505BB3"/>
    <w:rsid w:val="005062AE"/>
    <w:rsid w:val="00506A5B"/>
    <w:rsid w:val="00506E88"/>
    <w:rsid w:val="005070C0"/>
    <w:rsid w:val="0050771E"/>
    <w:rsid w:val="00507C7C"/>
    <w:rsid w:val="00507D4D"/>
    <w:rsid w:val="00507E75"/>
    <w:rsid w:val="005100D2"/>
    <w:rsid w:val="00510345"/>
    <w:rsid w:val="00510FB1"/>
    <w:rsid w:val="00511ABC"/>
    <w:rsid w:val="00511B62"/>
    <w:rsid w:val="00511F11"/>
    <w:rsid w:val="0051206E"/>
    <w:rsid w:val="005127B7"/>
    <w:rsid w:val="00513067"/>
    <w:rsid w:val="005139E1"/>
    <w:rsid w:val="00513A7D"/>
    <w:rsid w:val="0051415D"/>
    <w:rsid w:val="00514712"/>
    <w:rsid w:val="00514B9F"/>
    <w:rsid w:val="00515016"/>
    <w:rsid w:val="005153AB"/>
    <w:rsid w:val="00515B07"/>
    <w:rsid w:val="00516F8C"/>
    <w:rsid w:val="00520358"/>
    <w:rsid w:val="00520BCF"/>
    <w:rsid w:val="00521005"/>
    <w:rsid w:val="00521154"/>
    <w:rsid w:val="005229FD"/>
    <w:rsid w:val="00523936"/>
    <w:rsid w:val="00524133"/>
    <w:rsid w:val="005241D1"/>
    <w:rsid w:val="0052440B"/>
    <w:rsid w:val="00524585"/>
    <w:rsid w:val="00525BC4"/>
    <w:rsid w:val="005260FB"/>
    <w:rsid w:val="005264B0"/>
    <w:rsid w:val="0053003B"/>
    <w:rsid w:val="00530CB1"/>
    <w:rsid w:val="00530CF2"/>
    <w:rsid w:val="00531DD5"/>
    <w:rsid w:val="00532543"/>
    <w:rsid w:val="005337B1"/>
    <w:rsid w:val="00533AAE"/>
    <w:rsid w:val="00533C74"/>
    <w:rsid w:val="00533E91"/>
    <w:rsid w:val="0053449B"/>
    <w:rsid w:val="00534F61"/>
    <w:rsid w:val="005353CF"/>
    <w:rsid w:val="00535931"/>
    <w:rsid w:val="00535B61"/>
    <w:rsid w:val="00536E07"/>
    <w:rsid w:val="005372EF"/>
    <w:rsid w:val="005375B0"/>
    <w:rsid w:val="00537A31"/>
    <w:rsid w:val="00537ED8"/>
    <w:rsid w:val="00540B42"/>
    <w:rsid w:val="0054137E"/>
    <w:rsid w:val="00541691"/>
    <w:rsid w:val="0054230A"/>
    <w:rsid w:val="00543294"/>
    <w:rsid w:val="00543E05"/>
    <w:rsid w:val="00543F17"/>
    <w:rsid w:val="0054404A"/>
    <w:rsid w:val="00545334"/>
    <w:rsid w:val="00545E2F"/>
    <w:rsid w:val="00546200"/>
    <w:rsid w:val="00546366"/>
    <w:rsid w:val="00546849"/>
    <w:rsid w:val="005469BE"/>
    <w:rsid w:val="0055061D"/>
    <w:rsid w:val="00550A9E"/>
    <w:rsid w:val="00551DAB"/>
    <w:rsid w:val="00551DCE"/>
    <w:rsid w:val="00552A8D"/>
    <w:rsid w:val="00553113"/>
    <w:rsid w:val="00553293"/>
    <w:rsid w:val="005539CC"/>
    <w:rsid w:val="005548B8"/>
    <w:rsid w:val="00554A48"/>
    <w:rsid w:val="00556172"/>
    <w:rsid w:val="00556722"/>
    <w:rsid w:val="005570BE"/>
    <w:rsid w:val="00557BEF"/>
    <w:rsid w:val="005608E0"/>
    <w:rsid w:val="00561607"/>
    <w:rsid w:val="005624CB"/>
    <w:rsid w:val="005627F1"/>
    <w:rsid w:val="005632E1"/>
    <w:rsid w:val="00563C52"/>
    <w:rsid w:val="005641DF"/>
    <w:rsid w:val="00564889"/>
    <w:rsid w:val="005656A6"/>
    <w:rsid w:val="00566237"/>
    <w:rsid w:val="00566D22"/>
    <w:rsid w:val="00570132"/>
    <w:rsid w:val="00570DC6"/>
    <w:rsid w:val="0057128A"/>
    <w:rsid w:val="0057135C"/>
    <w:rsid w:val="00572455"/>
    <w:rsid w:val="00573418"/>
    <w:rsid w:val="00573422"/>
    <w:rsid w:val="005739CC"/>
    <w:rsid w:val="005744FF"/>
    <w:rsid w:val="00574654"/>
    <w:rsid w:val="00574AD8"/>
    <w:rsid w:val="00574C1D"/>
    <w:rsid w:val="005750FD"/>
    <w:rsid w:val="005760AB"/>
    <w:rsid w:val="0057610F"/>
    <w:rsid w:val="00576645"/>
    <w:rsid w:val="00576CAD"/>
    <w:rsid w:val="005774A5"/>
    <w:rsid w:val="00580655"/>
    <w:rsid w:val="00580F42"/>
    <w:rsid w:val="00581120"/>
    <w:rsid w:val="00581E11"/>
    <w:rsid w:val="005826D2"/>
    <w:rsid w:val="00582977"/>
    <w:rsid w:val="005831E2"/>
    <w:rsid w:val="005835B1"/>
    <w:rsid w:val="00583AB7"/>
    <w:rsid w:val="00583E00"/>
    <w:rsid w:val="0058426B"/>
    <w:rsid w:val="005847E2"/>
    <w:rsid w:val="005858E8"/>
    <w:rsid w:val="00586152"/>
    <w:rsid w:val="0058685D"/>
    <w:rsid w:val="005908C4"/>
    <w:rsid w:val="00590A7E"/>
    <w:rsid w:val="00591772"/>
    <w:rsid w:val="00591FC0"/>
    <w:rsid w:val="005920F0"/>
    <w:rsid w:val="005931A1"/>
    <w:rsid w:val="0059417F"/>
    <w:rsid w:val="00595214"/>
    <w:rsid w:val="0059524C"/>
    <w:rsid w:val="005957D7"/>
    <w:rsid w:val="00595BC0"/>
    <w:rsid w:val="00595C85"/>
    <w:rsid w:val="00595DAA"/>
    <w:rsid w:val="005966CE"/>
    <w:rsid w:val="005968D7"/>
    <w:rsid w:val="00597080"/>
    <w:rsid w:val="005A16E4"/>
    <w:rsid w:val="005A2EB0"/>
    <w:rsid w:val="005A2ECB"/>
    <w:rsid w:val="005A412A"/>
    <w:rsid w:val="005A5777"/>
    <w:rsid w:val="005A5A2C"/>
    <w:rsid w:val="005A6059"/>
    <w:rsid w:val="005A64D2"/>
    <w:rsid w:val="005A6C2B"/>
    <w:rsid w:val="005A7979"/>
    <w:rsid w:val="005B0856"/>
    <w:rsid w:val="005B0B23"/>
    <w:rsid w:val="005B1062"/>
    <w:rsid w:val="005B142B"/>
    <w:rsid w:val="005B1DCF"/>
    <w:rsid w:val="005B272E"/>
    <w:rsid w:val="005B27C4"/>
    <w:rsid w:val="005B3888"/>
    <w:rsid w:val="005B48CD"/>
    <w:rsid w:val="005B4912"/>
    <w:rsid w:val="005B579B"/>
    <w:rsid w:val="005B6A59"/>
    <w:rsid w:val="005B79C5"/>
    <w:rsid w:val="005B7EA8"/>
    <w:rsid w:val="005C1EB6"/>
    <w:rsid w:val="005C3EBB"/>
    <w:rsid w:val="005C52DB"/>
    <w:rsid w:val="005C68CB"/>
    <w:rsid w:val="005C692C"/>
    <w:rsid w:val="005C7512"/>
    <w:rsid w:val="005D0367"/>
    <w:rsid w:val="005D050D"/>
    <w:rsid w:val="005D0A4F"/>
    <w:rsid w:val="005D0C12"/>
    <w:rsid w:val="005D1FE3"/>
    <w:rsid w:val="005D271F"/>
    <w:rsid w:val="005D325C"/>
    <w:rsid w:val="005D3A0F"/>
    <w:rsid w:val="005D3E46"/>
    <w:rsid w:val="005D3F05"/>
    <w:rsid w:val="005D3F60"/>
    <w:rsid w:val="005D54DB"/>
    <w:rsid w:val="005D6120"/>
    <w:rsid w:val="005D641B"/>
    <w:rsid w:val="005D7322"/>
    <w:rsid w:val="005E1F6D"/>
    <w:rsid w:val="005E2DA5"/>
    <w:rsid w:val="005E4439"/>
    <w:rsid w:val="005E4757"/>
    <w:rsid w:val="005E4DCA"/>
    <w:rsid w:val="005E4DF4"/>
    <w:rsid w:val="005E5227"/>
    <w:rsid w:val="005E5379"/>
    <w:rsid w:val="005E5FED"/>
    <w:rsid w:val="005E6049"/>
    <w:rsid w:val="005E621E"/>
    <w:rsid w:val="005E6449"/>
    <w:rsid w:val="005E65FB"/>
    <w:rsid w:val="005E6DE4"/>
    <w:rsid w:val="005E6F49"/>
    <w:rsid w:val="005E71BF"/>
    <w:rsid w:val="005E73B1"/>
    <w:rsid w:val="005F01F5"/>
    <w:rsid w:val="005F031E"/>
    <w:rsid w:val="005F0901"/>
    <w:rsid w:val="005F0F22"/>
    <w:rsid w:val="005F13CF"/>
    <w:rsid w:val="005F17B5"/>
    <w:rsid w:val="005F1CA4"/>
    <w:rsid w:val="005F200F"/>
    <w:rsid w:val="005F2D3D"/>
    <w:rsid w:val="005F43C8"/>
    <w:rsid w:val="005F4659"/>
    <w:rsid w:val="005F4CDC"/>
    <w:rsid w:val="005F548F"/>
    <w:rsid w:val="005F5802"/>
    <w:rsid w:val="005F585E"/>
    <w:rsid w:val="005F6C74"/>
    <w:rsid w:val="005F72F9"/>
    <w:rsid w:val="005F777D"/>
    <w:rsid w:val="00600531"/>
    <w:rsid w:val="006006E2"/>
    <w:rsid w:val="006009AB"/>
    <w:rsid w:val="00600A49"/>
    <w:rsid w:val="0060265F"/>
    <w:rsid w:val="00602B5E"/>
    <w:rsid w:val="006032A3"/>
    <w:rsid w:val="006033C9"/>
    <w:rsid w:val="0060353C"/>
    <w:rsid w:val="0060363F"/>
    <w:rsid w:val="00603A59"/>
    <w:rsid w:val="00604367"/>
    <w:rsid w:val="00604A5A"/>
    <w:rsid w:val="00604B09"/>
    <w:rsid w:val="0060541F"/>
    <w:rsid w:val="00605699"/>
    <w:rsid w:val="00605A39"/>
    <w:rsid w:val="00605A66"/>
    <w:rsid w:val="00607384"/>
    <w:rsid w:val="00607632"/>
    <w:rsid w:val="00607BC1"/>
    <w:rsid w:val="00607C52"/>
    <w:rsid w:val="00610087"/>
    <w:rsid w:val="00611454"/>
    <w:rsid w:val="00611B1B"/>
    <w:rsid w:val="00613C52"/>
    <w:rsid w:val="00613EEF"/>
    <w:rsid w:val="006148D7"/>
    <w:rsid w:val="00615AC1"/>
    <w:rsid w:val="00615F81"/>
    <w:rsid w:val="00616F63"/>
    <w:rsid w:val="00616F85"/>
    <w:rsid w:val="00617201"/>
    <w:rsid w:val="006179BC"/>
    <w:rsid w:val="00620354"/>
    <w:rsid w:val="006203BB"/>
    <w:rsid w:val="00620DE0"/>
    <w:rsid w:val="006213A7"/>
    <w:rsid w:val="00621917"/>
    <w:rsid w:val="00621C7E"/>
    <w:rsid w:val="006224E8"/>
    <w:rsid w:val="00622BEC"/>
    <w:rsid w:val="0062336D"/>
    <w:rsid w:val="00623D2D"/>
    <w:rsid w:val="00623E5B"/>
    <w:rsid w:val="00624AEF"/>
    <w:rsid w:val="00625095"/>
    <w:rsid w:val="006250C3"/>
    <w:rsid w:val="006253C0"/>
    <w:rsid w:val="006254AF"/>
    <w:rsid w:val="0062575D"/>
    <w:rsid w:val="00626027"/>
    <w:rsid w:val="00626C2D"/>
    <w:rsid w:val="00627155"/>
    <w:rsid w:val="00627F42"/>
    <w:rsid w:val="006305B4"/>
    <w:rsid w:val="0063074D"/>
    <w:rsid w:val="00630764"/>
    <w:rsid w:val="00630F84"/>
    <w:rsid w:val="00631823"/>
    <w:rsid w:val="006318D6"/>
    <w:rsid w:val="00632D23"/>
    <w:rsid w:val="006333B9"/>
    <w:rsid w:val="006352BF"/>
    <w:rsid w:val="00635942"/>
    <w:rsid w:val="00635EEC"/>
    <w:rsid w:val="00636467"/>
    <w:rsid w:val="00637271"/>
    <w:rsid w:val="006411C9"/>
    <w:rsid w:val="00641444"/>
    <w:rsid w:val="006414F7"/>
    <w:rsid w:val="00641853"/>
    <w:rsid w:val="0064215F"/>
    <w:rsid w:val="00643310"/>
    <w:rsid w:val="00644B2A"/>
    <w:rsid w:val="00645751"/>
    <w:rsid w:val="006459B3"/>
    <w:rsid w:val="00646046"/>
    <w:rsid w:val="006465B6"/>
    <w:rsid w:val="00646C3D"/>
    <w:rsid w:val="00647F2A"/>
    <w:rsid w:val="0065014A"/>
    <w:rsid w:val="00650BDA"/>
    <w:rsid w:val="006514C0"/>
    <w:rsid w:val="00651DD1"/>
    <w:rsid w:val="00652707"/>
    <w:rsid w:val="00653CD8"/>
    <w:rsid w:val="006545CE"/>
    <w:rsid w:val="0065493C"/>
    <w:rsid w:val="006549FB"/>
    <w:rsid w:val="00655AD0"/>
    <w:rsid w:val="00656402"/>
    <w:rsid w:val="00656A5A"/>
    <w:rsid w:val="006571C9"/>
    <w:rsid w:val="006571D6"/>
    <w:rsid w:val="00661362"/>
    <w:rsid w:val="006615BC"/>
    <w:rsid w:val="00661823"/>
    <w:rsid w:val="00662187"/>
    <w:rsid w:val="006624F9"/>
    <w:rsid w:val="00662B4F"/>
    <w:rsid w:val="006643C0"/>
    <w:rsid w:val="006648C3"/>
    <w:rsid w:val="006658CE"/>
    <w:rsid w:val="006661B2"/>
    <w:rsid w:val="0066671C"/>
    <w:rsid w:val="00666D08"/>
    <w:rsid w:val="00667F03"/>
    <w:rsid w:val="006704C4"/>
    <w:rsid w:val="00670BE7"/>
    <w:rsid w:val="00670C62"/>
    <w:rsid w:val="00670DC9"/>
    <w:rsid w:val="00671A51"/>
    <w:rsid w:val="00671E72"/>
    <w:rsid w:val="006726EB"/>
    <w:rsid w:val="00673108"/>
    <w:rsid w:val="00673132"/>
    <w:rsid w:val="00674A88"/>
    <w:rsid w:val="00674EB0"/>
    <w:rsid w:val="00677B36"/>
    <w:rsid w:val="00680BE9"/>
    <w:rsid w:val="00681E27"/>
    <w:rsid w:val="006827C3"/>
    <w:rsid w:val="00682F22"/>
    <w:rsid w:val="00683A1E"/>
    <w:rsid w:val="00683E35"/>
    <w:rsid w:val="006849F4"/>
    <w:rsid w:val="00685AE1"/>
    <w:rsid w:val="006867CB"/>
    <w:rsid w:val="00687B32"/>
    <w:rsid w:val="0069041C"/>
    <w:rsid w:val="00690446"/>
    <w:rsid w:val="006904A3"/>
    <w:rsid w:val="00691C13"/>
    <w:rsid w:val="006921F5"/>
    <w:rsid w:val="006929B7"/>
    <w:rsid w:val="00692ECC"/>
    <w:rsid w:val="0069397F"/>
    <w:rsid w:val="00695230"/>
    <w:rsid w:val="0069534E"/>
    <w:rsid w:val="006959D8"/>
    <w:rsid w:val="006964DF"/>
    <w:rsid w:val="00696EB4"/>
    <w:rsid w:val="00697EC2"/>
    <w:rsid w:val="006A00FE"/>
    <w:rsid w:val="006A01CE"/>
    <w:rsid w:val="006A08EA"/>
    <w:rsid w:val="006A0D04"/>
    <w:rsid w:val="006A0D0F"/>
    <w:rsid w:val="006A1532"/>
    <w:rsid w:val="006A18FA"/>
    <w:rsid w:val="006A3C1C"/>
    <w:rsid w:val="006A3DF4"/>
    <w:rsid w:val="006A4F48"/>
    <w:rsid w:val="006A7AAF"/>
    <w:rsid w:val="006A7F42"/>
    <w:rsid w:val="006B094E"/>
    <w:rsid w:val="006B1D1A"/>
    <w:rsid w:val="006B207A"/>
    <w:rsid w:val="006B28C0"/>
    <w:rsid w:val="006B3065"/>
    <w:rsid w:val="006B33FA"/>
    <w:rsid w:val="006B343C"/>
    <w:rsid w:val="006B3F58"/>
    <w:rsid w:val="006B4310"/>
    <w:rsid w:val="006B5675"/>
    <w:rsid w:val="006B568F"/>
    <w:rsid w:val="006B5F2D"/>
    <w:rsid w:val="006B62A4"/>
    <w:rsid w:val="006B65A2"/>
    <w:rsid w:val="006B7086"/>
    <w:rsid w:val="006C047B"/>
    <w:rsid w:val="006C0DEC"/>
    <w:rsid w:val="006C20AC"/>
    <w:rsid w:val="006C311A"/>
    <w:rsid w:val="006C3259"/>
    <w:rsid w:val="006C54DA"/>
    <w:rsid w:val="006C55A0"/>
    <w:rsid w:val="006C5D85"/>
    <w:rsid w:val="006C5EDE"/>
    <w:rsid w:val="006C6894"/>
    <w:rsid w:val="006C7516"/>
    <w:rsid w:val="006C76DC"/>
    <w:rsid w:val="006D0888"/>
    <w:rsid w:val="006D0F01"/>
    <w:rsid w:val="006D1810"/>
    <w:rsid w:val="006D2BD8"/>
    <w:rsid w:val="006D3875"/>
    <w:rsid w:val="006D3BAF"/>
    <w:rsid w:val="006D3D93"/>
    <w:rsid w:val="006D49C9"/>
    <w:rsid w:val="006D4D6A"/>
    <w:rsid w:val="006D534A"/>
    <w:rsid w:val="006D5571"/>
    <w:rsid w:val="006D5A8B"/>
    <w:rsid w:val="006D638C"/>
    <w:rsid w:val="006D7B56"/>
    <w:rsid w:val="006E0451"/>
    <w:rsid w:val="006E1359"/>
    <w:rsid w:val="006E1BE7"/>
    <w:rsid w:val="006E1F79"/>
    <w:rsid w:val="006E3693"/>
    <w:rsid w:val="006E3730"/>
    <w:rsid w:val="006E40D0"/>
    <w:rsid w:val="006E4272"/>
    <w:rsid w:val="006E55E4"/>
    <w:rsid w:val="006E74CE"/>
    <w:rsid w:val="006E76E9"/>
    <w:rsid w:val="006E7F29"/>
    <w:rsid w:val="006F1060"/>
    <w:rsid w:val="006F18A5"/>
    <w:rsid w:val="006F2BF5"/>
    <w:rsid w:val="006F2CC1"/>
    <w:rsid w:val="006F58E0"/>
    <w:rsid w:val="006F5B28"/>
    <w:rsid w:val="006F5BAE"/>
    <w:rsid w:val="006F62FC"/>
    <w:rsid w:val="00700513"/>
    <w:rsid w:val="0070055A"/>
    <w:rsid w:val="00700609"/>
    <w:rsid w:val="00700C5A"/>
    <w:rsid w:val="007017DA"/>
    <w:rsid w:val="0070219D"/>
    <w:rsid w:val="0070574B"/>
    <w:rsid w:val="00705980"/>
    <w:rsid w:val="00705B62"/>
    <w:rsid w:val="00706369"/>
    <w:rsid w:val="007072F8"/>
    <w:rsid w:val="0070738F"/>
    <w:rsid w:val="00710B14"/>
    <w:rsid w:val="00710F34"/>
    <w:rsid w:val="00711054"/>
    <w:rsid w:val="007114AC"/>
    <w:rsid w:val="00711F0A"/>
    <w:rsid w:val="00712588"/>
    <w:rsid w:val="00712D5A"/>
    <w:rsid w:val="007133D6"/>
    <w:rsid w:val="00713ABB"/>
    <w:rsid w:val="0071460D"/>
    <w:rsid w:val="0071596B"/>
    <w:rsid w:val="00715C25"/>
    <w:rsid w:val="00715F67"/>
    <w:rsid w:val="00720ADE"/>
    <w:rsid w:val="00720BDC"/>
    <w:rsid w:val="00721001"/>
    <w:rsid w:val="0072166A"/>
    <w:rsid w:val="00722245"/>
    <w:rsid w:val="0072351C"/>
    <w:rsid w:val="00723B90"/>
    <w:rsid w:val="00724868"/>
    <w:rsid w:val="00724CAC"/>
    <w:rsid w:val="00725C6C"/>
    <w:rsid w:val="00725CD2"/>
    <w:rsid w:val="00725CD9"/>
    <w:rsid w:val="00725E94"/>
    <w:rsid w:val="00726BCA"/>
    <w:rsid w:val="00726DB7"/>
    <w:rsid w:val="00727393"/>
    <w:rsid w:val="0072741F"/>
    <w:rsid w:val="00727EB2"/>
    <w:rsid w:val="00730531"/>
    <w:rsid w:val="00730564"/>
    <w:rsid w:val="00730E6D"/>
    <w:rsid w:val="00730ED8"/>
    <w:rsid w:val="0073117D"/>
    <w:rsid w:val="00731B7D"/>
    <w:rsid w:val="00732E90"/>
    <w:rsid w:val="0073342B"/>
    <w:rsid w:val="00733F94"/>
    <w:rsid w:val="00734DA0"/>
    <w:rsid w:val="00734DAB"/>
    <w:rsid w:val="007353D4"/>
    <w:rsid w:val="00735627"/>
    <w:rsid w:val="0073576A"/>
    <w:rsid w:val="00736186"/>
    <w:rsid w:val="00736647"/>
    <w:rsid w:val="00737199"/>
    <w:rsid w:val="00737AC5"/>
    <w:rsid w:val="00740838"/>
    <w:rsid w:val="00740ABC"/>
    <w:rsid w:val="00741A85"/>
    <w:rsid w:val="00741CD6"/>
    <w:rsid w:val="00741F2A"/>
    <w:rsid w:val="007422B4"/>
    <w:rsid w:val="00742520"/>
    <w:rsid w:val="00742637"/>
    <w:rsid w:val="007440A3"/>
    <w:rsid w:val="00745065"/>
    <w:rsid w:val="007462FB"/>
    <w:rsid w:val="0074658F"/>
    <w:rsid w:val="007473F6"/>
    <w:rsid w:val="0074740C"/>
    <w:rsid w:val="007479F9"/>
    <w:rsid w:val="00747E77"/>
    <w:rsid w:val="00750A2A"/>
    <w:rsid w:val="00752A48"/>
    <w:rsid w:val="00753A00"/>
    <w:rsid w:val="00754098"/>
    <w:rsid w:val="00754151"/>
    <w:rsid w:val="00756712"/>
    <w:rsid w:val="00757175"/>
    <w:rsid w:val="00757918"/>
    <w:rsid w:val="00757CA1"/>
    <w:rsid w:val="0076005C"/>
    <w:rsid w:val="007602F2"/>
    <w:rsid w:val="007604C6"/>
    <w:rsid w:val="00760D2F"/>
    <w:rsid w:val="007614A6"/>
    <w:rsid w:val="007615D4"/>
    <w:rsid w:val="00761AB4"/>
    <w:rsid w:val="00762DC7"/>
    <w:rsid w:val="0076356E"/>
    <w:rsid w:val="007639AF"/>
    <w:rsid w:val="00764220"/>
    <w:rsid w:val="00764330"/>
    <w:rsid w:val="007648B3"/>
    <w:rsid w:val="00764AC8"/>
    <w:rsid w:val="00764C64"/>
    <w:rsid w:val="007700EA"/>
    <w:rsid w:val="0077102A"/>
    <w:rsid w:val="00771086"/>
    <w:rsid w:val="00772468"/>
    <w:rsid w:val="007734AC"/>
    <w:rsid w:val="007736EE"/>
    <w:rsid w:val="00774352"/>
    <w:rsid w:val="00774F47"/>
    <w:rsid w:val="00775200"/>
    <w:rsid w:val="007752D7"/>
    <w:rsid w:val="00775510"/>
    <w:rsid w:val="00775C15"/>
    <w:rsid w:val="00777ACB"/>
    <w:rsid w:val="00777B8F"/>
    <w:rsid w:val="0078011D"/>
    <w:rsid w:val="00780222"/>
    <w:rsid w:val="00780250"/>
    <w:rsid w:val="007808AA"/>
    <w:rsid w:val="00781214"/>
    <w:rsid w:val="007813BE"/>
    <w:rsid w:val="00781F87"/>
    <w:rsid w:val="00782FEB"/>
    <w:rsid w:val="00783925"/>
    <w:rsid w:val="00784D9C"/>
    <w:rsid w:val="00784F34"/>
    <w:rsid w:val="0078569F"/>
    <w:rsid w:val="0078574E"/>
    <w:rsid w:val="0078724B"/>
    <w:rsid w:val="007878B0"/>
    <w:rsid w:val="00787B7B"/>
    <w:rsid w:val="00790DC9"/>
    <w:rsid w:val="00791BDA"/>
    <w:rsid w:val="00792A03"/>
    <w:rsid w:val="007934FB"/>
    <w:rsid w:val="00793645"/>
    <w:rsid w:val="007937E4"/>
    <w:rsid w:val="00794758"/>
    <w:rsid w:val="00794F55"/>
    <w:rsid w:val="00795486"/>
    <w:rsid w:val="007955B6"/>
    <w:rsid w:val="007962A7"/>
    <w:rsid w:val="0079679C"/>
    <w:rsid w:val="0079728C"/>
    <w:rsid w:val="00797D65"/>
    <w:rsid w:val="00797FF0"/>
    <w:rsid w:val="007A061E"/>
    <w:rsid w:val="007A2494"/>
    <w:rsid w:val="007A2819"/>
    <w:rsid w:val="007A2924"/>
    <w:rsid w:val="007A2E15"/>
    <w:rsid w:val="007A2EDE"/>
    <w:rsid w:val="007A2FCB"/>
    <w:rsid w:val="007A4895"/>
    <w:rsid w:val="007A4E47"/>
    <w:rsid w:val="007A5021"/>
    <w:rsid w:val="007A5070"/>
    <w:rsid w:val="007A587A"/>
    <w:rsid w:val="007A5AAF"/>
    <w:rsid w:val="007A64AB"/>
    <w:rsid w:val="007A7398"/>
    <w:rsid w:val="007B0584"/>
    <w:rsid w:val="007B066B"/>
    <w:rsid w:val="007B12E3"/>
    <w:rsid w:val="007B18A3"/>
    <w:rsid w:val="007B31D9"/>
    <w:rsid w:val="007B3656"/>
    <w:rsid w:val="007B36F0"/>
    <w:rsid w:val="007B689C"/>
    <w:rsid w:val="007B786C"/>
    <w:rsid w:val="007B7975"/>
    <w:rsid w:val="007B7FC3"/>
    <w:rsid w:val="007C07DB"/>
    <w:rsid w:val="007C0EE9"/>
    <w:rsid w:val="007C1293"/>
    <w:rsid w:val="007C29C9"/>
    <w:rsid w:val="007C35F3"/>
    <w:rsid w:val="007C6697"/>
    <w:rsid w:val="007D2B9A"/>
    <w:rsid w:val="007D2BF9"/>
    <w:rsid w:val="007D30A9"/>
    <w:rsid w:val="007D31D1"/>
    <w:rsid w:val="007D3BE3"/>
    <w:rsid w:val="007D4A10"/>
    <w:rsid w:val="007D4CBC"/>
    <w:rsid w:val="007D5146"/>
    <w:rsid w:val="007D5BE2"/>
    <w:rsid w:val="007D7D2E"/>
    <w:rsid w:val="007E0AF9"/>
    <w:rsid w:val="007E0D32"/>
    <w:rsid w:val="007E1674"/>
    <w:rsid w:val="007E20FE"/>
    <w:rsid w:val="007E2742"/>
    <w:rsid w:val="007E2CAB"/>
    <w:rsid w:val="007E3187"/>
    <w:rsid w:val="007E4475"/>
    <w:rsid w:val="007E4BB9"/>
    <w:rsid w:val="007E5264"/>
    <w:rsid w:val="007E58A2"/>
    <w:rsid w:val="007E59C5"/>
    <w:rsid w:val="007E6B70"/>
    <w:rsid w:val="007E6EC6"/>
    <w:rsid w:val="007E727A"/>
    <w:rsid w:val="007E7386"/>
    <w:rsid w:val="007E75E5"/>
    <w:rsid w:val="007E7654"/>
    <w:rsid w:val="007F1226"/>
    <w:rsid w:val="007F13DE"/>
    <w:rsid w:val="007F17A0"/>
    <w:rsid w:val="007F197C"/>
    <w:rsid w:val="007F1BF2"/>
    <w:rsid w:val="007F2074"/>
    <w:rsid w:val="007F2300"/>
    <w:rsid w:val="007F355C"/>
    <w:rsid w:val="007F4063"/>
    <w:rsid w:val="007F48AD"/>
    <w:rsid w:val="007F5FB2"/>
    <w:rsid w:val="007F67C7"/>
    <w:rsid w:val="007F6822"/>
    <w:rsid w:val="007F6F36"/>
    <w:rsid w:val="007F71A2"/>
    <w:rsid w:val="007F79FF"/>
    <w:rsid w:val="008002C0"/>
    <w:rsid w:val="00800467"/>
    <w:rsid w:val="00800CD1"/>
    <w:rsid w:val="00802D3B"/>
    <w:rsid w:val="00802F38"/>
    <w:rsid w:val="008034BA"/>
    <w:rsid w:val="00803814"/>
    <w:rsid w:val="00803ED1"/>
    <w:rsid w:val="00804C9D"/>
    <w:rsid w:val="0080521D"/>
    <w:rsid w:val="00805AF5"/>
    <w:rsid w:val="0080624D"/>
    <w:rsid w:val="008066A3"/>
    <w:rsid w:val="0080670E"/>
    <w:rsid w:val="0081010C"/>
    <w:rsid w:val="0081067A"/>
    <w:rsid w:val="00811556"/>
    <w:rsid w:val="00812629"/>
    <w:rsid w:val="00812C3E"/>
    <w:rsid w:val="0081359E"/>
    <w:rsid w:val="00813A28"/>
    <w:rsid w:val="00814477"/>
    <w:rsid w:val="008146A8"/>
    <w:rsid w:val="00814B35"/>
    <w:rsid w:val="00814D63"/>
    <w:rsid w:val="0081576B"/>
    <w:rsid w:val="00817A44"/>
    <w:rsid w:val="00817D6B"/>
    <w:rsid w:val="00820F3F"/>
    <w:rsid w:val="0082224A"/>
    <w:rsid w:val="00822B51"/>
    <w:rsid w:val="008236FA"/>
    <w:rsid w:val="00823724"/>
    <w:rsid w:val="00824332"/>
    <w:rsid w:val="00824B56"/>
    <w:rsid w:val="00824D47"/>
    <w:rsid w:val="00825336"/>
    <w:rsid w:val="00825421"/>
    <w:rsid w:val="00827EB0"/>
    <w:rsid w:val="00830C1D"/>
    <w:rsid w:val="00831000"/>
    <w:rsid w:val="00831052"/>
    <w:rsid w:val="00831AD7"/>
    <w:rsid w:val="00831E32"/>
    <w:rsid w:val="00832A12"/>
    <w:rsid w:val="00832A81"/>
    <w:rsid w:val="00833714"/>
    <w:rsid w:val="0083383E"/>
    <w:rsid w:val="0083426E"/>
    <w:rsid w:val="00835DEE"/>
    <w:rsid w:val="00835E79"/>
    <w:rsid w:val="00836166"/>
    <w:rsid w:val="008364CE"/>
    <w:rsid w:val="008370FB"/>
    <w:rsid w:val="00837505"/>
    <w:rsid w:val="00840284"/>
    <w:rsid w:val="008404DD"/>
    <w:rsid w:val="008418EB"/>
    <w:rsid w:val="00842E82"/>
    <w:rsid w:val="00843C07"/>
    <w:rsid w:val="008450BE"/>
    <w:rsid w:val="00845228"/>
    <w:rsid w:val="008458F6"/>
    <w:rsid w:val="00845CEC"/>
    <w:rsid w:val="00845DCE"/>
    <w:rsid w:val="00845EEC"/>
    <w:rsid w:val="00845EFF"/>
    <w:rsid w:val="0084610C"/>
    <w:rsid w:val="008476D8"/>
    <w:rsid w:val="008501E2"/>
    <w:rsid w:val="0085022D"/>
    <w:rsid w:val="00850E81"/>
    <w:rsid w:val="00851481"/>
    <w:rsid w:val="008523C5"/>
    <w:rsid w:val="0085354C"/>
    <w:rsid w:val="00853C76"/>
    <w:rsid w:val="00854C1E"/>
    <w:rsid w:val="008557B6"/>
    <w:rsid w:val="00855B88"/>
    <w:rsid w:val="00855B99"/>
    <w:rsid w:val="0085721E"/>
    <w:rsid w:val="008578E3"/>
    <w:rsid w:val="0085799F"/>
    <w:rsid w:val="008615C7"/>
    <w:rsid w:val="008618CE"/>
    <w:rsid w:val="00861CF5"/>
    <w:rsid w:val="008625B2"/>
    <w:rsid w:val="00862A8D"/>
    <w:rsid w:val="00865943"/>
    <w:rsid w:val="0086650A"/>
    <w:rsid w:val="00867BE0"/>
    <w:rsid w:val="00867F9E"/>
    <w:rsid w:val="00870961"/>
    <w:rsid w:val="00871848"/>
    <w:rsid w:val="00871A7D"/>
    <w:rsid w:val="0087228D"/>
    <w:rsid w:val="00874490"/>
    <w:rsid w:val="00874DC4"/>
    <w:rsid w:val="008754A5"/>
    <w:rsid w:val="0087553D"/>
    <w:rsid w:val="00876158"/>
    <w:rsid w:val="0087683F"/>
    <w:rsid w:val="00877B5E"/>
    <w:rsid w:val="008802E4"/>
    <w:rsid w:val="00880310"/>
    <w:rsid w:val="0088033F"/>
    <w:rsid w:val="00880B9E"/>
    <w:rsid w:val="00880F03"/>
    <w:rsid w:val="00881722"/>
    <w:rsid w:val="00883284"/>
    <w:rsid w:val="008832D4"/>
    <w:rsid w:val="0088397F"/>
    <w:rsid w:val="00883CAA"/>
    <w:rsid w:val="00884180"/>
    <w:rsid w:val="00885392"/>
    <w:rsid w:val="00885711"/>
    <w:rsid w:val="008864DC"/>
    <w:rsid w:val="00886FB7"/>
    <w:rsid w:val="008872C7"/>
    <w:rsid w:val="00887F3C"/>
    <w:rsid w:val="00890B68"/>
    <w:rsid w:val="00890E8F"/>
    <w:rsid w:val="00892F8F"/>
    <w:rsid w:val="00893775"/>
    <w:rsid w:val="00893B9F"/>
    <w:rsid w:val="008941D2"/>
    <w:rsid w:val="00894441"/>
    <w:rsid w:val="00894DE2"/>
    <w:rsid w:val="00895C4D"/>
    <w:rsid w:val="00895CF4"/>
    <w:rsid w:val="00895EF7"/>
    <w:rsid w:val="00896230"/>
    <w:rsid w:val="008964FB"/>
    <w:rsid w:val="00896AF0"/>
    <w:rsid w:val="00897970"/>
    <w:rsid w:val="008A0D8C"/>
    <w:rsid w:val="008A0F09"/>
    <w:rsid w:val="008A1997"/>
    <w:rsid w:val="008A285C"/>
    <w:rsid w:val="008A2C1D"/>
    <w:rsid w:val="008A3615"/>
    <w:rsid w:val="008A3D3B"/>
    <w:rsid w:val="008A3D5E"/>
    <w:rsid w:val="008A3EF0"/>
    <w:rsid w:val="008A43D5"/>
    <w:rsid w:val="008A4662"/>
    <w:rsid w:val="008A517B"/>
    <w:rsid w:val="008A583D"/>
    <w:rsid w:val="008A61E5"/>
    <w:rsid w:val="008A6FAE"/>
    <w:rsid w:val="008A7240"/>
    <w:rsid w:val="008A756A"/>
    <w:rsid w:val="008A7F14"/>
    <w:rsid w:val="008B02EA"/>
    <w:rsid w:val="008B0FB3"/>
    <w:rsid w:val="008B14BE"/>
    <w:rsid w:val="008B14CA"/>
    <w:rsid w:val="008B1C6A"/>
    <w:rsid w:val="008B1D19"/>
    <w:rsid w:val="008B1EF2"/>
    <w:rsid w:val="008B295B"/>
    <w:rsid w:val="008B2D51"/>
    <w:rsid w:val="008B38A2"/>
    <w:rsid w:val="008B4D9A"/>
    <w:rsid w:val="008B608E"/>
    <w:rsid w:val="008B666D"/>
    <w:rsid w:val="008B6F68"/>
    <w:rsid w:val="008C0319"/>
    <w:rsid w:val="008C1138"/>
    <w:rsid w:val="008C1821"/>
    <w:rsid w:val="008C3C99"/>
    <w:rsid w:val="008C4656"/>
    <w:rsid w:val="008C4A31"/>
    <w:rsid w:val="008C4B08"/>
    <w:rsid w:val="008C550E"/>
    <w:rsid w:val="008C559D"/>
    <w:rsid w:val="008C59C4"/>
    <w:rsid w:val="008C6EBC"/>
    <w:rsid w:val="008C7C3D"/>
    <w:rsid w:val="008D09F0"/>
    <w:rsid w:val="008D0A9C"/>
    <w:rsid w:val="008D20F1"/>
    <w:rsid w:val="008D29A2"/>
    <w:rsid w:val="008D2CA8"/>
    <w:rsid w:val="008D2FDB"/>
    <w:rsid w:val="008D3526"/>
    <w:rsid w:val="008D366C"/>
    <w:rsid w:val="008D378F"/>
    <w:rsid w:val="008D37AD"/>
    <w:rsid w:val="008D3F3F"/>
    <w:rsid w:val="008D4832"/>
    <w:rsid w:val="008D4F22"/>
    <w:rsid w:val="008D7C11"/>
    <w:rsid w:val="008E031D"/>
    <w:rsid w:val="008E1774"/>
    <w:rsid w:val="008E256A"/>
    <w:rsid w:val="008E2572"/>
    <w:rsid w:val="008E36C8"/>
    <w:rsid w:val="008E3FD1"/>
    <w:rsid w:val="008E4B52"/>
    <w:rsid w:val="008E4CDF"/>
    <w:rsid w:val="008E5DE5"/>
    <w:rsid w:val="008E6200"/>
    <w:rsid w:val="008F0691"/>
    <w:rsid w:val="008F1E9D"/>
    <w:rsid w:val="008F543C"/>
    <w:rsid w:val="008F56B3"/>
    <w:rsid w:val="00901B1D"/>
    <w:rsid w:val="00901E8E"/>
    <w:rsid w:val="00901FC4"/>
    <w:rsid w:val="00903366"/>
    <w:rsid w:val="009040AA"/>
    <w:rsid w:val="009047CC"/>
    <w:rsid w:val="00904BE7"/>
    <w:rsid w:val="00904E5B"/>
    <w:rsid w:val="00905003"/>
    <w:rsid w:val="00905780"/>
    <w:rsid w:val="00906838"/>
    <w:rsid w:val="009117EA"/>
    <w:rsid w:val="0091193A"/>
    <w:rsid w:val="00911B11"/>
    <w:rsid w:val="00912441"/>
    <w:rsid w:val="009135A5"/>
    <w:rsid w:val="00914112"/>
    <w:rsid w:val="009141B8"/>
    <w:rsid w:val="0091434A"/>
    <w:rsid w:val="00914B39"/>
    <w:rsid w:val="00915212"/>
    <w:rsid w:val="0091523D"/>
    <w:rsid w:val="00915C94"/>
    <w:rsid w:val="00915E70"/>
    <w:rsid w:val="00916757"/>
    <w:rsid w:val="00916E49"/>
    <w:rsid w:val="009177B8"/>
    <w:rsid w:val="0091790C"/>
    <w:rsid w:val="00920247"/>
    <w:rsid w:val="00920EE1"/>
    <w:rsid w:val="00921F1C"/>
    <w:rsid w:val="0092281B"/>
    <w:rsid w:val="00923443"/>
    <w:rsid w:val="00923DCA"/>
    <w:rsid w:val="009240B4"/>
    <w:rsid w:val="009243DC"/>
    <w:rsid w:val="00924544"/>
    <w:rsid w:val="00924F50"/>
    <w:rsid w:val="009254C9"/>
    <w:rsid w:val="009256C0"/>
    <w:rsid w:val="0092584E"/>
    <w:rsid w:val="00925E47"/>
    <w:rsid w:val="00926BB0"/>
    <w:rsid w:val="009306DC"/>
    <w:rsid w:val="00930995"/>
    <w:rsid w:val="00931094"/>
    <w:rsid w:val="00931C2B"/>
    <w:rsid w:val="00933743"/>
    <w:rsid w:val="009337F5"/>
    <w:rsid w:val="00933EBE"/>
    <w:rsid w:val="0093425E"/>
    <w:rsid w:val="009345D0"/>
    <w:rsid w:val="00935F96"/>
    <w:rsid w:val="00936D41"/>
    <w:rsid w:val="00937334"/>
    <w:rsid w:val="00937867"/>
    <w:rsid w:val="00937B85"/>
    <w:rsid w:val="0094035E"/>
    <w:rsid w:val="009405F7"/>
    <w:rsid w:val="009412BD"/>
    <w:rsid w:val="009422D3"/>
    <w:rsid w:val="00942399"/>
    <w:rsid w:val="00942456"/>
    <w:rsid w:val="009427F0"/>
    <w:rsid w:val="009431D4"/>
    <w:rsid w:val="009437DE"/>
    <w:rsid w:val="00943A72"/>
    <w:rsid w:val="00943BDB"/>
    <w:rsid w:val="00943DB7"/>
    <w:rsid w:val="00944B93"/>
    <w:rsid w:val="00947F5E"/>
    <w:rsid w:val="009501D2"/>
    <w:rsid w:val="00950E63"/>
    <w:rsid w:val="00951481"/>
    <w:rsid w:val="00951F98"/>
    <w:rsid w:val="00952161"/>
    <w:rsid w:val="00952187"/>
    <w:rsid w:val="00953296"/>
    <w:rsid w:val="00953DAA"/>
    <w:rsid w:val="009543AC"/>
    <w:rsid w:val="00954FB6"/>
    <w:rsid w:val="009551CF"/>
    <w:rsid w:val="0095629D"/>
    <w:rsid w:val="00956713"/>
    <w:rsid w:val="00956ADC"/>
    <w:rsid w:val="00957CE2"/>
    <w:rsid w:val="009608BF"/>
    <w:rsid w:val="009624A0"/>
    <w:rsid w:val="00962C1A"/>
    <w:rsid w:val="00962DDE"/>
    <w:rsid w:val="009643EE"/>
    <w:rsid w:val="009655FC"/>
    <w:rsid w:val="00965B86"/>
    <w:rsid w:val="00966A12"/>
    <w:rsid w:val="00966B85"/>
    <w:rsid w:val="00966CE7"/>
    <w:rsid w:val="00966DB2"/>
    <w:rsid w:val="009677D7"/>
    <w:rsid w:val="00970780"/>
    <w:rsid w:val="00970BFD"/>
    <w:rsid w:val="00970E19"/>
    <w:rsid w:val="0097187E"/>
    <w:rsid w:val="00971B1B"/>
    <w:rsid w:val="00971C6E"/>
    <w:rsid w:val="0097224F"/>
    <w:rsid w:val="00972300"/>
    <w:rsid w:val="00972ACC"/>
    <w:rsid w:val="00973BE2"/>
    <w:rsid w:val="00974BAF"/>
    <w:rsid w:val="00975400"/>
    <w:rsid w:val="0097618B"/>
    <w:rsid w:val="009764CE"/>
    <w:rsid w:val="00976D1A"/>
    <w:rsid w:val="009778D9"/>
    <w:rsid w:val="00977B62"/>
    <w:rsid w:val="00980387"/>
    <w:rsid w:val="00980F6C"/>
    <w:rsid w:val="00980FDF"/>
    <w:rsid w:val="009814D7"/>
    <w:rsid w:val="00982897"/>
    <w:rsid w:val="00982A5B"/>
    <w:rsid w:val="00983A6C"/>
    <w:rsid w:val="00984073"/>
    <w:rsid w:val="0098437D"/>
    <w:rsid w:val="009860C6"/>
    <w:rsid w:val="00987179"/>
    <w:rsid w:val="00992759"/>
    <w:rsid w:val="00992780"/>
    <w:rsid w:val="00992D5C"/>
    <w:rsid w:val="0099321E"/>
    <w:rsid w:val="00993942"/>
    <w:rsid w:val="00993BBB"/>
    <w:rsid w:val="00995826"/>
    <w:rsid w:val="009963E8"/>
    <w:rsid w:val="009A0061"/>
    <w:rsid w:val="009A0242"/>
    <w:rsid w:val="009A0A28"/>
    <w:rsid w:val="009A1C84"/>
    <w:rsid w:val="009A21DF"/>
    <w:rsid w:val="009A2556"/>
    <w:rsid w:val="009A2F58"/>
    <w:rsid w:val="009A2FFB"/>
    <w:rsid w:val="009A5283"/>
    <w:rsid w:val="009A5FB8"/>
    <w:rsid w:val="009A6046"/>
    <w:rsid w:val="009A741F"/>
    <w:rsid w:val="009B09DF"/>
    <w:rsid w:val="009B228C"/>
    <w:rsid w:val="009B235E"/>
    <w:rsid w:val="009B269E"/>
    <w:rsid w:val="009B2DC0"/>
    <w:rsid w:val="009B3C31"/>
    <w:rsid w:val="009B47E1"/>
    <w:rsid w:val="009B4EE4"/>
    <w:rsid w:val="009B5286"/>
    <w:rsid w:val="009B59FF"/>
    <w:rsid w:val="009B5D7F"/>
    <w:rsid w:val="009B5E09"/>
    <w:rsid w:val="009B6219"/>
    <w:rsid w:val="009B69D5"/>
    <w:rsid w:val="009B7A97"/>
    <w:rsid w:val="009C00DD"/>
    <w:rsid w:val="009C0FFA"/>
    <w:rsid w:val="009C159A"/>
    <w:rsid w:val="009C2425"/>
    <w:rsid w:val="009C3B70"/>
    <w:rsid w:val="009C3B82"/>
    <w:rsid w:val="009C4793"/>
    <w:rsid w:val="009C55DD"/>
    <w:rsid w:val="009C6696"/>
    <w:rsid w:val="009C6840"/>
    <w:rsid w:val="009C76C4"/>
    <w:rsid w:val="009C77B3"/>
    <w:rsid w:val="009C7CA4"/>
    <w:rsid w:val="009D0DAD"/>
    <w:rsid w:val="009D17B4"/>
    <w:rsid w:val="009D1C0A"/>
    <w:rsid w:val="009D399E"/>
    <w:rsid w:val="009D3D03"/>
    <w:rsid w:val="009D40C6"/>
    <w:rsid w:val="009D42D3"/>
    <w:rsid w:val="009D65FA"/>
    <w:rsid w:val="009D6EE0"/>
    <w:rsid w:val="009E01D4"/>
    <w:rsid w:val="009E1B80"/>
    <w:rsid w:val="009E3089"/>
    <w:rsid w:val="009E30CC"/>
    <w:rsid w:val="009E31A1"/>
    <w:rsid w:val="009E3D6B"/>
    <w:rsid w:val="009E4550"/>
    <w:rsid w:val="009E51FC"/>
    <w:rsid w:val="009E5295"/>
    <w:rsid w:val="009E614D"/>
    <w:rsid w:val="009E6739"/>
    <w:rsid w:val="009E6B23"/>
    <w:rsid w:val="009E71F3"/>
    <w:rsid w:val="009E7D76"/>
    <w:rsid w:val="009F07DA"/>
    <w:rsid w:val="009F0D20"/>
    <w:rsid w:val="009F21F5"/>
    <w:rsid w:val="009F3409"/>
    <w:rsid w:val="009F3EAB"/>
    <w:rsid w:val="009F5052"/>
    <w:rsid w:val="009F6508"/>
    <w:rsid w:val="009F666F"/>
    <w:rsid w:val="009F6873"/>
    <w:rsid w:val="009F744F"/>
    <w:rsid w:val="009F7796"/>
    <w:rsid w:val="009F7B37"/>
    <w:rsid w:val="00A01945"/>
    <w:rsid w:val="00A01DC9"/>
    <w:rsid w:val="00A02071"/>
    <w:rsid w:val="00A0220E"/>
    <w:rsid w:val="00A02462"/>
    <w:rsid w:val="00A026AA"/>
    <w:rsid w:val="00A02877"/>
    <w:rsid w:val="00A028DB"/>
    <w:rsid w:val="00A042B0"/>
    <w:rsid w:val="00A048D5"/>
    <w:rsid w:val="00A04A0D"/>
    <w:rsid w:val="00A05759"/>
    <w:rsid w:val="00A06F74"/>
    <w:rsid w:val="00A0700A"/>
    <w:rsid w:val="00A0781C"/>
    <w:rsid w:val="00A07A4C"/>
    <w:rsid w:val="00A07B4B"/>
    <w:rsid w:val="00A07B6A"/>
    <w:rsid w:val="00A07BD2"/>
    <w:rsid w:val="00A07F8B"/>
    <w:rsid w:val="00A10159"/>
    <w:rsid w:val="00A10213"/>
    <w:rsid w:val="00A1095A"/>
    <w:rsid w:val="00A11A7A"/>
    <w:rsid w:val="00A12AC4"/>
    <w:rsid w:val="00A12B6E"/>
    <w:rsid w:val="00A13CC8"/>
    <w:rsid w:val="00A13E3D"/>
    <w:rsid w:val="00A1440B"/>
    <w:rsid w:val="00A152C6"/>
    <w:rsid w:val="00A1643A"/>
    <w:rsid w:val="00A170DC"/>
    <w:rsid w:val="00A174DF"/>
    <w:rsid w:val="00A178F2"/>
    <w:rsid w:val="00A21FE5"/>
    <w:rsid w:val="00A2210F"/>
    <w:rsid w:val="00A23853"/>
    <w:rsid w:val="00A240A5"/>
    <w:rsid w:val="00A244C7"/>
    <w:rsid w:val="00A249F4"/>
    <w:rsid w:val="00A24F2B"/>
    <w:rsid w:val="00A2540B"/>
    <w:rsid w:val="00A25A01"/>
    <w:rsid w:val="00A25E24"/>
    <w:rsid w:val="00A26D0D"/>
    <w:rsid w:val="00A27E07"/>
    <w:rsid w:val="00A311FA"/>
    <w:rsid w:val="00A31CF0"/>
    <w:rsid w:val="00A322E9"/>
    <w:rsid w:val="00A32CD3"/>
    <w:rsid w:val="00A33C59"/>
    <w:rsid w:val="00A347C6"/>
    <w:rsid w:val="00A353C8"/>
    <w:rsid w:val="00A406C4"/>
    <w:rsid w:val="00A40EBC"/>
    <w:rsid w:val="00A41300"/>
    <w:rsid w:val="00A418A0"/>
    <w:rsid w:val="00A426FD"/>
    <w:rsid w:val="00A42ECB"/>
    <w:rsid w:val="00A43155"/>
    <w:rsid w:val="00A433D2"/>
    <w:rsid w:val="00A44210"/>
    <w:rsid w:val="00A449F6"/>
    <w:rsid w:val="00A44C1D"/>
    <w:rsid w:val="00A44FF0"/>
    <w:rsid w:val="00A457F1"/>
    <w:rsid w:val="00A47812"/>
    <w:rsid w:val="00A47D34"/>
    <w:rsid w:val="00A47D70"/>
    <w:rsid w:val="00A5015C"/>
    <w:rsid w:val="00A5044B"/>
    <w:rsid w:val="00A50458"/>
    <w:rsid w:val="00A50A79"/>
    <w:rsid w:val="00A50C3C"/>
    <w:rsid w:val="00A5178A"/>
    <w:rsid w:val="00A52697"/>
    <w:rsid w:val="00A526A7"/>
    <w:rsid w:val="00A53034"/>
    <w:rsid w:val="00A5308A"/>
    <w:rsid w:val="00A53504"/>
    <w:rsid w:val="00A53ED0"/>
    <w:rsid w:val="00A53EE2"/>
    <w:rsid w:val="00A549E9"/>
    <w:rsid w:val="00A54B26"/>
    <w:rsid w:val="00A55003"/>
    <w:rsid w:val="00A551DA"/>
    <w:rsid w:val="00A55BD5"/>
    <w:rsid w:val="00A55EE3"/>
    <w:rsid w:val="00A568A5"/>
    <w:rsid w:val="00A571C6"/>
    <w:rsid w:val="00A57546"/>
    <w:rsid w:val="00A57C0A"/>
    <w:rsid w:val="00A57D4A"/>
    <w:rsid w:val="00A60849"/>
    <w:rsid w:val="00A61995"/>
    <w:rsid w:val="00A62390"/>
    <w:rsid w:val="00A624AE"/>
    <w:rsid w:val="00A63F9F"/>
    <w:rsid w:val="00A63FA6"/>
    <w:rsid w:val="00A642C7"/>
    <w:rsid w:val="00A6446F"/>
    <w:rsid w:val="00A649EC"/>
    <w:rsid w:val="00A65A3B"/>
    <w:rsid w:val="00A65F2A"/>
    <w:rsid w:val="00A6673A"/>
    <w:rsid w:val="00A67501"/>
    <w:rsid w:val="00A6795B"/>
    <w:rsid w:val="00A711F7"/>
    <w:rsid w:val="00A7122D"/>
    <w:rsid w:val="00A717BE"/>
    <w:rsid w:val="00A72638"/>
    <w:rsid w:val="00A7278C"/>
    <w:rsid w:val="00A73957"/>
    <w:rsid w:val="00A74BCC"/>
    <w:rsid w:val="00A75578"/>
    <w:rsid w:val="00A75B83"/>
    <w:rsid w:val="00A75BFF"/>
    <w:rsid w:val="00A768B3"/>
    <w:rsid w:val="00A76B1D"/>
    <w:rsid w:val="00A77CDD"/>
    <w:rsid w:val="00A81C07"/>
    <w:rsid w:val="00A82BFC"/>
    <w:rsid w:val="00A838F3"/>
    <w:rsid w:val="00A83AB7"/>
    <w:rsid w:val="00A842DB"/>
    <w:rsid w:val="00A85551"/>
    <w:rsid w:val="00A87674"/>
    <w:rsid w:val="00A87B68"/>
    <w:rsid w:val="00A87D88"/>
    <w:rsid w:val="00A90087"/>
    <w:rsid w:val="00A91061"/>
    <w:rsid w:val="00A9113A"/>
    <w:rsid w:val="00A92618"/>
    <w:rsid w:val="00A927F7"/>
    <w:rsid w:val="00A92EA4"/>
    <w:rsid w:val="00A92F00"/>
    <w:rsid w:val="00A93261"/>
    <w:rsid w:val="00A93C0B"/>
    <w:rsid w:val="00A93FCC"/>
    <w:rsid w:val="00A95ED1"/>
    <w:rsid w:val="00A966D8"/>
    <w:rsid w:val="00A967D7"/>
    <w:rsid w:val="00A96BC1"/>
    <w:rsid w:val="00A96E61"/>
    <w:rsid w:val="00A96EAC"/>
    <w:rsid w:val="00A96FE0"/>
    <w:rsid w:val="00A97710"/>
    <w:rsid w:val="00A97CEC"/>
    <w:rsid w:val="00A97FF1"/>
    <w:rsid w:val="00AA06B2"/>
    <w:rsid w:val="00AA0C65"/>
    <w:rsid w:val="00AA0C66"/>
    <w:rsid w:val="00AA1342"/>
    <w:rsid w:val="00AA2B72"/>
    <w:rsid w:val="00AA3784"/>
    <w:rsid w:val="00AA3BE6"/>
    <w:rsid w:val="00AA4777"/>
    <w:rsid w:val="00AA4D8C"/>
    <w:rsid w:val="00AA589F"/>
    <w:rsid w:val="00AA633E"/>
    <w:rsid w:val="00AA66BF"/>
    <w:rsid w:val="00AA67CE"/>
    <w:rsid w:val="00AB03B7"/>
    <w:rsid w:val="00AB128B"/>
    <w:rsid w:val="00AB1FF7"/>
    <w:rsid w:val="00AB26CA"/>
    <w:rsid w:val="00AB44A3"/>
    <w:rsid w:val="00AB4581"/>
    <w:rsid w:val="00AB5D66"/>
    <w:rsid w:val="00AB6019"/>
    <w:rsid w:val="00AB6BF1"/>
    <w:rsid w:val="00AB7C31"/>
    <w:rsid w:val="00AC0547"/>
    <w:rsid w:val="00AC08F3"/>
    <w:rsid w:val="00AC09EA"/>
    <w:rsid w:val="00AC0A29"/>
    <w:rsid w:val="00AC0E45"/>
    <w:rsid w:val="00AC105B"/>
    <w:rsid w:val="00AC1F56"/>
    <w:rsid w:val="00AC236C"/>
    <w:rsid w:val="00AC2544"/>
    <w:rsid w:val="00AC31BA"/>
    <w:rsid w:val="00AC388D"/>
    <w:rsid w:val="00AC3ECB"/>
    <w:rsid w:val="00AC449B"/>
    <w:rsid w:val="00AC4546"/>
    <w:rsid w:val="00AC4735"/>
    <w:rsid w:val="00AC482E"/>
    <w:rsid w:val="00AC518B"/>
    <w:rsid w:val="00AC585F"/>
    <w:rsid w:val="00AC69D9"/>
    <w:rsid w:val="00AC6AA8"/>
    <w:rsid w:val="00AC6B44"/>
    <w:rsid w:val="00AC6B8E"/>
    <w:rsid w:val="00AC7510"/>
    <w:rsid w:val="00AC7B37"/>
    <w:rsid w:val="00AC7C78"/>
    <w:rsid w:val="00AD0317"/>
    <w:rsid w:val="00AD06A1"/>
    <w:rsid w:val="00AD0A03"/>
    <w:rsid w:val="00AD0C31"/>
    <w:rsid w:val="00AD1008"/>
    <w:rsid w:val="00AD1833"/>
    <w:rsid w:val="00AD2318"/>
    <w:rsid w:val="00AD3F37"/>
    <w:rsid w:val="00AD4860"/>
    <w:rsid w:val="00AD5C71"/>
    <w:rsid w:val="00AD65E2"/>
    <w:rsid w:val="00AD6FD5"/>
    <w:rsid w:val="00AD77C2"/>
    <w:rsid w:val="00AE04CF"/>
    <w:rsid w:val="00AE0980"/>
    <w:rsid w:val="00AE0D6F"/>
    <w:rsid w:val="00AE1246"/>
    <w:rsid w:val="00AE18FE"/>
    <w:rsid w:val="00AE3024"/>
    <w:rsid w:val="00AE3DCB"/>
    <w:rsid w:val="00AE409C"/>
    <w:rsid w:val="00AE5050"/>
    <w:rsid w:val="00AE52F7"/>
    <w:rsid w:val="00AE561C"/>
    <w:rsid w:val="00AE5809"/>
    <w:rsid w:val="00AE598D"/>
    <w:rsid w:val="00AE64A2"/>
    <w:rsid w:val="00AE659F"/>
    <w:rsid w:val="00AE67C5"/>
    <w:rsid w:val="00AE7540"/>
    <w:rsid w:val="00AE7FFA"/>
    <w:rsid w:val="00AF00F5"/>
    <w:rsid w:val="00AF1672"/>
    <w:rsid w:val="00AF27D1"/>
    <w:rsid w:val="00AF3304"/>
    <w:rsid w:val="00AF3348"/>
    <w:rsid w:val="00AF3423"/>
    <w:rsid w:val="00AF34EC"/>
    <w:rsid w:val="00AF410B"/>
    <w:rsid w:val="00AF437B"/>
    <w:rsid w:val="00AF4D1F"/>
    <w:rsid w:val="00AF6034"/>
    <w:rsid w:val="00AF6E0E"/>
    <w:rsid w:val="00AF7461"/>
    <w:rsid w:val="00AF7CBE"/>
    <w:rsid w:val="00B0084B"/>
    <w:rsid w:val="00B00F76"/>
    <w:rsid w:val="00B0123F"/>
    <w:rsid w:val="00B020F9"/>
    <w:rsid w:val="00B033AB"/>
    <w:rsid w:val="00B034F3"/>
    <w:rsid w:val="00B04A17"/>
    <w:rsid w:val="00B04DE6"/>
    <w:rsid w:val="00B05249"/>
    <w:rsid w:val="00B06125"/>
    <w:rsid w:val="00B06346"/>
    <w:rsid w:val="00B072FC"/>
    <w:rsid w:val="00B07310"/>
    <w:rsid w:val="00B0751A"/>
    <w:rsid w:val="00B07E58"/>
    <w:rsid w:val="00B07F20"/>
    <w:rsid w:val="00B1022F"/>
    <w:rsid w:val="00B10662"/>
    <w:rsid w:val="00B1108E"/>
    <w:rsid w:val="00B11132"/>
    <w:rsid w:val="00B1183B"/>
    <w:rsid w:val="00B11E63"/>
    <w:rsid w:val="00B1215D"/>
    <w:rsid w:val="00B12BC8"/>
    <w:rsid w:val="00B12F26"/>
    <w:rsid w:val="00B14761"/>
    <w:rsid w:val="00B14C35"/>
    <w:rsid w:val="00B14E98"/>
    <w:rsid w:val="00B15193"/>
    <w:rsid w:val="00B16667"/>
    <w:rsid w:val="00B17F5A"/>
    <w:rsid w:val="00B20468"/>
    <w:rsid w:val="00B20CE1"/>
    <w:rsid w:val="00B220C3"/>
    <w:rsid w:val="00B229B4"/>
    <w:rsid w:val="00B22AD9"/>
    <w:rsid w:val="00B23A64"/>
    <w:rsid w:val="00B2437B"/>
    <w:rsid w:val="00B245A9"/>
    <w:rsid w:val="00B24EA4"/>
    <w:rsid w:val="00B252DE"/>
    <w:rsid w:val="00B253DE"/>
    <w:rsid w:val="00B25751"/>
    <w:rsid w:val="00B26188"/>
    <w:rsid w:val="00B26AEB"/>
    <w:rsid w:val="00B27367"/>
    <w:rsid w:val="00B30B18"/>
    <w:rsid w:val="00B31B7E"/>
    <w:rsid w:val="00B31C0A"/>
    <w:rsid w:val="00B3221B"/>
    <w:rsid w:val="00B33471"/>
    <w:rsid w:val="00B33D98"/>
    <w:rsid w:val="00B33FE4"/>
    <w:rsid w:val="00B369FD"/>
    <w:rsid w:val="00B40E36"/>
    <w:rsid w:val="00B410C1"/>
    <w:rsid w:val="00B41264"/>
    <w:rsid w:val="00B41658"/>
    <w:rsid w:val="00B41726"/>
    <w:rsid w:val="00B42A67"/>
    <w:rsid w:val="00B43785"/>
    <w:rsid w:val="00B44DFB"/>
    <w:rsid w:val="00B45CA9"/>
    <w:rsid w:val="00B467C4"/>
    <w:rsid w:val="00B4686F"/>
    <w:rsid w:val="00B46E39"/>
    <w:rsid w:val="00B47667"/>
    <w:rsid w:val="00B479E0"/>
    <w:rsid w:val="00B47D57"/>
    <w:rsid w:val="00B50824"/>
    <w:rsid w:val="00B50E44"/>
    <w:rsid w:val="00B510DD"/>
    <w:rsid w:val="00B51FBB"/>
    <w:rsid w:val="00B5425D"/>
    <w:rsid w:val="00B54685"/>
    <w:rsid w:val="00B549FE"/>
    <w:rsid w:val="00B54B4C"/>
    <w:rsid w:val="00B5546C"/>
    <w:rsid w:val="00B55545"/>
    <w:rsid w:val="00B55F01"/>
    <w:rsid w:val="00B56223"/>
    <w:rsid w:val="00B56FED"/>
    <w:rsid w:val="00B57E6D"/>
    <w:rsid w:val="00B60B9A"/>
    <w:rsid w:val="00B619FC"/>
    <w:rsid w:val="00B61AFE"/>
    <w:rsid w:val="00B61CE6"/>
    <w:rsid w:val="00B62065"/>
    <w:rsid w:val="00B629B2"/>
    <w:rsid w:val="00B63460"/>
    <w:rsid w:val="00B64276"/>
    <w:rsid w:val="00B64C06"/>
    <w:rsid w:val="00B659AB"/>
    <w:rsid w:val="00B65C6A"/>
    <w:rsid w:val="00B6609B"/>
    <w:rsid w:val="00B6653C"/>
    <w:rsid w:val="00B667C5"/>
    <w:rsid w:val="00B6687D"/>
    <w:rsid w:val="00B678A8"/>
    <w:rsid w:val="00B70522"/>
    <w:rsid w:val="00B7125A"/>
    <w:rsid w:val="00B71876"/>
    <w:rsid w:val="00B72654"/>
    <w:rsid w:val="00B72E76"/>
    <w:rsid w:val="00B73A90"/>
    <w:rsid w:val="00B74682"/>
    <w:rsid w:val="00B746F0"/>
    <w:rsid w:val="00B7484D"/>
    <w:rsid w:val="00B75C82"/>
    <w:rsid w:val="00B77548"/>
    <w:rsid w:val="00B80C32"/>
    <w:rsid w:val="00B816BC"/>
    <w:rsid w:val="00B83106"/>
    <w:rsid w:val="00B83B2D"/>
    <w:rsid w:val="00B843CB"/>
    <w:rsid w:val="00B84696"/>
    <w:rsid w:val="00B84D8B"/>
    <w:rsid w:val="00B85847"/>
    <w:rsid w:val="00B85D65"/>
    <w:rsid w:val="00B85FD0"/>
    <w:rsid w:val="00B865F4"/>
    <w:rsid w:val="00B8700B"/>
    <w:rsid w:val="00B873AB"/>
    <w:rsid w:val="00B87502"/>
    <w:rsid w:val="00B90C1B"/>
    <w:rsid w:val="00B90DDC"/>
    <w:rsid w:val="00B91E68"/>
    <w:rsid w:val="00B92630"/>
    <w:rsid w:val="00B92E66"/>
    <w:rsid w:val="00B9312D"/>
    <w:rsid w:val="00B9384D"/>
    <w:rsid w:val="00B93951"/>
    <w:rsid w:val="00B93E6D"/>
    <w:rsid w:val="00B94F05"/>
    <w:rsid w:val="00B95054"/>
    <w:rsid w:val="00B975ED"/>
    <w:rsid w:val="00B97A75"/>
    <w:rsid w:val="00B97B33"/>
    <w:rsid w:val="00B97FCD"/>
    <w:rsid w:val="00BA0373"/>
    <w:rsid w:val="00BA08F6"/>
    <w:rsid w:val="00BA0CDF"/>
    <w:rsid w:val="00BA0F34"/>
    <w:rsid w:val="00BA1C7F"/>
    <w:rsid w:val="00BA2982"/>
    <w:rsid w:val="00BA2CCE"/>
    <w:rsid w:val="00BA2D36"/>
    <w:rsid w:val="00BA3808"/>
    <w:rsid w:val="00BA3975"/>
    <w:rsid w:val="00BA3CDE"/>
    <w:rsid w:val="00BA45C7"/>
    <w:rsid w:val="00BA4FF7"/>
    <w:rsid w:val="00BA5D1F"/>
    <w:rsid w:val="00BA63F7"/>
    <w:rsid w:val="00BA65B6"/>
    <w:rsid w:val="00BA6D10"/>
    <w:rsid w:val="00BA79CE"/>
    <w:rsid w:val="00BB07FC"/>
    <w:rsid w:val="00BB1AFE"/>
    <w:rsid w:val="00BB2467"/>
    <w:rsid w:val="00BB27E1"/>
    <w:rsid w:val="00BB2BC5"/>
    <w:rsid w:val="00BB2FB9"/>
    <w:rsid w:val="00BB4587"/>
    <w:rsid w:val="00BB4644"/>
    <w:rsid w:val="00BB597E"/>
    <w:rsid w:val="00BB5D57"/>
    <w:rsid w:val="00BB61B5"/>
    <w:rsid w:val="00BB6651"/>
    <w:rsid w:val="00BB783E"/>
    <w:rsid w:val="00BB7AF3"/>
    <w:rsid w:val="00BB7C5A"/>
    <w:rsid w:val="00BC0682"/>
    <w:rsid w:val="00BC280E"/>
    <w:rsid w:val="00BC3145"/>
    <w:rsid w:val="00BC3805"/>
    <w:rsid w:val="00BC3C44"/>
    <w:rsid w:val="00BC3D02"/>
    <w:rsid w:val="00BC5294"/>
    <w:rsid w:val="00BC54A8"/>
    <w:rsid w:val="00BC58B2"/>
    <w:rsid w:val="00BC59EB"/>
    <w:rsid w:val="00BC5F7A"/>
    <w:rsid w:val="00BC6051"/>
    <w:rsid w:val="00BC6162"/>
    <w:rsid w:val="00BC6308"/>
    <w:rsid w:val="00BD18A4"/>
    <w:rsid w:val="00BD1E58"/>
    <w:rsid w:val="00BD2597"/>
    <w:rsid w:val="00BD28EA"/>
    <w:rsid w:val="00BD29AB"/>
    <w:rsid w:val="00BD3830"/>
    <w:rsid w:val="00BD39DB"/>
    <w:rsid w:val="00BD59C3"/>
    <w:rsid w:val="00BD5EC6"/>
    <w:rsid w:val="00BD5FD0"/>
    <w:rsid w:val="00BE0860"/>
    <w:rsid w:val="00BE0996"/>
    <w:rsid w:val="00BE0ABC"/>
    <w:rsid w:val="00BE0B23"/>
    <w:rsid w:val="00BE0DE7"/>
    <w:rsid w:val="00BE0ECB"/>
    <w:rsid w:val="00BE13FE"/>
    <w:rsid w:val="00BE1AF5"/>
    <w:rsid w:val="00BE1B5D"/>
    <w:rsid w:val="00BE2807"/>
    <w:rsid w:val="00BE28C7"/>
    <w:rsid w:val="00BE34F9"/>
    <w:rsid w:val="00BE450B"/>
    <w:rsid w:val="00BE6DBD"/>
    <w:rsid w:val="00BE78CE"/>
    <w:rsid w:val="00BE7A14"/>
    <w:rsid w:val="00BE7C93"/>
    <w:rsid w:val="00BF2059"/>
    <w:rsid w:val="00BF23E3"/>
    <w:rsid w:val="00BF366E"/>
    <w:rsid w:val="00BF3C6F"/>
    <w:rsid w:val="00BF4126"/>
    <w:rsid w:val="00BF42F5"/>
    <w:rsid w:val="00BF4E1C"/>
    <w:rsid w:val="00BF66EA"/>
    <w:rsid w:val="00C00344"/>
    <w:rsid w:val="00C0074F"/>
    <w:rsid w:val="00C00CF2"/>
    <w:rsid w:val="00C0147D"/>
    <w:rsid w:val="00C01811"/>
    <w:rsid w:val="00C01CC0"/>
    <w:rsid w:val="00C022A7"/>
    <w:rsid w:val="00C0234D"/>
    <w:rsid w:val="00C026D2"/>
    <w:rsid w:val="00C02CE4"/>
    <w:rsid w:val="00C04643"/>
    <w:rsid w:val="00C04812"/>
    <w:rsid w:val="00C04904"/>
    <w:rsid w:val="00C04B34"/>
    <w:rsid w:val="00C04C9A"/>
    <w:rsid w:val="00C050FD"/>
    <w:rsid w:val="00C054F5"/>
    <w:rsid w:val="00C06734"/>
    <w:rsid w:val="00C06CF2"/>
    <w:rsid w:val="00C06D94"/>
    <w:rsid w:val="00C078CA"/>
    <w:rsid w:val="00C078E0"/>
    <w:rsid w:val="00C07B69"/>
    <w:rsid w:val="00C104F8"/>
    <w:rsid w:val="00C10EF6"/>
    <w:rsid w:val="00C11411"/>
    <w:rsid w:val="00C1169B"/>
    <w:rsid w:val="00C12DC2"/>
    <w:rsid w:val="00C136EC"/>
    <w:rsid w:val="00C139D7"/>
    <w:rsid w:val="00C1431A"/>
    <w:rsid w:val="00C14634"/>
    <w:rsid w:val="00C1479A"/>
    <w:rsid w:val="00C14BB4"/>
    <w:rsid w:val="00C14E2A"/>
    <w:rsid w:val="00C14F23"/>
    <w:rsid w:val="00C15A1E"/>
    <w:rsid w:val="00C16CEF"/>
    <w:rsid w:val="00C16EE3"/>
    <w:rsid w:val="00C17B57"/>
    <w:rsid w:val="00C2005D"/>
    <w:rsid w:val="00C207DB"/>
    <w:rsid w:val="00C20C64"/>
    <w:rsid w:val="00C21391"/>
    <w:rsid w:val="00C21517"/>
    <w:rsid w:val="00C21C7A"/>
    <w:rsid w:val="00C22472"/>
    <w:rsid w:val="00C229E7"/>
    <w:rsid w:val="00C23919"/>
    <w:rsid w:val="00C23C02"/>
    <w:rsid w:val="00C244EC"/>
    <w:rsid w:val="00C24657"/>
    <w:rsid w:val="00C2480B"/>
    <w:rsid w:val="00C248E6"/>
    <w:rsid w:val="00C24900"/>
    <w:rsid w:val="00C2528A"/>
    <w:rsid w:val="00C25A57"/>
    <w:rsid w:val="00C25A80"/>
    <w:rsid w:val="00C26D87"/>
    <w:rsid w:val="00C26FF5"/>
    <w:rsid w:val="00C27325"/>
    <w:rsid w:val="00C27AFF"/>
    <w:rsid w:val="00C27CB7"/>
    <w:rsid w:val="00C3068D"/>
    <w:rsid w:val="00C30C00"/>
    <w:rsid w:val="00C31B59"/>
    <w:rsid w:val="00C32586"/>
    <w:rsid w:val="00C32AD0"/>
    <w:rsid w:val="00C32B61"/>
    <w:rsid w:val="00C32CEE"/>
    <w:rsid w:val="00C32F4B"/>
    <w:rsid w:val="00C331E3"/>
    <w:rsid w:val="00C33498"/>
    <w:rsid w:val="00C33BCB"/>
    <w:rsid w:val="00C34733"/>
    <w:rsid w:val="00C35211"/>
    <w:rsid w:val="00C35ABB"/>
    <w:rsid w:val="00C37693"/>
    <w:rsid w:val="00C377E6"/>
    <w:rsid w:val="00C41375"/>
    <w:rsid w:val="00C41407"/>
    <w:rsid w:val="00C415D1"/>
    <w:rsid w:val="00C4230C"/>
    <w:rsid w:val="00C4404D"/>
    <w:rsid w:val="00C4434D"/>
    <w:rsid w:val="00C44771"/>
    <w:rsid w:val="00C44B5D"/>
    <w:rsid w:val="00C453B1"/>
    <w:rsid w:val="00C45B51"/>
    <w:rsid w:val="00C461B7"/>
    <w:rsid w:val="00C46716"/>
    <w:rsid w:val="00C47152"/>
    <w:rsid w:val="00C47C0B"/>
    <w:rsid w:val="00C50CF6"/>
    <w:rsid w:val="00C51B56"/>
    <w:rsid w:val="00C52600"/>
    <w:rsid w:val="00C52D3D"/>
    <w:rsid w:val="00C57429"/>
    <w:rsid w:val="00C57AA2"/>
    <w:rsid w:val="00C605ED"/>
    <w:rsid w:val="00C610FA"/>
    <w:rsid w:val="00C6139F"/>
    <w:rsid w:val="00C61705"/>
    <w:rsid w:val="00C6289C"/>
    <w:rsid w:val="00C628DE"/>
    <w:rsid w:val="00C6587B"/>
    <w:rsid w:val="00C658C9"/>
    <w:rsid w:val="00C6655C"/>
    <w:rsid w:val="00C701CF"/>
    <w:rsid w:val="00C702FF"/>
    <w:rsid w:val="00C709B0"/>
    <w:rsid w:val="00C709B1"/>
    <w:rsid w:val="00C70CFD"/>
    <w:rsid w:val="00C71F29"/>
    <w:rsid w:val="00C723EA"/>
    <w:rsid w:val="00C72D89"/>
    <w:rsid w:val="00C73E96"/>
    <w:rsid w:val="00C74653"/>
    <w:rsid w:val="00C74736"/>
    <w:rsid w:val="00C74CFA"/>
    <w:rsid w:val="00C75471"/>
    <w:rsid w:val="00C75FFE"/>
    <w:rsid w:val="00C77559"/>
    <w:rsid w:val="00C77CF8"/>
    <w:rsid w:val="00C802E3"/>
    <w:rsid w:val="00C805AF"/>
    <w:rsid w:val="00C80935"/>
    <w:rsid w:val="00C8163E"/>
    <w:rsid w:val="00C81C31"/>
    <w:rsid w:val="00C8214D"/>
    <w:rsid w:val="00C82D60"/>
    <w:rsid w:val="00C83207"/>
    <w:rsid w:val="00C83F6F"/>
    <w:rsid w:val="00C8408A"/>
    <w:rsid w:val="00C8489C"/>
    <w:rsid w:val="00C848C3"/>
    <w:rsid w:val="00C8513A"/>
    <w:rsid w:val="00C87E3C"/>
    <w:rsid w:val="00C90706"/>
    <w:rsid w:val="00C90F94"/>
    <w:rsid w:val="00C914EE"/>
    <w:rsid w:val="00C91B31"/>
    <w:rsid w:val="00C92572"/>
    <w:rsid w:val="00C9480A"/>
    <w:rsid w:val="00C96A57"/>
    <w:rsid w:val="00C97105"/>
    <w:rsid w:val="00CA1D7F"/>
    <w:rsid w:val="00CA28E0"/>
    <w:rsid w:val="00CA2BA0"/>
    <w:rsid w:val="00CA3143"/>
    <w:rsid w:val="00CA34C0"/>
    <w:rsid w:val="00CA3983"/>
    <w:rsid w:val="00CA4514"/>
    <w:rsid w:val="00CA4C47"/>
    <w:rsid w:val="00CA5710"/>
    <w:rsid w:val="00CA586A"/>
    <w:rsid w:val="00CA58F6"/>
    <w:rsid w:val="00CA5980"/>
    <w:rsid w:val="00CA5D93"/>
    <w:rsid w:val="00CA5E0C"/>
    <w:rsid w:val="00CA640A"/>
    <w:rsid w:val="00CA6625"/>
    <w:rsid w:val="00CA6E6B"/>
    <w:rsid w:val="00CA7673"/>
    <w:rsid w:val="00CA7735"/>
    <w:rsid w:val="00CA7B1F"/>
    <w:rsid w:val="00CA7EF3"/>
    <w:rsid w:val="00CB0BD5"/>
    <w:rsid w:val="00CB123C"/>
    <w:rsid w:val="00CB2096"/>
    <w:rsid w:val="00CB2AAF"/>
    <w:rsid w:val="00CB3B39"/>
    <w:rsid w:val="00CB3DDB"/>
    <w:rsid w:val="00CB412B"/>
    <w:rsid w:val="00CB4BF5"/>
    <w:rsid w:val="00CB5270"/>
    <w:rsid w:val="00CB5B55"/>
    <w:rsid w:val="00CB6785"/>
    <w:rsid w:val="00CB6AF0"/>
    <w:rsid w:val="00CB7A50"/>
    <w:rsid w:val="00CB7A54"/>
    <w:rsid w:val="00CB7B1B"/>
    <w:rsid w:val="00CC1946"/>
    <w:rsid w:val="00CC235E"/>
    <w:rsid w:val="00CC24CD"/>
    <w:rsid w:val="00CC3742"/>
    <w:rsid w:val="00CC3C9F"/>
    <w:rsid w:val="00CC45C4"/>
    <w:rsid w:val="00CC4F78"/>
    <w:rsid w:val="00CC5EBD"/>
    <w:rsid w:val="00CC619C"/>
    <w:rsid w:val="00CC7E1E"/>
    <w:rsid w:val="00CD01E9"/>
    <w:rsid w:val="00CD0CD8"/>
    <w:rsid w:val="00CD2402"/>
    <w:rsid w:val="00CD27C6"/>
    <w:rsid w:val="00CD30B4"/>
    <w:rsid w:val="00CD3372"/>
    <w:rsid w:val="00CD500C"/>
    <w:rsid w:val="00CD5A1B"/>
    <w:rsid w:val="00CD5D17"/>
    <w:rsid w:val="00CD6189"/>
    <w:rsid w:val="00CD628D"/>
    <w:rsid w:val="00CD63CE"/>
    <w:rsid w:val="00CD681F"/>
    <w:rsid w:val="00CD6C6B"/>
    <w:rsid w:val="00CD7709"/>
    <w:rsid w:val="00CD7B50"/>
    <w:rsid w:val="00CD7CEF"/>
    <w:rsid w:val="00CE021C"/>
    <w:rsid w:val="00CE03CC"/>
    <w:rsid w:val="00CE1EC1"/>
    <w:rsid w:val="00CE255A"/>
    <w:rsid w:val="00CE33D5"/>
    <w:rsid w:val="00CE3CA9"/>
    <w:rsid w:val="00CE4C3D"/>
    <w:rsid w:val="00CE518D"/>
    <w:rsid w:val="00CE5391"/>
    <w:rsid w:val="00CE58A2"/>
    <w:rsid w:val="00CE6393"/>
    <w:rsid w:val="00CE663A"/>
    <w:rsid w:val="00CE6EC1"/>
    <w:rsid w:val="00CE725E"/>
    <w:rsid w:val="00CE73EF"/>
    <w:rsid w:val="00CE74BB"/>
    <w:rsid w:val="00CE7A55"/>
    <w:rsid w:val="00CF08C4"/>
    <w:rsid w:val="00CF2000"/>
    <w:rsid w:val="00CF3263"/>
    <w:rsid w:val="00CF344D"/>
    <w:rsid w:val="00CF38E3"/>
    <w:rsid w:val="00CF4F72"/>
    <w:rsid w:val="00CF4FF9"/>
    <w:rsid w:val="00CF5084"/>
    <w:rsid w:val="00CF525F"/>
    <w:rsid w:val="00CF6A3A"/>
    <w:rsid w:val="00CF6F30"/>
    <w:rsid w:val="00CF75F2"/>
    <w:rsid w:val="00D00245"/>
    <w:rsid w:val="00D00954"/>
    <w:rsid w:val="00D015F5"/>
    <w:rsid w:val="00D01843"/>
    <w:rsid w:val="00D01D05"/>
    <w:rsid w:val="00D02059"/>
    <w:rsid w:val="00D02FED"/>
    <w:rsid w:val="00D03B24"/>
    <w:rsid w:val="00D04343"/>
    <w:rsid w:val="00D044F0"/>
    <w:rsid w:val="00D045D6"/>
    <w:rsid w:val="00D0488E"/>
    <w:rsid w:val="00D0497D"/>
    <w:rsid w:val="00D049B9"/>
    <w:rsid w:val="00D04C86"/>
    <w:rsid w:val="00D06893"/>
    <w:rsid w:val="00D075D8"/>
    <w:rsid w:val="00D07E1C"/>
    <w:rsid w:val="00D10905"/>
    <w:rsid w:val="00D11161"/>
    <w:rsid w:val="00D11553"/>
    <w:rsid w:val="00D129DA"/>
    <w:rsid w:val="00D139BA"/>
    <w:rsid w:val="00D13E7C"/>
    <w:rsid w:val="00D14D5F"/>
    <w:rsid w:val="00D14EC2"/>
    <w:rsid w:val="00D151A1"/>
    <w:rsid w:val="00D1594D"/>
    <w:rsid w:val="00D15A85"/>
    <w:rsid w:val="00D1632D"/>
    <w:rsid w:val="00D16820"/>
    <w:rsid w:val="00D170C5"/>
    <w:rsid w:val="00D17DB2"/>
    <w:rsid w:val="00D20E3D"/>
    <w:rsid w:val="00D233F5"/>
    <w:rsid w:val="00D23CC2"/>
    <w:rsid w:val="00D23DE8"/>
    <w:rsid w:val="00D24A84"/>
    <w:rsid w:val="00D24E62"/>
    <w:rsid w:val="00D26E9C"/>
    <w:rsid w:val="00D30A6B"/>
    <w:rsid w:val="00D30DA6"/>
    <w:rsid w:val="00D316B9"/>
    <w:rsid w:val="00D31F64"/>
    <w:rsid w:val="00D32F56"/>
    <w:rsid w:val="00D33BE1"/>
    <w:rsid w:val="00D33CFD"/>
    <w:rsid w:val="00D34438"/>
    <w:rsid w:val="00D34C26"/>
    <w:rsid w:val="00D350BD"/>
    <w:rsid w:val="00D35343"/>
    <w:rsid w:val="00D36A97"/>
    <w:rsid w:val="00D37D82"/>
    <w:rsid w:val="00D40110"/>
    <w:rsid w:val="00D404CA"/>
    <w:rsid w:val="00D411F5"/>
    <w:rsid w:val="00D416EB"/>
    <w:rsid w:val="00D41928"/>
    <w:rsid w:val="00D41EE6"/>
    <w:rsid w:val="00D42151"/>
    <w:rsid w:val="00D424E3"/>
    <w:rsid w:val="00D4282F"/>
    <w:rsid w:val="00D42AA9"/>
    <w:rsid w:val="00D4371E"/>
    <w:rsid w:val="00D43FB1"/>
    <w:rsid w:val="00D4406C"/>
    <w:rsid w:val="00D448A8"/>
    <w:rsid w:val="00D471B0"/>
    <w:rsid w:val="00D47524"/>
    <w:rsid w:val="00D4781C"/>
    <w:rsid w:val="00D47E9C"/>
    <w:rsid w:val="00D5007F"/>
    <w:rsid w:val="00D503A5"/>
    <w:rsid w:val="00D503C1"/>
    <w:rsid w:val="00D51A28"/>
    <w:rsid w:val="00D51DBC"/>
    <w:rsid w:val="00D5214F"/>
    <w:rsid w:val="00D524B8"/>
    <w:rsid w:val="00D5398E"/>
    <w:rsid w:val="00D53FEA"/>
    <w:rsid w:val="00D5477D"/>
    <w:rsid w:val="00D54808"/>
    <w:rsid w:val="00D55280"/>
    <w:rsid w:val="00D554FE"/>
    <w:rsid w:val="00D556DC"/>
    <w:rsid w:val="00D55796"/>
    <w:rsid w:val="00D561FF"/>
    <w:rsid w:val="00D5621F"/>
    <w:rsid w:val="00D5637F"/>
    <w:rsid w:val="00D5695A"/>
    <w:rsid w:val="00D56E03"/>
    <w:rsid w:val="00D576F5"/>
    <w:rsid w:val="00D578C2"/>
    <w:rsid w:val="00D57E23"/>
    <w:rsid w:val="00D61C6E"/>
    <w:rsid w:val="00D62CAE"/>
    <w:rsid w:val="00D6312D"/>
    <w:rsid w:val="00D63A12"/>
    <w:rsid w:val="00D64251"/>
    <w:rsid w:val="00D65C2B"/>
    <w:rsid w:val="00D66716"/>
    <w:rsid w:val="00D673F1"/>
    <w:rsid w:val="00D67720"/>
    <w:rsid w:val="00D7043E"/>
    <w:rsid w:val="00D7073F"/>
    <w:rsid w:val="00D70F43"/>
    <w:rsid w:val="00D71206"/>
    <w:rsid w:val="00D7145F"/>
    <w:rsid w:val="00D71678"/>
    <w:rsid w:val="00D71A63"/>
    <w:rsid w:val="00D7234A"/>
    <w:rsid w:val="00D744F7"/>
    <w:rsid w:val="00D749E5"/>
    <w:rsid w:val="00D75895"/>
    <w:rsid w:val="00D7674C"/>
    <w:rsid w:val="00D7700A"/>
    <w:rsid w:val="00D77227"/>
    <w:rsid w:val="00D775F1"/>
    <w:rsid w:val="00D77BC3"/>
    <w:rsid w:val="00D81B81"/>
    <w:rsid w:val="00D81CA0"/>
    <w:rsid w:val="00D81EB8"/>
    <w:rsid w:val="00D82184"/>
    <w:rsid w:val="00D82F76"/>
    <w:rsid w:val="00D8373A"/>
    <w:rsid w:val="00D8376E"/>
    <w:rsid w:val="00D83B5B"/>
    <w:rsid w:val="00D83F35"/>
    <w:rsid w:val="00D84907"/>
    <w:rsid w:val="00D85172"/>
    <w:rsid w:val="00D85226"/>
    <w:rsid w:val="00D8525A"/>
    <w:rsid w:val="00D85FF3"/>
    <w:rsid w:val="00D865FC"/>
    <w:rsid w:val="00D902B6"/>
    <w:rsid w:val="00D915D3"/>
    <w:rsid w:val="00D917BF"/>
    <w:rsid w:val="00D9230D"/>
    <w:rsid w:val="00D92616"/>
    <w:rsid w:val="00D93653"/>
    <w:rsid w:val="00D93854"/>
    <w:rsid w:val="00D942AA"/>
    <w:rsid w:val="00D94938"/>
    <w:rsid w:val="00D9674B"/>
    <w:rsid w:val="00D973FF"/>
    <w:rsid w:val="00D978EB"/>
    <w:rsid w:val="00D97EF8"/>
    <w:rsid w:val="00DA0A8A"/>
    <w:rsid w:val="00DA0AEF"/>
    <w:rsid w:val="00DA0B3B"/>
    <w:rsid w:val="00DA21DC"/>
    <w:rsid w:val="00DA2600"/>
    <w:rsid w:val="00DA2C1F"/>
    <w:rsid w:val="00DA324E"/>
    <w:rsid w:val="00DA34B8"/>
    <w:rsid w:val="00DA39C9"/>
    <w:rsid w:val="00DA3DD5"/>
    <w:rsid w:val="00DA3E16"/>
    <w:rsid w:val="00DA43AE"/>
    <w:rsid w:val="00DA5D10"/>
    <w:rsid w:val="00DA623B"/>
    <w:rsid w:val="00DA6B5E"/>
    <w:rsid w:val="00DA718F"/>
    <w:rsid w:val="00DB01CB"/>
    <w:rsid w:val="00DB0D80"/>
    <w:rsid w:val="00DB0E1E"/>
    <w:rsid w:val="00DB1F09"/>
    <w:rsid w:val="00DB1FE8"/>
    <w:rsid w:val="00DB22C1"/>
    <w:rsid w:val="00DB25C8"/>
    <w:rsid w:val="00DB2619"/>
    <w:rsid w:val="00DB29C2"/>
    <w:rsid w:val="00DB2CE8"/>
    <w:rsid w:val="00DB2F33"/>
    <w:rsid w:val="00DB4B9B"/>
    <w:rsid w:val="00DB4D16"/>
    <w:rsid w:val="00DB5308"/>
    <w:rsid w:val="00DB5CD1"/>
    <w:rsid w:val="00DB6983"/>
    <w:rsid w:val="00DB703B"/>
    <w:rsid w:val="00DC133D"/>
    <w:rsid w:val="00DC1633"/>
    <w:rsid w:val="00DC1F94"/>
    <w:rsid w:val="00DC36F9"/>
    <w:rsid w:val="00DC3A2F"/>
    <w:rsid w:val="00DC3B12"/>
    <w:rsid w:val="00DC3B3E"/>
    <w:rsid w:val="00DC3E95"/>
    <w:rsid w:val="00DC4E82"/>
    <w:rsid w:val="00DC5637"/>
    <w:rsid w:val="00DC5CCC"/>
    <w:rsid w:val="00DC67B2"/>
    <w:rsid w:val="00DC7AFE"/>
    <w:rsid w:val="00DD061E"/>
    <w:rsid w:val="00DD0B83"/>
    <w:rsid w:val="00DD1CA8"/>
    <w:rsid w:val="00DD29DD"/>
    <w:rsid w:val="00DD46EA"/>
    <w:rsid w:val="00DD55AF"/>
    <w:rsid w:val="00DD613C"/>
    <w:rsid w:val="00DD7849"/>
    <w:rsid w:val="00DD7EBD"/>
    <w:rsid w:val="00DE08AE"/>
    <w:rsid w:val="00DE12C0"/>
    <w:rsid w:val="00DE17B0"/>
    <w:rsid w:val="00DE1A65"/>
    <w:rsid w:val="00DE1D31"/>
    <w:rsid w:val="00DE1ED0"/>
    <w:rsid w:val="00DE1FEF"/>
    <w:rsid w:val="00DE27CB"/>
    <w:rsid w:val="00DE2C56"/>
    <w:rsid w:val="00DE4106"/>
    <w:rsid w:val="00DE5B0A"/>
    <w:rsid w:val="00DE6885"/>
    <w:rsid w:val="00DE68DD"/>
    <w:rsid w:val="00DE7165"/>
    <w:rsid w:val="00DE79C2"/>
    <w:rsid w:val="00DE7F5A"/>
    <w:rsid w:val="00DF0957"/>
    <w:rsid w:val="00DF2100"/>
    <w:rsid w:val="00DF4561"/>
    <w:rsid w:val="00DF45E2"/>
    <w:rsid w:val="00DF493E"/>
    <w:rsid w:val="00DF5312"/>
    <w:rsid w:val="00DF5CBA"/>
    <w:rsid w:val="00DF681E"/>
    <w:rsid w:val="00DF68A9"/>
    <w:rsid w:val="00DF6929"/>
    <w:rsid w:val="00E00855"/>
    <w:rsid w:val="00E01514"/>
    <w:rsid w:val="00E03E4D"/>
    <w:rsid w:val="00E058AE"/>
    <w:rsid w:val="00E065C1"/>
    <w:rsid w:val="00E06BE7"/>
    <w:rsid w:val="00E07170"/>
    <w:rsid w:val="00E079FE"/>
    <w:rsid w:val="00E07A14"/>
    <w:rsid w:val="00E07DCE"/>
    <w:rsid w:val="00E109D6"/>
    <w:rsid w:val="00E10D42"/>
    <w:rsid w:val="00E1127D"/>
    <w:rsid w:val="00E119E0"/>
    <w:rsid w:val="00E11C3E"/>
    <w:rsid w:val="00E1275A"/>
    <w:rsid w:val="00E12AA9"/>
    <w:rsid w:val="00E12E96"/>
    <w:rsid w:val="00E13183"/>
    <w:rsid w:val="00E138EF"/>
    <w:rsid w:val="00E138FB"/>
    <w:rsid w:val="00E14109"/>
    <w:rsid w:val="00E14526"/>
    <w:rsid w:val="00E17880"/>
    <w:rsid w:val="00E17BCC"/>
    <w:rsid w:val="00E17E0F"/>
    <w:rsid w:val="00E20067"/>
    <w:rsid w:val="00E201AE"/>
    <w:rsid w:val="00E224B4"/>
    <w:rsid w:val="00E22AD3"/>
    <w:rsid w:val="00E23136"/>
    <w:rsid w:val="00E2403C"/>
    <w:rsid w:val="00E24165"/>
    <w:rsid w:val="00E24C63"/>
    <w:rsid w:val="00E24DAA"/>
    <w:rsid w:val="00E25BE4"/>
    <w:rsid w:val="00E25D41"/>
    <w:rsid w:val="00E25E84"/>
    <w:rsid w:val="00E2712C"/>
    <w:rsid w:val="00E272CB"/>
    <w:rsid w:val="00E2732F"/>
    <w:rsid w:val="00E30296"/>
    <w:rsid w:val="00E30B61"/>
    <w:rsid w:val="00E30C8F"/>
    <w:rsid w:val="00E30CE8"/>
    <w:rsid w:val="00E31610"/>
    <w:rsid w:val="00E32A28"/>
    <w:rsid w:val="00E33603"/>
    <w:rsid w:val="00E33905"/>
    <w:rsid w:val="00E33B24"/>
    <w:rsid w:val="00E346E9"/>
    <w:rsid w:val="00E3504F"/>
    <w:rsid w:val="00E35129"/>
    <w:rsid w:val="00E352F7"/>
    <w:rsid w:val="00E35B95"/>
    <w:rsid w:val="00E37404"/>
    <w:rsid w:val="00E37800"/>
    <w:rsid w:val="00E4013A"/>
    <w:rsid w:val="00E40163"/>
    <w:rsid w:val="00E402EA"/>
    <w:rsid w:val="00E41830"/>
    <w:rsid w:val="00E419C1"/>
    <w:rsid w:val="00E428B9"/>
    <w:rsid w:val="00E42EED"/>
    <w:rsid w:val="00E442A5"/>
    <w:rsid w:val="00E464CE"/>
    <w:rsid w:val="00E4665F"/>
    <w:rsid w:val="00E47FBF"/>
    <w:rsid w:val="00E51D36"/>
    <w:rsid w:val="00E52783"/>
    <w:rsid w:val="00E528BF"/>
    <w:rsid w:val="00E53930"/>
    <w:rsid w:val="00E54999"/>
    <w:rsid w:val="00E54CCF"/>
    <w:rsid w:val="00E55301"/>
    <w:rsid w:val="00E55F1B"/>
    <w:rsid w:val="00E57125"/>
    <w:rsid w:val="00E571CD"/>
    <w:rsid w:val="00E57415"/>
    <w:rsid w:val="00E57606"/>
    <w:rsid w:val="00E5764B"/>
    <w:rsid w:val="00E579F2"/>
    <w:rsid w:val="00E57DEF"/>
    <w:rsid w:val="00E57EAC"/>
    <w:rsid w:val="00E61003"/>
    <w:rsid w:val="00E615F2"/>
    <w:rsid w:val="00E621C9"/>
    <w:rsid w:val="00E62428"/>
    <w:rsid w:val="00E6255E"/>
    <w:rsid w:val="00E63F9C"/>
    <w:rsid w:val="00E64580"/>
    <w:rsid w:val="00E64729"/>
    <w:rsid w:val="00E64D38"/>
    <w:rsid w:val="00E6566F"/>
    <w:rsid w:val="00E66983"/>
    <w:rsid w:val="00E669B0"/>
    <w:rsid w:val="00E70DF9"/>
    <w:rsid w:val="00E7387E"/>
    <w:rsid w:val="00E738DA"/>
    <w:rsid w:val="00E744EA"/>
    <w:rsid w:val="00E74708"/>
    <w:rsid w:val="00E74820"/>
    <w:rsid w:val="00E748A7"/>
    <w:rsid w:val="00E74D3A"/>
    <w:rsid w:val="00E74F1C"/>
    <w:rsid w:val="00E76293"/>
    <w:rsid w:val="00E77822"/>
    <w:rsid w:val="00E77F33"/>
    <w:rsid w:val="00E80329"/>
    <w:rsid w:val="00E8059E"/>
    <w:rsid w:val="00E814DD"/>
    <w:rsid w:val="00E8165D"/>
    <w:rsid w:val="00E816AC"/>
    <w:rsid w:val="00E81A66"/>
    <w:rsid w:val="00E81C60"/>
    <w:rsid w:val="00E82265"/>
    <w:rsid w:val="00E827BB"/>
    <w:rsid w:val="00E82967"/>
    <w:rsid w:val="00E82CBB"/>
    <w:rsid w:val="00E82E9D"/>
    <w:rsid w:val="00E8328C"/>
    <w:rsid w:val="00E83790"/>
    <w:rsid w:val="00E83B09"/>
    <w:rsid w:val="00E83F08"/>
    <w:rsid w:val="00E84B6C"/>
    <w:rsid w:val="00E853C8"/>
    <w:rsid w:val="00E8571D"/>
    <w:rsid w:val="00E86163"/>
    <w:rsid w:val="00E8624C"/>
    <w:rsid w:val="00E86A28"/>
    <w:rsid w:val="00E86BAE"/>
    <w:rsid w:val="00E87320"/>
    <w:rsid w:val="00E87DE9"/>
    <w:rsid w:val="00E90195"/>
    <w:rsid w:val="00E9085D"/>
    <w:rsid w:val="00E91C3E"/>
    <w:rsid w:val="00E91F40"/>
    <w:rsid w:val="00E921EE"/>
    <w:rsid w:val="00E92607"/>
    <w:rsid w:val="00E929E4"/>
    <w:rsid w:val="00E92A15"/>
    <w:rsid w:val="00E92AFB"/>
    <w:rsid w:val="00E93A7F"/>
    <w:rsid w:val="00E93E9D"/>
    <w:rsid w:val="00E943EF"/>
    <w:rsid w:val="00E945A1"/>
    <w:rsid w:val="00E94B3A"/>
    <w:rsid w:val="00E957B0"/>
    <w:rsid w:val="00E95B07"/>
    <w:rsid w:val="00E95C74"/>
    <w:rsid w:val="00E9673E"/>
    <w:rsid w:val="00E9742F"/>
    <w:rsid w:val="00E978B7"/>
    <w:rsid w:val="00E97CAA"/>
    <w:rsid w:val="00E97DCE"/>
    <w:rsid w:val="00EA007D"/>
    <w:rsid w:val="00EA1190"/>
    <w:rsid w:val="00EA1E04"/>
    <w:rsid w:val="00EA5427"/>
    <w:rsid w:val="00EA67BA"/>
    <w:rsid w:val="00EA6860"/>
    <w:rsid w:val="00EB0432"/>
    <w:rsid w:val="00EB0BAA"/>
    <w:rsid w:val="00EB1BEB"/>
    <w:rsid w:val="00EB1CB4"/>
    <w:rsid w:val="00EB2C1F"/>
    <w:rsid w:val="00EB2C8A"/>
    <w:rsid w:val="00EB457B"/>
    <w:rsid w:val="00EB5FCC"/>
    <w:rsid w:val="00EB6F90"/>
    <w:rsid w:val="00EB7C16"/>
    <w:rsid w:val="00EC03C9"/>
    <w:rsid w:val="00EC0731"/>
    <w:rsid w:val="00EC1591"/>
    <w:rsid w:val="00EC1A08"/>
    <w:rsid w:val="00EC1D7C"/>
    <w:rsid w:val="00EC23DF"/>
    <w:rsid w:val="00EC26FB"/>
    <w:rsid w:val="00EC3225"/>
    <w:rsid w:val="00EC3BE7"/>
    <w:rsid w:val="00EC40DE"/>
    <w:rsid w:val="00EC4DBA"/>
    <w:rsid w:val="00EC4E2B"/>
    <w:rsid w:val="00EC5BA7"/>
    <w:rsid w:val="00EC5D44"/>
    <w:rsid w:val="00EC5DB0"/>
    <w:rsid w:val="00ED05F2"/>
    <w:rsid w:val="00ED09F2"/>
    <w:rsid w:val="00ED1551"/>
    <w:rsid w:val="00ED16B6"/>
    <w:rsid w:val="00ED2747"/>
    <w:rsid w:val="00ED27ED"/>
    <w:rsid w:val="00ED306E"/>
    <w:rsid w:val="00ED34C5"/>
    <w:rsid w:val="00ED4041"/>
    <w:rsid w:val="00ED50ED"/>
    <w:rsid w:val="00ED5694"/>
    <w:rsid w:val="00ED5712"/>
    <w:rsid w:val="00ED6DC8"/>
    <w:rsid w:val="00ED7DFE"/>
    <w:rsid w:val="00EE06CD"/>
    <w:rsid w:val="00EE1471"/>
    <w:rsid w:val="00EE1EDB"/>
    <w:rsid w:val="00EE1FB4"/>
    <w:rsid w:val="00EE3A2B"/>
    <w:rsid w:val="00EE3C3B"/>
    <w:rsid w:val="00EE4026"/>
    <w:rsid w:val="00EE504B"/>
    <w:rsid w:val="00EE5632"/>
    <w:rsid w:val="00EE5D98"/>
    <w:rsid w:val="00EE66FA"/>
    <w:rsid w:val="00EE760B"/>
    <w:rsid w:val="00EF0C64"/>
    <w:rsid w:val="00EF2826"/>
    <w:rsid w:val="00EF293B"/>
    <w:rsid w:val="00EF2DCC"/>
    <w:rsid w:val="00EF42C7"/>
    <w:rsid w:val="00EF5CF4"/>
    <w:rsid w:val="00EF5E50"/>
    <w:rsid w:val="00EF7478"/>
    <w:rsid w:val="00EF7505"/>
    <w:rsid w:val="00F00AFF"/>
    <w:rsid w:val="00F015E3"/>
    <w:rsid w:val="00F01ABF"/>
    <w:rsid w:val="00F03C8E"/>
    <w:rsid w:val="00F048DE"/>
    <w:rsid w:val="00F054F9"/>
    <w:rsid w:val="00F05C91"/>
    <w:rsid w:val="00F05E11"/>
    <w:rsid w:val="00F0627B"/>
    <w:rsid w:val="00F06B08"/>
    <w:rsid w:val="00F10A71"/>
    <w:rsid w:val="00F10FCA"/>
    <w:rsid w:val="00F11457"/>
    <w:rsid w:val="00F119A5"/>
    <w:rsid w:val="00F12C80"/>
    <w:rsid w:val="00F13CD1"/>
    <w:rsid w:val="00F16220"/>
    <w:rsid w:val="00F16F04"/>
    <w:rsid w:val="00F17005"/>
    <w:rsid w:val="00F173E6"/>
    <w:rsid w:val="00F173F3"/>
    <w:rsid w:val="00F17BBC"/>
    <w:rsid w:val="00F20381"/>
    <w:rsid w:val="00F207BA"/>
    <w:rsid w:val="00F21199"/>
    <w:rsid w:val="00F2295A"/>
    <w:rsid w:val="00F22E30"/>
    <w:rsid w:val="00F23324"/>
    <w:rsid w:val="00F2338E"/>
    <w:rsid w:val="00F24246"/>
    <w:rsid w:val="00F24F6D"/>
    <w:rsid w:val="00F25F97"/>
    <w:rsid w:val="00F2603F"/>
    <w:rsid w:val="00F263C8"/>
    <w:rsid w:val="00F2666B"/>
    <w:rsid w:val="00F268AC"/>
    <w:rsid w:val="00F26A7A"/>
    <w:rsid w:val="00F27401"/>
    <w:rsid w:val="00F30746"/>
    <w:rsid w:val="00F308FC"/>
    <w:rsid w:val="00F30BF4"/>
    <w:rsid w:val="00F318AC"/>
    <w:rsid w:val="00F31E1F"/>
    <w:rsid w:val="00F328A2"/>
    <w:rsid w:val="00F32BB9"/>
    <w:rsid w:val="00F340B8"/>
    <w:rsid w:val="00F342E5"/>
    <w:rsid w:val="00F342E8"/>
    <w:rsid w:val="00F3444F"/>
    <w:rsid w:val="00F3468F"/>
    <w:rsid w:val="00F34B9B"/>
    <w:rsid w:val="00F35B53"/>
    <w:rsid w:val="00F35B78"/>
    <w:rsid w:val="00F35E64"/>
    <w:rsid w:val="00F361EF"/>
    <w:rsid w:val="00F367BD"/>
    <w:rsid w:val="00F3755F"/>
    <w:rsid w:val="00F37687"/>
    <w:rsid w:val="00F37A35"/>
    <w:rsid w:val="00F40239"/>
    <w:rsid w:val="00F40E46"/>
    <w:rsid w:val="00F4121B"/>
    <w:rsid w:val="00F427F1"/>
    <w:rsid w:val="00F4281C"/>
    <w:rsid w:val="00F42AAC"/>
    <w:rsid w:val="00F42EB6"/>
    <w:rsid w:val="00F435D1"/>
    <w:rsid w:val="00F439FD"/>
    <w:rsid w:val="00F44404"/>
    <w:rsid w:val="00F448D3"/>
    <w:rsid w:val="00F44BD2"/>
    <w:rsid w:val="00F44DA4"/>
    <w:rsid w:val="00F45930"/>
    <w:rsid w:val="00F46CDF"/>
    <w:rsid w:val="00F47386"/>
    <w:rsid w:val="00F47AF0"/>
    <w:rsid w:val="00F47D9D"/>
    <w:rsid w:val="00F50336"/>
    <w:rsid w:val="00F50490"/>
    <w:rsid w:val="00F50985"/>
    <w:rsid w:val="00F510BE"/>
    <w:rsid w:val="00F52166"/>
    <w:rsid w:val="00F52562"/>
    <w:rsid w:val="00F535FC"/>
    <w:rsid w:val="00F5377B"/>
    <w:rsid w:val="00F53CC3"/>
    <w:rsid w:val="00F53CFD"/>
    <w:rsid w:val="00F5478D"/>
    <w:rsid w:val="00F54A1E"/>
    <w:rsid w:val="00F54C89"/>
    <w:rsid w:val="00F54D0F"/>
    <w:rsid w:val="00F55282"/>
    <w:rsid w:val="00F55512"/>
    <w:rsid w:val="00F56550"/>
    <w:rsid w:val="00F56746"/>
    <w:rsid w:val="00F56FD7"/>
    <w:rsid w:val="00F571BC"/>
    <w:rsid w:val="00F5726A"/>
    <w:rsid w:val="00F5770A"/>
    <w:rsid w:val="00F6078C"/>
    <w:rsid w:val="00F613DE"/>
    <w:rsid w:val="00F61929"/>
    <w:rsid w:val="00F61EFF"/>
    <w:rsid w:val="00F62A7C"/>
    <w:rsid w:val="00F62E0F"/>
    <w:rsid w:val="00F630D1"/>
    <w:rsid w:val="00F6435D"/>
    <w:rsid w:val="00F64EE0"/>
    <w:rsid w:val="00F6504D"/>
    <w:rsid w:val="00F66906"/>
    <w:rsid w:val="00F67119"/>
    <w:rsid w:val="00F675DA"/>
    <w:rsid w:val="00F676E1"/>
    <w:rsid w:val="00F677CB"/>
    <w:rsid w:val="00F67C3E"/>
    <w:rsid w:val="00F67E6A"/>
    <w:rsid w:val="00F7026E"/>
    <w:rsid w:val="00F70F18"/>
    <w:rsid w:val="00F715D1"/>
    <w:rsid w:val="00F72082"/>
    <w:rsid w:val="00F73B38"/>
    <w:rsid w:val="00F73DDD"/>
    <w:rsid w:val="00F74362"/>
    <w:rsid w:val="00F746AF"/>
    <w:rsid w:val="00F74888"/>
    <w:rsid w:val="00F74D4A"/>
    <w:rsid w:val="00F75510"/>
    <w:rsid w:val="00F7583E"/>
    <w:rsid w:val="00F76AE4"/>
    <w:rsid w:val="00F7739C"/>
    <w:rsid w:val="00F77478"/>
    <w:rsid w:val="00F8011D"/>
    <w:rsid w:val="00F8013F"/>
    <w:rsid w:val="00F815CD"/>
    <w:rsid w:val="00F81A05"/>
    <w:rsid w:val="00F8275A"/>
    <w:rsid w:val="00F83C54"/>
    <w:rsid w:val="00F84433"/>
    <w:rsid w:val="00F8505B"/>
    <w:rsid w:val="00F86461"/>
    <w:rsid w:val="00F871D1"/>
    <w:rsid w:val="00F87315"/>
    <w:rsid w:val="00F90931"/>
    <w:rsid w:val="00F9096C"/>
    <w:rsid w:val="00F91918"/>
    <w:rsid w:val="00F9255E"/>
    <w:rsid w:val="00F9263C"/>
    <w:rsid w:val="00F935F0"/>
    <w:rsid w:val="00F93A60"/>
    <w:rsid w:val="00F946C3"/>
    <w:rsid w:val="00F94C5A"/>
    <w:rsid w:val="00F95482"/>
    <w:rsid w:val="00F966B1"/>
    <w:rsid w:val="00FA082F"/>
    <w:rsid w:val="00FA3713"/>
    <w:rsid w:val="00FA421E"/>
    <w:rsid w:val="00FA4A53"/>
    <w:rsid w:val="00FA5852"/>
    <w:rsid w:val="00FA5C0C"/>
    <w:rsid w:val="00FA5DC5"/>
    <w:rsid w:val="00FA6409"/>
    <w:rsid w:val="00FA6468"/>
    <w:rsid w:val="00FB054B"/>
    <w:rsid w:val="00FB0719"/>
    <w:rsid w:val="00FB124D"/>
    <w:rsid w:val="00FB1352"/>
    <w:rsid w:val="00FB14FA"/>
    <w:rsid w:val="00FB2B44"/>
    <w:rsid w:val="00FB2B98"/>
    <w:rsid w:val="00FB4101"/>
    <w:rsid w:val="00FB48A6"/>
    <w:rsid w:val="00FB4C61"/>
    <w:rsid w:val="00FB4EB6"/>
    <w:rsid w:val="00FB4FC5"/>
    <w:rsid w:val="00FB52A5"/>
    <w:rsid w:val="00FB535A"/>
    <w:rsid w:val="00FB5896"/>
    <w:rsid w:val="00FB65A7"/>
    <w:rsid w:val="00FB6ADA"/>
    <w:rsid w:val="00FC05CA"/>
    <w:rsid w:val="00FC0C21"/>
    <w:rsid w:val="00FC0CE9"/>
    <w:rsid w:val="00FC0DC0"/>
    <w:rsid w:val="00FC1B2C"/>
    <w:rsid w:val="00FC22E7"/>
    <w:rsid w:val="00FC23D4"/>
    <w:rsid w:val="00FC28CF"/>
    <w:rsid w:val="00FC3A44"/>
    <w:rsid w:val="00FC6341"/>
    <w:rsid w:val="00FC6D99"/>
    <w:rsid w:val="00FC7399"/>
    <w:rsid w:val="00FC7721"/>
    <w:rsid w:val="00FC79D8"/>
    <w:rsid w:val="00FC7DBB"/>
    <w:rsid w:val="00FD19BC"/>
    <w:rsid w:val="00FD2261"/>
    <w:rsid w:val="00FD3DF9"/>
    <w:rsid w:val="00FD4B5A"/>
    <w:rsid w:val="00FD4CAB"/>
    <w:rsid w:val="00FD5308"/>
    <w:rsid w:val="00FD6E6A"/>
    <w:rsid w:val="00FD7F46"/>
    <w:rsid w:val="00FE04CE"/>
    <w:rsid w:val="00FE0B14"/>
    <w:rsid w:val="00FE1461"/>
    <w:rsid w:val="00FE22D3"/>
    <w:rsid w:val="00FE2E36"/>
    <w:rsid w:val="00FE3016"/>
    <w:rsid w:val="00FE3C26"/>
    <w:rsid w:val="00FE4F3B"/>
    <w:rsid w:val="00FE645A"/>
    <w:rsid w:val="00FE6AFD"/>
    <w:rsid w:val="00FE7735"/>
    <w:rsid w:val="00FF06F0"/>
    <w:rsid w:val="00FF0ADD"/>
    <w:rsid w:val="00FF2E60"/>
    <w:rsid w:val="00FF31BB"/>
    <w:rsid w:val="00FF324A"/>
    <w:rsid w:val="00FF3C98"/>
    <w:rsid w:val="00FF3D1F"/>
    <w:rsid w:val="00FF51D8"/>
    <w:rsid w:val="00FF5858"/>
    <w:rsid w:val="00FF6FA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EA21F6"/>
  <w15:chartTrackingRefBased/>
  <w15:docId w15:val="{79124031-DD8D-4AE3-81F8-D2533CC2F3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7B8C"/>
    <w:rPr>
      <w:lang w:val="en-US"/>
    </w:rPr>
  </w:style>
  <w:style w:type="paragraph" w:styleId="Heading1">
    <w:name w:val="heading 1"/>
    <w:basedOn w:val="Normal"/>
    <w:next w:val="Normal"/>
    <w:link w:val="Heading1Char"/>
    <w:uiPriority w:val="9"/>
    <w:qFormat/>
    <w:rsid w:val="00462E7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753A00"/>
    <w:pPr>
      <w:spacing w:after="0" w:line="240" w:lineRule="auto"/>
    </w:pPr>
    <w:rPr>
      <w:sz w:val="20"/>
      <w:szCs w:val="20"/>
    </w:rPr>
  </w:style>
  <w:style w:type="character" w:customStyle="1" w:styleId="FootnoteTextChar">
    <w:name w:val="Footnote Text Char"/>
    <w:basedOn w:val="DefaultParagraphFont"/>
    <w:link w:val="FootnoteText"/>
    <w:uiPriority w:val="99"/>
    <w:rsid w:val="00753A00"/>
    <w:rPr>
      <w:sz w:val="20"/>
      <w:szCs w:val="20"/>
      <w:lang w:val="en-US"/>
    </w:rPr>
  </w:style>
  <w:style w:type="character" w:styleId="FootnoteReference">
    <w:name w:val="footnote reference"/>
    <w:basedOn w:val="DefaultParagraphFont"/>
    <w:uiPriority w:val="99"/>
    <w:semiHidden/>
    <w:unhideWhenUsed/>
    <w:rsid w:val="00753A00"/>
    <w:rPr>
      <w:vertAlign w:val="superscript"/>
    </w:rPr>
  </w:style>
  <w:style w:type="paragraph" w:styleId="BalloonText">
    <w:name w:val="Balloon Text"/>
    <w:basedOn w:val="Normal"/>
    <w:link w:val="BalloonTextChar"/>
    <w:uiPriority w:val="99"/>
    <w:semiHidden/>
    <w:unhideWhenUsed/>
    <w:rsid w:val="00753A0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53A00"/>
    <w:rPr>
      <w:rFonts w:ascii="Segoe UI" w:hAnsi="Segoe UI" w:cs="Segoe UI"/>
      <w:sz w:val="18"/>
      <w:szCs w:val="18"/>
      <w:lang w:val="en-US"/>
    </w:rPr>
  </w:style>
  <w:style w:type="paragraph" w:styleId="ListParagraph">
    <w:name w:val="List Paragraph"/>
    <w:basedOn w:val="Normal"/>
    <w:uiPriority w:val="34"/>
    <w:qFormat/>
    <w:rsid w:val="00753A00"/>
    <w:pPr>
      <w:ind w:left="720"/>
      <w:contextualSpacing/>
    </w:pPr>
  </w:style>
  <w:style w:type="character" w:styleId="CommentReference">
    <w:name w:val="annotation reference"/>
    <w:basedOn w:val="DefaultParagraphFont"/>
    <w:uiPriority w:val="99"/>
    <w:semiHidden/>
    <w:unhideWhenUsed/>
    <w:rsid w:val="00753A00"/>
    <w:rPr>
      <w:sz w:val="16"/>
      <w:szCs w:val="16"/>
    </w:rPr>
  </w:style>
  <w:style w:type="paragraph" w:styleId="CommentText">
    <w:name w:val="annotation text"/>
    <w:basedOn w:val="Normal"/>
    <w:link w:val="CommentTextChar"/>
    <w:uiPriority w:val="99"/>
    <w:unhideWhenUsed/>
    <w:rsid w:val="00753A00"/>
    <w:pPr>
      <w:spacing w:line="240" w:lineRule="auto"/>
    </w:pPr>
    <w:rPr>
      <w:sz w:val="20"/>
      <w:szCs w:val="20"/>
    </w:rPr>
  </w:style>
  <w:style w:type="character" w:customStyle="1" w:styleId="CommentTextChar">
    <w:name w:val="Comment Text Char"/>
    <w:basedOn w:val="DefaultParagraphFont"/>
    <w:link w:val="CommentText"/>
    <w:uiPriority w:val="99"/>
    <w:rsid w:val="00753A00"/>
    <w:rPr>
      <w:sz w:val="20"/>
      <w:szCs w:val="20"/>
      <w:lang w:val="en-US"/>
    </w:rPr>
  </w:style>
  <w:style w:type="paragraph" w:styleId="Header">
    <w:name w:val="header"/>
    <w:basedOn w:val="Normal"/>
    <w:link w:val="HeaderChar"/>
    <w:uiPriority w:val="99"/>
    <w:unhideWhenUsed/>
    <w:rsid w:val="005750FD"/>
    <w:pPr>
      <w:tabs>
        <w:tab w:val="center" w:pos="4513"/>
        <w:tab w:val="right" w:pos="9026"/>
      </w:tabs>
      <w:spacing w:after="0" w:line="240" w:lineRule="auto"/>
    </w:pPr>
  </w:style>
  <w:style w:type="character" w:customStyle="1" w:styleId="HeaderChar">
    <w:name w:val="Header Char"/>
    <w:basedOn w:val="DefaultParagraphFont"/>
    <w:link w:val="Header"/>
    <w:uiPriority w:val="99"/>
    <w:rsid w:val="005750FD"/>
    <w:rPr>
      <w:lang w:val="en-US"/>
    </w:rPr>
  </w:style>
  <w:style w:type="paragraph" w:styleId="Footer">
    <w:name w:val="footer"/>
    <w:basedOn w:val="Normal"/>
    <w:link w:val="FooterChar"/>
    <w:uiPriority w:val="99"/>
    <w:unhideWhenUsed/>
    <w:rsid w:val="005750FD"/>
    <w:pPr>
      <w:tabs>
        <w:tab w:val="center" w:pos="4513"/>
        <w:tab w:val="right" w:pos="9026"/>
      </w:tabs>
      <w:spacing w:after="0" w:line="240" w:lineRule="auto"/>
    </w:pPr>
  </w:style>
  <w:style w:type="character" w:customStyle="1" w:styleId="FooterChar">
    <w:name w:val="Footer Char"/>
    <w:basedOn w:val="DefaultParagraphFont"/>
    <w:link w:val="Footer"/>
    <w:uiPriority w:val="99"/>
    <w:rsid w:val="005750FD"/>
    <w:rPr>
      <w:lang w:val="en-US"/>
    </w:rPr>
  </w:style>
  <w:style w:type="character" w:customStyle="1" w:styleId="ipa">
    <w:name w:val="ipa"/>
    <w:basedOn w:val="DefaultParagraphFont"/>
    <w:rsid w:val="00BE0B23"/>
  </w:style>
  <w:style w:type="character" w:styleId="Hyperlink">
    <w:name w:val="Hyperlink"/>
    <w:basedOn w:val="DefaultParagraphFont"/>
    <w:uiPriority w:val="99"/>
    <w:unhideWhenUsed/>
    <w:rsid w:val="00BE0B23"/>
    <w:rPr>
      <w:color w:val="0000FF"/>
      <w:u w:val="single"/>
    </w:rPr>
  </w:style>
  <w:style w:type="table" w:styleId="TableGrid">
    <w:name w:val="Table Grid"/>
    <w:basedOn w:val="TableNormal"/>
    <w:uiPriority w:val="39"/>
    <w:rsid w:val="004700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182015"/>
    <w:rPr>
      <w:b/>
      <w:bCs/>
    </w:rPr>
  </w:style>
  <w:style w:type="character" w:customStyle="1" w:styleId="CommentSubjectChar">
    <w:name w:val="Comment Subject Char"/>
    <w:basedOn w:val="CommentTextChar"/>
    <w:link w:val="CommentSubject"/>
    <w:uiPriority w:val="99"/>
    <w:semiHidden/>
    <w:rsid w:val="00182015"/>
    <w:rPr>
      <w:b/>
      <w:bCs/>
      <w:sz w:val="20"/>
      <w:szCs w:val="20"/>
      <w:lang w:val="en-US"/>
    </w:rPr>
  </w:style>
  <w:style w:type="character" w:styleId="Strong">
    <w:name w:val="Strong"/>
    <w:basedOn w:val="DefaultParagraphFont"/>
    <w:uiPriority w:val="22"/>
    <w:qFormat/>
    <w:rsid w:val="000E535A"/>
    <w:rPr>
      <w:b/>
      <w:bCs/>
    </w:rPr>
  </w:style>
  <w:style w:type="character" w:customStyle="1" w:styleId="kwd-text">
    <w:name w:val="kwd-text"/>
    <w:basedOn w:val="DefaultParagraphFont"/>
    <w:rsid w:val="000E535A"/>
  </w:style>
  <w:style w:type="character" w:customStyle="1" w:styleId="Heading1Char">
    <w:name w:val="Heading 1 Char"/>
    <w:basedOn w:val="DefaultParagraphFont"/>
    <w:link w:val="Heading1"/>
    <w:uiPriority w:val="9"/>
    <w:rsid w:val="00462E71"/>
    <w:rPr>
      <w:rFonts w:asciiTheme="majorHAnsi" w:eastAsiaTheme="majorEastAsia" w:hAnsiTheme="majorHAnsi" w:cstheme="majorBidi"/>
      <w:color w:val="2F5496" w:themeColor="accent1" w:themeShade="BF"/>
      <w:sz w:val="32"/>
      <w:szCs w:val="32"/>
      <w:lang w:val="en-US"/>
    </w:rPr>
  </w:style>
  <w:style w:type="paragraph" w:styleId="NormalWeb">
    <w:name w:val="Normal (Web)"/>
    <w:basedOn w:val="Normal"/>
    <w:uiPriority w:val="99"/>
    <w:unhideWhenUsed/>
    <w:rsid w:val="00462E7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462E71"/>
    <w:pPr>
      <w:autoSpaceDE w:val="0"/>
      <w:autoSpaceDN w:val="0"/>
      <w:adjustRightInd w:val="0"/>
      <w:spacing w:after="0" w:line="240" w:lineRule="auto"/>
    </w:pPr>
    <w:rPr>
      <w:rFonts w:ascii="Times New Roman" w:hAnsi="Times New Roman" w:cs="Times New Roman"/>
      <w:color w:val="000000"/>
      <w:sz w:val="24"/>
      <w:szCs w:val="24"/>
      <w:lang w:val="en-US"/>
    </w:rPr>
  </w:style>
  <w:style w:type="character" w:customStyle="1" w:styleId="cloze1">
    <w:name w:val="cloze1"/>
    <w:basedOn w:val="DefaultParagraphFont"/>
    <w:rsid w:val="00462E71"/>
    <w:rPr>
      <w:rFonts w:ascii="Arial" w:hAnsi="Arial" w:cs="Arial" w:hint="default"/>
      <w:b/>
      <w:bCs/>
      <w:i w:val="0"/>
      <w:iCs w:val="0"/>
      <w:color w:val="FF0000"/>
      <w:sz w:val="32"/>
      <w:szCs w:val="32"/>
      <w:shd w:val="clear" w:color="auto" w:fill="FFFF00"/>
    </w:rPr>
  </w:style>
  <w:style w:type="character" w:customStyle="1" w:styleId="one-click">
    <w:name w:val="one-click"/>
    <w:basedOn w:val="DefaultParagraphFont"/>
    <w:rsid w:val="00462E71"/>
  </w:style>
  <w:style w:type="character" w:styleId="Emphasis">
    <w:name w:val="Emphasis"/>
    <w:basedOn w:val="DefaultParagraphFont"/>
    <w:uiPriority w:val="20"/>
    <w:qFormat/>
    <w:rsid w:val="00462E71"/>
    <w:rPr>
      <w:i/>
      <w:iCs/>
    </w:rPr>
  </w:style>
  <w:style w:type="paragraph" w:styleId="TOCHeading">
    <w:name w:val="TOC Heading"/>
    <w:basedOn w:val="Heading1"/>
    <w:next w:val="Normal"/>
    <w:uiPriority w:val="39"/>
    <w:unhideWhenUsed/>
    <w:qFormat/>
    <w:rsid w:val="00462E71"/>
    <w:pPr>
      <w:outlineLvl w:val="9"/>
    </w:pPr>
  </w:style>
  <w:style w:type="paragraph" w:styleId="Title">
    <w:name w:val="Title"/>
    <w:basedOn w:val="Default"/>
    <w:next w:val="Default"/>
    <w:link w:val="TitleChar"/>
    <w:uiPriority w:val="99"/>
    <w:qFormat/>
    <w:rsid w:val="00462E71"/>
    <w:rPr>
      <w:rFonts w:ascii="Arial" w:hAnsi="Arial" w:cs="Arial"/>
      <w:color w:val="auto"/>
    </w:rPr>
  </w:style>
  <w:style w:type="character" w:customStyle="1" w:styleId="TitleChar">
    <w:name w:val="Title Char"/>
    <w:basedOn w:val="DefaultParagraphFont"/>
    <w:link w:val="Title"/>
    <w:uiPriority w:val="99"/>
    <w:rsid w:val="00462E71"/>
    <w:rPr>
      <w:rFonts w:ascii="Arial" w:hAnsi="Arial" w:cs="Arial"/>
      <w:sz w:val="24"/>
      <w:szCs w:val="24"/>
      <w:lang w:val="en-US"/>
    </w:rPr>
  </w:style>
  <w:style w:type="paragraph" w:customStyle="1" w:styleId="BylineInstitution">
    <w:name w:val="Byline &amp; Institution"/>
    <w:basedOn w:val="Default"/>
    <w:next w:val="Default"/>
    <w:uiPriority w:val="99"/>
    <w:rsid w:val="00462E71"/>
    <w:rPr>
      <w:rFonts w:ascii="Arial" w:hAnsi="Arial" w:cs="Arial"/>
      <w:color w:val="auto"/>
    </w:rPr>
  </w:style>
  <w:style w:type="paragraph" w:styleId="HTMLPreformatted">
    <w:name w:val="HTML Preformatted"/>
    <w:basedOn w:val="Normal"/>
    <w:link w:val="HTMLPreformattedChar"/>
    <w:uiPriority w:val="99"/>
    <w:semiHidden/>
    <w:unhideWhenUsed/>
    <w:rsid w:val="00EE14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EE1471"/>
    <w:rPr>
      <w:rFonts w:ascii="Courier New" w:eastAsia="Times New Roman" w:hAnsi="Courier New" w:cs="Courier New"/>
      <w:sz w:val="20"/>
      <w:szCs w:val="20"/>
      <w:lang w:val="en-US"/>
    </w:rPr>
  </w:style>
  <w:style w:type="paragraph" w:customStyle="1" w:styleId="Summary">
    <w:name w:val="Summary"/>
    <w:rsid w:val="005B79C5"/>
    <w:pPr>
      <w:spacing w:after="200" w:line="240" w:lineRule="auto"/>
    </w:pPr>
    <w:rPr>
      <w:rFonts w:ascii="Arial" w:eastAsia="Arial" w:hAnsi="Arial" w:cs="Arial"/>
      <w:sz w:val="24"/>
      <w:szCs w:val="24"/>
      <w:lang w:val="en-US"/>
    </w:rPr>
  </w:style>
  <w:style w:type="paragraph" w:styleId="Revision">
    <w:name w:val="Revision"/>
    <w:hidden/>
    <w:uiPriority w:val="99"/>
    <w:semiHidden/>
    <w:rsid w:val="00895C4D"/>
    <w:pPr>
      <w:spacing w:after="0" w:line="240" w:lineRule="auto"/>
    </w:pPr>
    <w:rPr>
      <w:lang w:val="en-US"/>
    </w:rPr>
  </w:style>
  <w:style w:type="character" w:styleId="UnresolvedMention">
    <w:name w:val="Unresolved Mention"/>
    <w:basedOn w:val="DefaultParagraphFont"/>
    <w:uiPriority w:val="99"/>
    <w:semiHidden/>
    <w:unhideWhenUsed/>
    <w:rsid w:val="006C55A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36223">
      <w:bodyDiv w:val="1"/>
      <w:marLeft w:val="0"/>
      <w:marRight w:val="0"/>
      <w:marTop w:val="0"/>
      <w:marBottom w:val="0"/>
      <w:divBdr>
        <w:top w:val="none" w:sz="0" w:space="0" w:color="auto"/>
        <w:left w:val="none" w:sz="0" w:space="0" w:color="auto"/>
        <w:bottom w:val="none" w:sz="0" w:space="0" w:color="auto"/>
        <w:right w:val="none" w:sz="0" w:space="0" w:color="auto"/>
      </w:divBdr>
    </w:div>
    <w:div w:id="133261089">
      <w:bodyDiv w:val="1"/>
      <w:marLeft w:val="0"/>
      <w:marRight w:val="0"/>
      <w:marTop w:val="0"/>
      <w:marBottom w:val="0"/>
      <w:divBdr>
        <w:top w:val="none" w:sz="0" w:space="0" w:color="auto"/>
        <w:left w:val="none" w:sz="0" w:space="0" w:color="auto"/>
        <w:bottom w:val="none" w:sz="0" w:space="0" w:color="auto"/>
        <w:right w:val="none" w:sz="0" w:space="0" w:color="auto"/>
      </w:divBdr>
    </w:div>
    <w:div w:id="210000867">
      <w:bodyDiv w:val="1"/>
      <w:marLeft w:val="0"/>
      <w:marRight w:val="0"/>
      <w:marTop w:val="0"/>
      <w:marBottom w:val="0"/>
      <w:divBdr>
        <w:top w:val="none" w:sz="0" w:space="0" w:color="auto"/>
        <w:left w:val="none" w:sz="0" w:space="0" w:color="auto"/>
        <w:bottom w:val="none" w:sz="0" w:space="0" w:color="auto"/>
        <w:right w:val="none" w:sz="0" w:space="0" w:color="auto"/>
      </w:divBdr>
      <w:divsChild>
        <w:div w:id="119540420">
          <w:marLeft w:val="480"/>
          <w:marRight w:val="0"/>
          <w:marTop w:val="0"/>
          <w:marBottom w:val="0"/>
          <w:divBdr>
            <w:top w:val="none" w:sz="0" w:space="0" w:color="auto"/>
            <w:left w:val="none" w:sz="0" w:space="0" w:color="auto"/>
            <w:bottom w:val="none" w:sz="0" w:space="0" w:color="auto"/>
            <w:right w:val="none" w:sz="0" w:space="0" w:color="auto"/>
          </w:divBdr>
          <w:divsChild>
            <w:div w:id="1225601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9965866">
      <w:bodyDiv w:val="1"/>
      <w:marLeft w:val="0"/>
      <w:marRight w:val="0"/>
      <w:marTop w:val="0"/>
      <w:marBottom w:val="0"/>
      <w:divBdr>
        <w:top w:val="none" w:sz="0" w:space="0" w:color="auto"/>
        <w:left w:val="none" w:sz="0" w:space="0" w:color="auto"/>
        <w:bottom w:val="none" w:sz="0" w:space="0" w:color="auto"/>
        <w:right w:val="none" w:sz="0" w:space="0" w:color="auto"/>
      </w:divBdr>
      <w:divsChild>
        <w:div w:id="513956153">
          <w:marLeft w:val="480"/>
          <w:marRight w:val="0"/>
          <w:marTop w:val="0"/>
          <w:marBottom w:val="0"/>
          <w:divBdr>
            <w:top w:val="none" w:sz="0" w:space="0" w:color="auto"/>
            <w:left w:val="none" w:sz="0" w:space="0" w:color="auto"/>
            <w:bottom w:val="none" w:sz="0" w:space="0" w:color="auto"/>
            <w:right w:val="none" w:sz="0" w:space="0" w:color="auto"/>
          </w:divBdr>
          <w:divsChild>
            <w:div w:id="912617440">
              <w:marLeft w:val="0"/>
              <w:marRight w:val="0"/>
              <w:marTop w:val="0"/>
              <w:marBottom w:val="0"/>
              <w:divBdr>
                <w:top w:val="none" w:sz="0" w:space="0" w:color="auto"/>
                <w:left w:val="none" w:sz="0" w:space="0" w:color="auto"/>
                <w:bottom w:val="none" w:sz="0" w:space="0" w:color="auto"/>
                <w:right w:val="none" w:sz="0" w:space="0" w:color="auto"/>
              </w:divBdr>
            </w:div>
            <w:div w:id="422188340">
              <w:marLeft w:val="0"/>
              <w:marRight w:val="0"/>
              <w:marTop w:val="0"/>
              <w:marBottom w:val="0"/>
              <w:divBdr>
                <w:top w:val="none" w:sz="0" w:space="0" w:color="auto"/>
                <w:left w:val="none" w:sz="0" w:space="0" w:color="auto"/>
                <w:bottom w:val="none" w:sz="0" w:space="0" w:color="auto"/>
                <w:right w:val="none" w:sz="0" w:space="0" w:color="auto"/>
              </w:divBdr>
            </w:div>
            <w:div w:id="1935895693">
              <w:marLeft w:val="0"/>
              <w:marRight w:val="0"/>
              <w:marTop w:val="0"/>
              <w:marBottom w:val="0"/>
              <w:divBdr>
                <w:top w:val="none" w:sz="0" w:space="0" w:color="auto"/>
                <w:left w:val="none" w:sz="0" w:space="0" w:color="auto"/>
                <w:bottom w:val="none" w:sz="0" w:space="0" w:color="auto"/>
                <w:right w:val="none" w:sz="0" w:space="0" w:color="auto"/>
              </w:divBdr>
            </w:div>
            <w:div w:id="325209536">
              <w:marLeft w:val="0"/>
              <w:marRight w:val="0"/>
              <w:marTop w:val="0"/>
              <w:marBottom w:val="0"/>
              <w:divBdr>
                <w:top w:val="none" w:sz="0" w:space="0" w:color="auto"/>
                <w:left w:val="none" w:sz="0" w:space="0" w:color="auto"/>
                <w:bottom w:val="none" w:sz="0" w:space="0" w:color="auto"/>
                <w:right w:val="none" w:sz="0" w:space="0" w:color="auto"/>
              </w:divBdr>
            </w:div>
            <w:div w:id="1308051986">
              <w:marLeft w:val="0"/>
              <w:marRight w:val="0"/>
              <w:marTop w:val="0"/>
              <w:marBottom w:val="0"/>
              <w:divBdr>
                <w:top w:val="none" w:sz="0" w:space="0" w:color="auto"/>
                <w:left w:val="none" w:sz="0" w:space="0" w:color="auto"/>
                <w:bottom w:val="none" w:sz="0" w:space="0" w:color="auto"/>
                <w:right w:val="none" w:sz="0" w:space="0" w:color="auto"/>
              </w:divBdr>
            </w:div>
            <w:div w:id="792677276">
              <w:marLeft w:val="0"/>
              <w:marRight w:val="0"/>
              <w:marTop w:val="0"/>
              <w:marBottom w:val="0"/>
              <w:divBdr>
                <w:top w:val="none" w:sz="0" w:space="0" w:color="auto"/>
                <w:left w:val="none" w:sz="0" w:space="0" w:color="auto"/>
                <w:bottom w:val="none" w:sz="0" w:space="0" w:color="auto"/>
                <w:right w:val="none" w:sz="0" w:space="0" w:color="auto"/>
              </w:divBdr>
            </w:div>
            <w:div w:id="1059591860">
              <w:marLeft w:val="0"/>
              <w:marRight w:val="0"/>
              <w:marTop w:val="0"/>
              <w:marBottom w:val="0"/>
              <w:divBdr>
                <w:top w:val="none" w:sz="0" w:space="0" w:color="auto"/>
                <w:left w:val="none" w:sz="0" w:space="0" w:color="auto"/>
                <w:bottom w:val="none" w:sz="0" w:space="0" w:color="auto"/>
                <w:right w:val="none" w:sz="0" w:space="0" w:color="auto"/>
              </w:divBdr>
            </w:div>
            <w:div w:id="185798228">
              <w:marLeft w:val="0"/>
              <w:marRight w:val="0"/>
              <w:marTop w:val="0"/>
              <w:marBottom w:val="0"/>
              <w:divBdr>
                <w:top w:val="none" w:sz="0" w:space="0" w:color="auto"/>
                <w:left w:val="none" w:sz="0" w:space="0" w:color="auto"/>
                <w:bottom w:val="none" w:sz="0" w:space="0" w:color="auto"/>
                <w:right w:val="none" w:sz="0" w:space="0" w:color="auto"/>
              </w:divBdr>
            </w:div>
            <w:div w:id="1029137067">
              <w:marLeft w:val="0"/>
              <w:marRight w:val="0"/>
              <w:marTop w:val="0"/>
              <w:marBottom w:val="0"/>
              <w:divBdr>
                <w:top w:val="none" w:sz="0" w:space="0" w:color="auto"/>
                <w:left w:val="none" w:sz="0" w:space="0" w:color="auto"/>
                <w:bottom w:val="none" w:sz="0" w:space="0" w:color="auto"/>
                <w:right w:val="none" w:sz="0" w:space="0" w:color="auto"/>
              </w:divBdr>
            </w:div>
            <w:div w:id="1556504265">
              <w:marLeft w:val="0"/>
              <w:marRight w:val="0"/>
              <w:marTop w:val="0"/>
              <w:marBottom w:val="0"/>
              <w:divBdr>
                <w:top w:val="none" w:sz="0" w:space="0" w:color="auto"/>
                <w:left w:val="none" w:sz="0" w:space="0" w:color="auto"/>
                <w:bottom w:val="none" w:sz="0" w:space="0" w:color="auto"/>
                <w:right w:val="none" w:sz="0" w:space="0" w:color="auto"/>
              </w:divBdr>
            </w:div>
            <w:div w:id="1920747777">
              <w:marLeft w:val="0"/>
              <w:marRight w:val="0"/>
              <w:marTop w:val="0"/>
              <w:marBottom w:val="0"/>
              <w:divBdr>
                <w:top w:val="none" w:sz="0" w:space="0" w:color="auto"/>
                <w:left w:val="none" w:sz="0" w:space="0" w:color="auto"/>
                <w:bottom w:val="none" w:sz="0" w:space="0" w:color="auto"/>
                <w:right w:val="none" w:sz="0" w:space="0" w:color="auto"/>
              </w:divBdr>
            </w:div>
            <w:div w:id="1525945555">
              <w:marLeft w:val="0"/>
              <w:marRight w:val="0"/>
              <w:marTop w:val="0"/>
              <w:marBottom w:val="0"/>
              <w:divBdr>
                <w:top w:val="none" w:sz="0" w:space="0" w:color="auto"/>
                <w:left w:val="none" w:sz="0" w:space="0" w:color="auto"/>
                <w:bottom w:val="none" w:sz="0" w:space="0" w:color="auto"/>
                <w:right w:val="none" w:sz="0" w:space="0" w:color="auto"/>
              </w:divBdr>
            </w:div>
            <w:div w:id="2011717479">
              <w:marLeft w:val="0"/>
              <w:marRight w:val="0"/>
              <w:marTop w:val="0"/>
              <w:marBottom w:val="0"/>
              <w:divBdr>
                <w:top w:val="none" w:sz="0" w:space="0" w:color="auto"/>
                <w:left w:val="none" w:sz="0" w:space="0" w:color="auto"/>
                <w:bottom w:val="none" w:sz="0" w:space="0" w:color="auto"/>
                <w:right w:val="none" w:sz="0" w:space="0" w:color="auto"/>
              </w:divBdr>
            </w:div>
            <w:div w:id="632907204">
              <w:marLeft w:val="0"/>
              <w:marRight w:val="0"/>
              <w:marTop w:val="0"/>
              <w:marBottom w:val="0"/>
              <w:divBdr>
                <w:top w:val="none" w:sz="0" w:space="0" w:color="auto"/>
                <w:left w:val="none" w:sz="0" w:space="0" w:color="auto"/>
                <w:bottom w:val="none" w:sz="0" w:space="0" w:color="auto"/>
                <w:right w:val="none" w:sz="0" w:space="0" w:color="auto"/>
              </w:divBdr>
            </w:div>
            <w:div w:id="690497727">
              <w:marLeft w:val="0"/>
              <w:marRight w:val="0"/>
              <w:marTop w:val="0"/>
              <w:marBottom w:val="0"/>
              <w:divBdr>
                <w:top w:val="none" w:sz="0" w:space="0" w:color="auto"/>
                <w:left w:val="none" w:sz="0" w:space="0" w:color="auto"/>
                <w:bottom w:val="none" w:sz="0" w:space="0" w:color="auto"/>
                <w:right w:val="none" w:sz="0" w:space="0" w:color="auto"/>
              </w:divBdr>
            </w:div>
            <w:div w:id="1002204133">
              <w:marLeft w:val="0"/>
              <w:marRight w:val="0"/>
              <w:marTop w:val="0"/>
              <w:marBottom w:val="0"/>
              <w:divBdr>
                <w:top w:val="none" w:sz="0" w:space="0" w:color="auto"/>
                <w:left w:val="none" w:sz="0" w:space="0" w:color="auto"/>
                <w:bottom w:val="none" w:sz="0" w:space="0" w:color="auto"/>
                <w:right w:val="none" w:sz="0" w:space="0" w:color="auto"/>
              </w:divBdr>
            </w:div>
            <w:div w:id="1269852891">
              <w:marLeft w:val="0"/>
              <w:marRight w:val="0"/>
              <w:marTop w:val="0"/>
              <w:marBottom w:val="0"/>
              <w:divBdr>
                <w:top w:val="none" w:sz="0" w:space="0" w:color="auto"/>
                <w:left w:val="none" w:sz="0" w:space="0" w:color="auto"/>
                <w:bottom w:val="none" w:sz="0" w:space="0" w:color="auto"/>
                <w:right w:val="none" w:sz="0" w:space="0" w:color="auto"/>
              </w:divBdr>
            </w:div>
            <w:div w:id="2113747330">
              <w:marLeft w:val="0"/>
              <w:marRight w:val="0"/>
              <w:marTop w:val="0"/>
              <w:marBottom w:val="0"/>
              <w:divBdr>
                <w:top w:val="none" w:sz="0" w:space="0" w:color="auto"/>
                <w:left w:val="none" w:sz="0" w:space="0" w:color="auto"/>
                <w:bottom w:val="none" w:sz="0" w:space="0" w:color="auto"/>
                <w:right w:val="none" w:sz="0" w:space="0" w:color="auto"/>
              </w:divBdr>
            </w:div>
            <w:div w:id="1163396964">
              <w:marLeft w:val="0"/>
              <w:marRight w:val="0"/>
              <w:marTop w:val="0"/>
              <w:marBottom w:val="0"/>
              <w:divBdr>
                <w:top w:val="none" w:sz="0" w:space="0" w:color="auto"/>
                <w:left w:val="none" w:sz="0" w:space="0" w:color="auto"/>
                <w:bottom w:val="none" w:sz="0" w:space="0" w:color="auto"/>
                <w:right w:val="none" w:sz="0" w:space="0" w:color="auto"/>
              </w:divBdr>
            </w:div>
            <w:div w:id="543567446">
              <w:marLeft w:val="0"/>
              <w:marRight w:val="0"/>
              <w:marTop w:val="0"/>
              <w:marBottom w:val="0"/>
              <w:divBdr>
                <w:top w:val="none" w:sz="0" w:space="0" w:color="auto"/>
                <w:left w:val="none" w:sz="0" w:space="0" w:color="auto"/>
                <w:bottom w:val="none" w:sz="0" w:space="0" w:color="auto"/>
                <w:right w:val="none" w:sz="0" w:space="0" w:color="auto"/>
              </w:divBdr>
            </w:div>
            <w:div w:id="904680407">
              <w:marLeft w:val="0"/>
              <w:marRight w:val="0"/>
              <w:marTop w:val="0"/>
              <w:marBottom w:val="0"/>
              <w:divBdr>
                <w:top w:val="none" w:sz="0" w:space="0" w:color="auto"/>
                <w:left w:val="none" w:sz="0" w:space="0" w:color="auto"/>
                <w:bottom w:val="none" w:sz="0" w:space="0" w:color="auto"/>
                <w:right w:val="none" w:sz="0" w:space="0" w:color="auto"/>
              </w:divBdr>
            </w:div>
            <w:div w:id="1856726417">
              <w:marLeft w:val="0"/>
              <w:marRight w:val="0"/>
              <w:marTop w:val="0"/>
              <w:marBottom w:val="0"/>
              <w:divBdr>
                <w:top w:val="none" w:sz="0" w:space="0" w:color="auto"/>
                <w:left w:val="none" w:sz="0" w:space="0" w:color="auto"/>
                <w:bottom w:val="none" w:sz="0" w:space="0" w:color="auto"/>
                <w:right w:val="none" w:sz="0" w:space="0" w:color="auto"/>
              </w:divBdr>
            </w:div>
            <w:div w:id="214396267">
              <w:marLeft w:val="0"/>
              <w:marRight w:val="0"/>
              <w:marTop w:val="0"/>
              <w:marBottom w:val="0"/>
              <w:divBdr>
                <w:top w:val="none" w:sz="0" w:space="0" w:color="auto"/>
                <w:left w:val="none" w:sz="0" w:space="0" w:color="auto"/>
                <w:bottom w:val="none" w:sz="0" w:space="0" w:color="auto"/>
                <w:right w:val="none" w:sz="0" w:space="0" w:color="auto"/>
              </w:divBdr>
            </w:div>
            <w:div w:id="972565546">
              <w:marLeft w:val="0"/>
              <w:marRight w:val="0"/>
              <w:marTop w:val="0"/>
              <w:marBottom w:val="0"/>
              <w:divBdr>
                <w:top w:val="none" w:sz="0" w:space="0" w:color="auto"/>
                <w:left w:val="none" w:sz="0" w:space="0" w:color="auto"/>
                <w:bottom w:val="none" w:sz="0" w:space="0" w:color="auto"/>
                <w:right w:val="none" w:sz="0" w:space="0" w:color="auto"/>
              </w:divBdr>
            </w:div>
            <w:div w:id="1305158382">
              <w:marLeft w:val="0"/>
              <w:marRight w:val="0"/>
              <w:marTop w:val="0"/>
              <w:marBottom w:val="0"/>
              <w:divBdr>
                <w:top w:val="none" w:sz="0" w:space="0" w:color="auto"/>
                <w:left w:val="none" w:sz="0" w:space="0" w:color="auto"/>
                <w:bottom w:val="none" w:sz="0" w:space="0" w:color="auto"/>
                <w:right w:val="none" w:sz="0" w:space="0" w:color="auto"/>
              </w:divBdr>
            </w:div>
            <w:div w:id="100495168">
              <w:marLeft w:val="0"/>
              <w:marRight w:val="0"/>
              <w:marTop w:val="0"/>
              <w:marBottom w:val="0"/>
              <w:divBdr>
                <w:top w:val="none" w:sz="0" w:space="0" w:color="auto"/>
                <w:left w:val="none" w:sz="0" w:space="0" w:color="auto"/>
                <w:bottom w:val="none" w:sz="0" w:space="0" w:color="auto"/>
                <w:right w:val="none" w:sz="0" w:space="0" w:color="auto"/>
              </w:divBdr>
            </w:div>
            <w:div w:id="252051701">
              <w:marLeft w:val="0"/>
              <w:marRight w:val="0"/>
              <w:marTop w:val="0"/>
              <w:marBottom w:val="0"/>
              <w:divBdr>
                <w:top w:val="none" w:sz="0" w:space="0" w:color="auto"/>
                <w:left w:val="none" w:sz="0" w:space="0" w:color="auto"/>
                <w:bottom w:val="none" w:sz="0" w:space="0" w:color="auto"/>
                <w:right w:val="none" w:sz="0" w:space="0" w:color="auto"/>
              </w:divBdr>
            </w:div>
            <w:div w:id="1320578963">
              <w:marLeft w:val="0"/>
              <w:marRight w:val="0"/>
              <w:marTop w:val="0"/>
              <w:marBottom w:val="0"/>
              <w:divBdr>
                <w:top w:val="none" w:sz="0" w:space="0" w:color="auto"/>
                <w:left w:val="none" w:sz="0" w:space="0" w:color="auto"/>
                <w:bottom w:val="none" w:sz="0" w:space="0" w:color="auto"/>
                <w:right w:val="none" w:sz="0" w:space="0" w:color="auto"/>
              </w:divBdr>
            </w:div>
            <w:div w:id="2068338743">
              <w:marLeft w:val="0"/>
              <w:marRight w:val="0"/>
              <w:marTop w:val="0"/>
              <w:marBottom w:val="0"/>
              <w:divBdr>
                <w:top w:val="none" w:sz="0" w:space="0" w:color="auto"/>
                <w:left w:val="none" w:sz="0" w:space="0" w:color="auto"/>
                <w:bottom w:val="none" w:sz="0" w:space="0" w:color="auto"/>
                <w:right w:val="none" w:sz="0" w:space="0" w:color="auto"/>
              </w:divBdr>
            </w:div>
            <w:div w:id="1757365331">
              <w:marLeft w:val="0"/>
              <w:marRight w:val="0"/>
              <w:marTop w:val="0"/>
              <w:marBottom w:val="0"/>
              <w:divBdr>
                <w:top w:val="none" w:sz="0" w:space="0" w:color="auto"/>
                <w:left w:val="none" w:sz="0" w:space="0" w:color="auto"/>
                <w:bottom w:val="none" w:sz="0" w:space="0" w:color="auto"/>
                <w:right w:val="none" w:sz="0" w:space="0" w:color="auto"/>
              </w:divBdr>
            </w:div>
            <w:div w:id="1305507815">
              <w:marLeft w:val="0"/>
              <w:marRight w:val="0"/>
              <w:marTop w:val="0"/>
              <w:marBottom w:val="0"/>
              <w:divBdr>
                <w:top w:val="none" w:sz="0" w:space="0" w:color="auto"/>
                <w:left w:val="none" w:sz="0" w:space="0" w:color="auto"/>
                <w:bottom w:val="none" w:sz="0" w:space="0" w:color="auto"/>
                <w:right w:val="none" w:sz="0" w:space="0" w:color="auto"/>
              </w:divBdr>
            </w:div>
            <w:div w:id="350254784">
              <w:marLeft w:val="0"/>
              <w:marRight w:val="0"/>
              <w:marTop w:val="0"/>
              <w:marBottom w:val="0"/>
              <w:divBdr>
                <w:top w:val="none" w:sz="0" w:space="0" w:color="auto"/>
                <w:left w:val="none" w:sz="0" w:space="0" w:color="auto"/>
                <w:bottom w:val="none" w:sz="0" w:space="0" w:color="auto"/>
                <w:right w:val="none" w:sz="0" w:space="0" w:color="auto"/>
              </w:divBdr>
            </w:div>
            <w:div w:id="1242833277">
              <w:marLeft w:val="0"/>
              <w:marRight w:val="0"/>
              <w:marTop w:val="0"/>
              <w:marBottom w:val="0"/>
              <w:divBdr>
                <w:top w:val="none" w:sz="0" w:space="0" w:color="auto"/>
                <w:left w:val="none" w:sz="0" w:space="0" w:color="auto"/>
                <w:bottom w:val="none" w:sz="0" w:space="0" w:color="auto"/>
                <w:right w:val="none" w:sz="0" w:space="0" w:color="auto"/>
              </w:divBdr>
            </w:div>
            <w:div w:id="1314604254">
              <w:marLeft w:val="0"/>
              <w:marRight w:val="0"/>
              <w:marTop w:val="0"/>
              <w:marBottom w:val="0"/>
              <w:divBdr>
                <w:top w:val="none" w:sz="0" w:space="0" w:color="auto"/>
                <w:left w:val="none" w:sz="0" w:space="0" w:color="auto"/>
                <w:bottom w:val="none" w:sz="0" w:space="0" w:color="auto"/>
                <w:right w:val="none" w:sz="0" w:space="0" w:color="auto"/>
              </w:divBdr>
            </w:div>
            <w:div w:id="279071223">
              <w:marLeft w:val="0"/>
              <w:marRight w:val="0"/>
              <w:marTop w:val="0"/>
              <w:marBottom w:val="0"/>
              <w:divBdr>
                <w:top w:val="none" w:sz="0" w:space="0" w:color="auto"/>
                <w:left w:val="none" w:sz="0" w:space="0" w:color="auto"/>
                <w:bottom w:val="none" w:sz="0" w:space="0" w:color="auto"/>
                <w:right w:val="none" w:sz="0" w:space="0" w:color="auto"/>
              </w:divBdr>
            </w:div>
            <w:div w:id="479074921">
              <w:marLeft w:val="0"/>
              <w:marRight w:val="0"/>
              <w:marTop w:val="0"/>
              <w:marBottom w:val="0"/>
              <w:divBdr>
                <w:top w:val="none" w:sz="0" w:space="0" w:color="auto"/>
                <w:left w:val="none" w:sz="0" w:space="0" w:color="auto"/>
                <w:bottom w:val="none" w:sz="0" w:space="0" w:color="auto"/>
                <w:right w:val="none" w:sz="0" w:space="0" w:color="auto"/>
              </w:divBdr>
            </w:div>
            <w:div w:id="777217169">
              <w:marLeft w:val="0"/>
              <w:marRight w:val="0"/>
              <w:marTop w:val="0"/>
              <w:marBottom w:val="0"/>
              <w:divBdr>
                <w:top w:val="none" w:sz="0" w:space="0" w:color="auto"/>
                <w:left w:val="none" w:sz="0" w:space="0" w:color="auto"/>
                <w:bottom w:val="none" w:sz="0" w:space="0" w:color="auto"/>
                <w:right w:val="none" w:sz="0" w:space="0" w:color="auto"/>
              </w:divBdr>
            </w:div>
            <w:div w:id="712004011">
              <w:marLeft w:val="0"/>
              <w:marRight w:val="0"/>
              <w:marTop w:val="0"/>
              <w:marBottom w:val="0"/>
              <w:divBdr>
                <w:top w:val="none" w:sz="0" w:space="0" w:color="auto"/>
                <w:left w:val="none" w:sz="0" w:space="0" w:color="auto"/>
                <w:bottom w:val="none" w:sz="0" w:space="0" w:color="auto"/>
                <w:right w:val="none" w:sz="0" w:space="0" w:color="auto"/>
              </w:divBdr>
            </w:div>
            <w:div w:id="757824636">
              <w:marLeft w:val="0"/>
              <w:marRight w:val="0"/>
              <w:marTop w:val="0"/>
              <w:marBottom w:val="0"/>
              <w:divBdr>
                <w:top w:val="none" w:sz="0" w:space="0" w:color="auto"/>
                <w:left w:val="none" w:sz="0" w:space="0" w:color="auto"/>
                <w:bottom w:val="none" w:sz="0" w:space="0" w:color="auto"/>
                <w:right w:val="none" w:sz="0" w:space="0" w:color="auto"/>
              </w:divBdr>
            </w:div>
            <w:div w:id="1274292111">
              <w:marLeft w:val="0"/>
              <w:marRight w:val="0"/>
              <w:marTop w:val="0"/>
              <w:marBottom w:val="0"/>
              <w:divBdr>
                <w:top w:val="none" w:sz="0" w:space="0" w:color="auto"/>
                <w:left w:val="none" w:sz="0" w:space="0" w:color="auto"/>
                <w:bottom w:val="none" w:sz="0" w:space="0" w:color="auto"/>
                <w:right w:val="none" w:sz="0" w:space="0" w:color="auto"/>
              </w:divBdr>
            </w:div>
            <w:div w:id="991445705">
              <w:marLeft w:val="0"/>
              <w:marRight w:val="0"/>
              <w:marTop w:val="0"/>
              <w:marBottom w:val="0"/>
              <w:divBdr>
                <w:top w:val="none" w:sz="0" w:space="0" w:color="auto"/>
                <w:left w:val="none" w:sz="0" w:space="0" w:color="auto"/>
                <w:bottom w:val="none" w:sz="0" w:space="0" w:color="auto"/>
                <w:right w:val="none" w:sz="0" w:space="0" w:color="auto"/>
              </w:divBdr>
            </w:div>
            <w:div w:id="1124470574">
              <w:marLeft w:val="0"/>
              <w:marRight w:val="0"/>
              <w:marTop w:val="0"/>
              <w:marBottom w:val="0"/>
              <w:divBdr>
                <w:top w:val="none" w:sz="0" w:space="0" w:color="auto"/>
                <w:left w:val="none" w:sz="0" w:space="0" w:color="auto"/>
                <w:bottom w:val="none" w:sz="0" w:space="0" w:color="auto"/>
                <w:right w:val="none" w:sz="0" w:space="0" w:color="auto"/>
              </w:divBdr>
            </w:div>
            <w:div w:id="1542790400">
              <w:marLeft w:val="0"/>
              <w:marRight w:val="0"/>
              <w:marTop w:val="0"/>
              <w:marBottom w:val="0"/>
              <w:divBdr>
                <w:top w:val="none" w:sz="0" w:space="0" w:color="auto"/>
                <w:left w:val="none" w:sz="0" w:space="0" w:color="auto"/>
                <w:bottom w:val="none" w:sz="0" w:space="0" w:color="auto"/>
                <w:right w:val="none" w:sz="0" w:space="0" w:color="auto"/>
              </w:divBdr>
            </w:div>
            <w:div w:id="219679326">
              <w:marLeft w:val="0"/>
              <w:marRight w:val="0"/>
              <w:marTop w:val="0"/>
              <w:marBottom w:val="0"/>
              <w:divBdr>
                <w:top w:val="none" w:sz="0" w:space="0" w:color="auto"/>
                <w:left w:val="none" w:sz="0" w:space="0" w:color="auto"/>
                <w:bottom w:val="none" w:sz="0" w:space="0" w:color="auto"/>
                <w:right w:val="none" w:sz="0" w:space="0" w:color="auto"/>
              </w:divBdr>
            </w:div>
            <w:div w:id="1286887496">
              <w:marLeft w:val="0"/>
              <w:marRight w:val="0"/>
              <w:marTop w:val="0"/>
              <w:marBottom w:val="0"/>
              <w:divBdr>
                <w:top w:val="none" w:sz="0" w:space="0" w:color="auto"/>
                <w:left w:val="none" w:sz="0" w:space="0" w:color="auto"/>
                <w:bottom w:val="none" w:sz="0" w:space="0" w:color="auto"/>
                <w:right w:val="none" w:sz="0" w:space="0" w:color="auto"/>
              </w:divBdr>
            </w:div>
            <w:div w:id="1419329387">
              <w:marLeft w:val="0"/>
              <w:marRight w:val="0"/>
              <w:marTop w:val="0"/>
              <w:marBottom w:val="0"/>
              <w:divBdr>
                <w:top w:val="none" w:sz="0" w:space="0" w:color="auto"/>
                <w:left w:val="none" w:sz="0" w:space="0" w:color="auto"/>
                <w:bottom w:val="none" w:sz="0" w:space="0" w:color="auto"/>
                <w:right w:val="none" w:sz="0" w:space="0" w:color="auto"/>
              </w:divBdr>
            </w:div>
            <w:div w:id="2132673012">
              <w:marLeft w:val="0"/>
              <w:marRight w:val="0"/>
              <w:marTop w:val="0"/>
              <w:marBottom w:val="0"/>
              <w:divBdr>
                <w:top w:val="none" w:sz="0" w:space="0" w:color="auto"/>
                <w:left w:val="none" w:sz="0" w:space="0" w:color="auto"/>
                <w:bottom w:val="none" w:sz="0" w:space="0" w:color="auto"/>
                <w:right w:val="none" w:sz="0" w:space="0" w:color="auto"/>
              </w:divBdr>
            </w:div>
            <w:div w:id="1760371699">
              <w:marLeft w:val="0"/>
              <w:marRight w:val="0"/>
              <w:marTop w:val="0"/>
              <w:marBottom w:val="0"/>
              <w:divBdr>
                <w:top w:val="none" w:sz="0" w:space="0" w:color="auto"/>
                <w:left w:val="none" w:sz="0" w:space="0" w:color="auto"/>
                <w:bottom w:val="none" w:sz="0" w:space="0" w:color="auto"/>
                <w:right w:val="none" w:sz="0" w:space="0" w:color="auto"/>
              </w:divBdr>
            </w:div>
            <w:div w:id="639729622">
              <w:marLeft w:val="0"/>
              <w:marRight w:val="0"/>
              <w:marTop w:val="0"/>
              <w:marBottom w:val="0"/>
              <w:divBdr>
                <w:top w:val="none" w:sz="0" w:space="0" w:color="auto"/>
                <w:left w:val="none" w:sz="0" w:space="0" w:color="auto"/>
                <w:bottom w:val="none" w:sz="0" w:space="0" w:color="auto"/>
                <w:right w:val="none" w:sz="0" w:space="0" w:color="auto"/>
              </w:divBdr>
            </w:div>
            <w:div w:id="1926647012">
              <w:marLeft w:val="0"/>
              <w:marRight w:val="0"/>
              <w:marTop w:val="0"/>
              <w:marBottom w:val="0"/>
              <w:divBdr>
                <w:top w:val="none" w:sz="0" w:space="0" w:color="auto"/>
                <w:left w:val="none" w:sz="0" w:space="0" w:color="auto"/>
                <w:bottom w:val="none" w:sz="0" w:space="0" w:color="auto"/>
                <w:right w:val="none" w:sz="0" w:space="0" w:color="auto"/>
              </w:divBdr>
            </w:div>
            <w:div w:id="1738624675">
              <w:marLeft w:val="0"/>
              <w:marRight w:val="0"/>
              <w:marTop w:val="0"/>
              <w:marBottom w:val="0"/>
              <w:divBdr>
                <w:top w:val="none" w:sz="0" w:space="0" w:color="auto"/>
                <w:left w:val="none" w:sz="0" w:space="0" w:color="auto"/>
                <w:bottom w:val="none" w:sz="0" w:space="0" w:color="auto"/>
                <w:right w:val="none" w:sz="0" w:space="0" w:color="auto"/>
              </w:divBdr>
            </w:div>
            <w:div w:id="1352220520">
              <w:marLeft w:val="0"/>
              <w:marRight w:val="0"/>
              <w:marTop w:val="0"/>
              <w:marBottom w:val="0"/>
              <w:divBdr>
                <w:top w:val="none" w:sz="0" w:space="0" w:color="auto"/>
                <w:left w:val="none" w:sz="0" w:space="0" w:color="auto"/>
                <w:bottom w:val="none" w:sz="0" w:space="0" w:color="auto"/>
                <w:right w:val="none" w:sz="0" w:space="0" w:color="auto"/>
              </w:divBdr>
            </w:div>
            <w:div w:id="574704139">
              <w:marLeft w:val="0"/>
              <w:marRight w:val="0"/>
              <w:marTop w:val="0"/>
              <w:marBottom w:val="0"/>
              <w:divBdr>
                <w:top w:val="none" w:sz="0" w:space="0" w:color="auto"/>
                <w:left w:val="none" w:sz="0" w:space="0" w:color="auto"/>
                <w:bottom w:val="none" w:sz="0" w:space="0" w:color="auto"/>
                <w:right w:val="none" w:sz="0" w:space="0" w:color="auto"/>
              </w:divBdr>
            </w:div>
            <w:div w:id="707876060">
              <w:marLeft w:val="0"/>
              <w:marRight w:val="0"/>
              <w:marTop w:val="0"/>
              <w:marBottom w:val="0"/>
              <w:divBdr>
                <w:top w:val="none" w:sz="0" w:space="0" w:color="auto"/>
                <w:left w:val="none" w:sz="0" w:space="0" w:color="auto"/>
                <w:bottom w:val="none" w:sz="0" w:space="0" w:color="auto"/>
                <w:right w:val="none" w:sz="0" w:space="0" w:color="auto"/>
              </w:divBdr>
            </w:div>
            <w:div w:id="435179384">
              <w:marLeft w:val="0"/>
              <w:marRight w:val="0"/>
              <w:marTop w:val="0"/>
              <w:marBottom w:val="0"/>
              <w:divBdr>
                <w:top w:val="none" w:sz="0" w:space="0" w:color="auto"/>
                <w:left w:val="none" w:sz="0" w:space="0" w:color="auto"/>
                <w:bottom w:val="none" w:sz="0" w:space="0" w:color="auto"/>
                <w:right w:val="none" w:sz="0" w:space="0" w:color="auto"/>
              </w:divBdr>
            </w:div>
            <w:div w:id="1410810125">
              <w:marLeft w:val="0"/>
              <w:marRight w:val="0"/>
              <w:marTop w:val="0"/>
              <w:marBottom w:val="0"/>
              <w:divBdr>
                <w:top w:val="none" w:sz="0" w:space="0" w:color="auto"/>
                <w:left w:val="none" w:sz="0" w:space="0" w:color="auto"/>
                <w:bottom w:val="none" w:sz="0" w:space="0" w:color="auto"/>
                <w:right w:val="none" w:sz="0" w:space="0" w:color="auto"/>
              </w:divBdr>
            </w:div>
            <w:div w:id="980037372">
              <w:marLeft w:val="0"/>
              <w:marRight w:val="0"/>
              <w:marTop w:val="0"/>
              <w:marBottom w:val="0"/>
              <w:divBdr>
                <w:top w:val="none" w:sz="0" w:space="0" w:color="auto"/>
                <w:left w:val="none" w:sz="0" w:space="0" w:color="auto"/>
                <w:bottom w:val="none" w:sz="0" w:space="0" w:color="auto"/>
                <w:right w:val="none" w:sz="0" w:space="0" w:color="auto"/>
              </w:divBdr>
            </w:div>
            <w:div w:id="547423325">
              <w:marLeft w:val="0"/>
              <w:marRight w:val="0"/>
              <w:marTop w:val="0"/>
              <w:marBottom w:val="0"/>
              <w:divBdr>
                <w:top w:val="none" w:sz="0" w:space="0" w:color="auto"/>
                <w:left w:val="none" w:sz="0" w:space="0" w:color="auto"/>
                <w:bottom w:val="none" w:sz="0" w:space="0" w:color="auto"/>
                <w:right w:val="none" w:sz="0" w:space="0" w:color="auto"/>
              </w:divBdr>
            </w:div>
            <w:div w:id="1780759878">
              <w:marLeft w:val="0"/>
              <w:marRight w:val="0"/>
              <w:marTop w:val="0"/>
              <w:marBottom w:val="0"/>
              <w:divBdr>
                <w:top w:val="none" w:sz="0" w:space="0" w:color="auto"/>
                <w:left w:val="none" w:sz="0" w:space="0" w:color="auto"/>
                <w:bottom w:val="none" w:sz="0" w:space="0" w:color="auto"/>
                <w:right w:val="none" w:sz="0" w:space="0" w:color="auto"/>
              </w:divBdr>
            </w:div>
            <w:div w:id="953826847">
              <w:marLeft w:val="0"/>
              <w:marRight w:val="0"/>
              <w:marTop w:val="0"/>
              <w:marBottom w:val="0"/>
              <w:divBdr>
                <w:top w:val="none" w:sz="0" w:space="0" w:color="auto"/>
                <w:left w:val="none" w:sz="0" w:space="0" w:color="auto"/>
                <w:bottom w:val="none" w:sz="0" w:space="0" w:color="auto"/>
                <w:right w:val="none" w:sz="0" w:space="0" w:color="auto"/>
              </w:divBdr>
            </w:div>
            <w:div w:id="1277714405">
              <w:marLeft w:val="0"/>
              <w:marRight w:val="0"/>
              <w:marTop w:val="0"/>
              <w:marBottom w:val="0"/>
              <w:divBdr>
                <w:top w:val="none" w:sz="0" w:space="0" w:color="auto"/>
                <w:left w:val="none" w:sz="0" w:space="0" w:color="auto"/>
                <w:bottom w:val="none" w:sz="0" w:space="0" w:color="auto"/>
                <w:right w:val="none" w:sz="0" w:space="0" w:color="auto"/>
              </w:divBdr>
            </w:div>
            <w:div w:id="117989402">
              <w:marLeft w:val="0"/>
              <w:marRight w:val="0"/>
              <w:marTop w:val="0"/>
              <w:marBottom w:val="0"/>
              <w:divBdr>
                <w:top w:val="none" w:sz="0" w:space="0" w:color="auto"/>
                <w:left w:val="none" w:sz="0" w:space="0" w:color="auto"/>
                <w:bottom w:val="none" w:sz="0" w:space="0" w:color="auto"/>
                <w:right w:val="none" w:sz="0" w:space="0" w:color="auto"/>
              </w:divBdr>
            </w:div>
            <w:div w:id="2088577713">
              <w:marLeft w:val="0"/>
              <w:marRight w:val="0"/>
              <w:marTop w:val="0"/>
              <w:marBottom w:val="0"/>
              <w:divBdr>
                <w:top w:val="none" w:sz="0" w:space="0" w:color="auto"/>
                <w:left w:val="none" w:sz="0" w:space="0" w:color="auto"/>
                <w:bottom w:val="none" w:sz="0" w:space="0" w:color="auto"/>
                <w:right w:val="none" w:sz="0" w:space="0" w:color="auto"/>
              </w:divBdr>
            </w:div>
            <w:div w:id="1268275210">
              <w:marLeft w:val="0"/>
              <w:marRight w:val="0"/>
              <w:marTop w:val="0"/>
              <w:marBottom w:val="0"/>
              <w:divBdr>
                <w:top w:val="none" w:sz="0" w:space="0" w:color="auto"/>
                <w:left w:val="none" w:sz="0" w:space="0" w:color="auto"/>
                <w:bottom w:val="none" w:sz="0" w:space="0" w:color="auto"/>
                <w:right w:val="none" w:sz="0" w:space="0" w:color="auto"/>
              </w:divBdr>
            </w:div>
            <w:div w:id="733163733">
              <w:marLeft w:val="0"/>
              <w:marRight w:val="0"/>
              <w:marTop w:val="0"/>
              <w:marBottom w:val="0"/>
              <w:divBdr>
                <w:top w:val="none" w:sz="0" w:space="0" w:color="auto"/>
                <w:left w:val="none" w:sz="0" w:space="0" w:color="auto"/>
                <w:bottom w:val="none" w:sz="0" w:space="0" w:color="auto"/>
                <w:right w:val="none" w:sz="0" w:space="0" w:color="auto"/>
              </w:divBdr>
            </w:div>
            <w:div w:id="1652438891">
              <w:marLeft w:val="0"/>
              <w:marRight w:val="0"/>
              <w:marTop w:val="0"/>
              <w:marBottom w:val="0"/>
              <w:divBdr>
                <w:top w:val="none" w:sz="0" w:space="0" w:color="auto"/>
                <w:left w:val="none" w:sz="0" w:space="0" w:color="auto"/>
                <w:bottom w:val="none" w:sz="0" w:space="0" w:color="auto"/>
                <w:right w:val="none" w:sz="0" w:space="0" w:color="auto"/>
              </w:divBdr>
            </w:div>
            <w:div w:id="600186171">
              <w:marLeft w:val="0"/>
              <w:marRight w:val="0"/>
              <w:marTop w:val="0"/>
              <w:marBottom w:val="0"/>
              <w:divBdr>
                <w:top w:val="none" w:sz="0" w:space="0" w:color="auto"/>
                <w:left w:val="none" w:sz="0" w:space="0" w:color="auto"/>
                <w:bottom w:val="none" w:sz="0" w:space="0" w:color="auto"/>
                <w:right w:val="none" w:sz="0" w:space="0" w:color="auto"/>
              </w:divBdr>
            </w:div>
            <w:div w:id="1924139090">
              <w:marLeft w:val="0"/>
              <w:marRight w:val="0"/>
              <w:marTop w:val="0"/>
              <w:marBottom w:val="0"/>
              <w:divBdr>
                <w:top w:val="none" w:sz="0" w:space="0" w:color="auto"/>
                <w:left w:val="none" w:sz="0" w:space="0" w:color="auto"/>
                <w:bottom w:val="none" w:sz="0" w:space="0" w:color="auto"/>
                <w:right w:val="none" w:sz="0" w:space="0" w:color="auto"/>
              </w:divBdr>
            </w:div>
            <w:div w:id="1266419934">
              <w:marLeft w:val="0"/>
              <w:marRight w:val="0"/>
              <w:marTop w:val="0"/>
              <w:marBottom w:val="0"/>
              <w:divBdr>
                <w:top w:val="none" w:sz="0" w:space="0" w:color="auto"/>
                <w:left w:val="none" w:sz="0" w:space="0" w:color="auto"/>
                <w:bottom w:val="none" w:sz="0" w:space="0" w:color="auto"/>
                <w:right w:val="none" w:sz="0" w:space="0" w:color="auto"/>
              </w:divBdr>
            </w:div>
            <w:div w:id="1121723041">
              <w:marLeft w:val="0"/>
              <w:marRight w:val="0"/>
              <w:marTop w:val="0"/>
              <w:marBottom w:val="0"/>
              <w:divBdr>
                <w:top w:val="none" w:sz="0" w:space="0" w:color="auto"/>
                <w:left w:val="none" w:sz="0" w:space="0" w:color="auto"/>
                <w:bottom w:val="none" w:sz="0" w:space="0" w:color="auto"/>
                <w:right w:val="none" w:sz="0" w:space="0" w:color="auto"/>
              </w:divBdr>
            </w:div>
            <w:div w:id="2120565130">
              <w:marLeft w:val="0"/>
              <w:marRight w:val="0"/>
              <w:marTop w:val="0"/>
              <w:marBottom w:val="0"/>
              <w:divBdr>
                <w:top w:val="none" w:sz="0" w:space="0" w:color="auto"/>
                <w:left w:val="none" w:sz="0" w:space="0" w:color="auto"/>
                <w:bottom w:val="none" w:sz="0" w:space="0" w:color="auto"/>
                <w:right w:val="none" w:sz="0" w:space="0" w:color="auto"/>
              </w:divBdr>
            </w:div>
            <w:div w:id="1942641762">
              <w:marLeft w:val="0"/>
              <w:marRight w:val="0"/>
              <w:marTop w:val="0"/>
              <w:marBottom w:val="0"/>
              <w:divBdr>
                <w:top w:val="none" w:sz="0" w:space="0" w:color="auto"/>
                <w:left w:val="none" w:sz="0" w:space="0" w:color="auto"/>
                <w:bottom w:val="none" w:sz="0" w:space="0" w:color="auto"/>
                <w:right w:val="none" w:sz="0" w:space="0" w:color="auto"/>
              </w:divBdr>
            </w:div>
            <w:div w:id="974138989">
              <w:marLeft w:val="0"/>
              <w:marRight w:val="0"/>
              <w:marTop w:val="0"/>
              <w:marBottom w:val="0"/>
              <w:divBdr>
                <w:top w:val="none" w:sz="0" w:space="0" w:color="auto"/>
                <w:left w:val="none" w:sz="0" w:space="0" w:color="auto"/>
                <w:bottom w:val="none" w:sz="0" w:space="0" w:color="auto"/>
                <w:right w:val="none" w:sz="0" w:space="0" w:color="auto"/>
              </w:divBdr>
            </w:div>
            <w:div w:id="377433675">
              <w:marLeft w:val="0"/>
              <w:marRight w:val="0"/>
              <w:marTop w:val="0"/>
              <w:marBottom w:val="0"/>
              <w:divBdr>
                <w:top w:val="none" w:sz="0" w:space="0" w:color="auto"/>
                <w:left w:val="none" w:sz="0" w:space="0" w:color="auto"/>
                <w:bottom w:val="none" w:sz="0" w:space="0" w:color="auto"/>
                <w:right w:val="none" w:sz="0" w:space="0" w:color="auto"/>
              </w:divBdr>
            </w:div>
            <w:div w:id="87894615">
              <w:marLeft w:val="0"/>
              <w:marRight w:val="0"/>
              <w:marTop w:val="0"/>
              <w:marBottom w:val="0"/>
              <w:divBdr>
                <w:top w:val="none" w:sz="0" w:space="0" w:color="auto"/>
                <w:left w:val="none" w:sz="0" w:space="0" w:color="auto"/>
                <w:bottom w:val="none" w:sz="0" w:space="0" w:color="auto"/>
                <w:right w:val="none" w:sz="0" w:space="0" w:color="auto"/>
              </w:divBdr>
            </w:div>
            <w:div w:id="1413625875">
              <w:marLeft w:val="0"/>
              <w:marRight w:val="0"/>
              <w:marTop w:val="0"/>
              <w:marBottom w:val="0"/>
              <w:divBdr>
                <w:top w:val="none" w:sz="0" w:space="0" w:color="auto"/>
                <w:left w:val="none" w:sz="0" w:space="0" w:color="auto"/>
                <w:bottom w:val="none" w:sz="0" w:space="0" w:color="auto"/>
                <w:right w:val="none" w:sz="0" w:space="0" w:color="auto"/>
              </w:divBdr>
            </w:div>
            <w:div w:id="1219046967">
              <w:marLeft w:val="0"/>
              <w:marRight w:val="0"/>
              <w:marTop w:val="0"/>
              <w:marBottom w:val="0"/>
              <w:divBdr>
                <w:top w:val="none" w:sz="0" w:space="0" w:color="auto"/>
                <w:left w:val="none" w:sz="0" w:space="0" w:color="auto"/>
                <w:bottom w:val="none" w:sz="0" w:space="0" w:color="auto"/>
                <w:right w:val="none" w:sz="0" w:space="0" w:color="auto"/>
              </w:divBdr>
            </w:div>
            <w:div w:id="2114858182">
              <w:marLeft w:val="0"/>
              <w:marRight w:val="0"/>
              <w:marTop w:val="0"/>
              <w:marBottom w:val="0"/>
              <w:divBdr>
                <w:top w:val="none" w:sz="0" w:space="0" w:color="auto"/>
                <w:left w:val="none" w:sz="0" w:space="0" w:color="auto"/>
                <w:bottom w:val="none" w:sz="0" w:space="0" w:color="auto"/>
                <w:right w:val="none" w:sz="0" w:space="0" w:color="auto"/>
              </w:divBdr>
            </w:div>
            <w:div w:id="1291209851">
              <w:marLeft w:val="0"/>
              <w:marRight w:val="0"/>
              <w:marTop w:val="0"/>
              <w:marBottom w:val="0"/>
              <w:divBdr>
                <w:top w:val="none" w:sz="0" w:space="0" w:color="auto"/>
                <w:left w:val="none" w:sz="0" w:space="0" w:color="auto"/>
                <w:bottom w:val="none" w:sz="0" w:space="0" w:color="auto"/>
                <w:right w:val="none" w:sz="0" w:space="0" w:color="auto"/>
              </w:divBdr>
            </w:div>
            <w:div w:id="422340460">
              <w:marLeft w:val="0"/>
              <w:marRight w:val="0"/>
              <w:marTop w:val="0"/>
              <w:marBottom w:val="0"/>
              <w:divBdr>
                <w:top w:val="none" w:sz="0" w:space="0" w:color="auto"/>
                <w:left w:val="none" w:sz="0" w:space="0" w:color="auto"/>
                <w:bottom w:val="none" w:sz="0" w:space="0" w:color="auto"/>
                <w:right w:val="none" w:sz="0" w:space="0" w:color="auto"/>
              </w:divBdr>
            </w:div>
            <w:div w:id="1055928927">
              <w:marLeft w:val="0"/>
              <w:marRight w:val="0"/>
              <w:marTop w:val="0"/>
              <w:marBottom w:val="0"/>
              <w:divBdr>
                <w:top w:val="none" w:sz="0" w:space="0" w:color="auto"/>
                <w:left w:val="none" w:sz="0" w:space="0" w:color="auto"/>
                <w:bottom w:val="none" w:sz="0" w:space="0" w:color="auto"/>
                <w:right w:val="none" w:sz="0" w:space="0" w:color="auto"/>
              </w:divBdr>
            </w:div>
            <w:div w:id="1853641638">
              <w:marLeft w:val="0"/>
              <w:marRight w:val="0"/>
              <w:marTop w:val="0"/>
              <w:marBottom w:val="0"/>
              <w:divBdr>
                <w:top w:val="none" w:sz="0" w:space="0" w:color="auto"/>
                <w:left w:val="none" w:sz="0" w:space="0" w:color="auto"/>
                <w:bottom w:val="none" w:sz="0" w:space="0" w:color="auto"/>
                <w:right w:val="none" w:sz="0" w:space="0" w:color="auto"/>
              </w:divBdr>
            </w:div>
            <w:div w:id="624390517">
              <w:marLeft w:val="0"/>
              <w:marRight w:val="0"/>
              <w:marTop w:val="0"/>
              <w:marBottom w:val="0"/>
              <w:divBdr>
                <w:top w:val="none" w:sz="0" w:space="0" w:color="auto"/>
                <w:left w:val="none" w:sz="0" w:space="0" w:color="auto"/>
                <w:bottom w:val="none" w:sz="0" w:space="0" w:color="auto"/>
                <w:right w:val="none" w:sz="0" w:space="0" w:color="auto"/>
              </w:divBdr>
            </w:div>
            <w:div w:id="757016956">
              <w:marLeft w:val="0"/>
              <w:marRight w:val="0"/>
              <w:marTop w:val="0"/>
              <w:marBottom w:val="0"/>
              <w:divBdr>
                <w:top w:val="none" w:sz="0" w:space="0" w:color="auto"/>
                <w:left w:val="none" w:sz="0" w:space="0" w:color="auto"/>
                <w:bottom w:val="none" w:sz="0" w:space="0" w:color="auto"/>
                <w:right w:val="none" w:sz="0" w:space="0" w:color="auto"/>
              </w:divBdr>
            </w:div>
            <w:div w:id="537596157">
              <w:marLeft w:val="0"/>
              <w:marRight w:val="0"/>
              <w:marTop w:val="0"/>
              <w:marBottom w:val="0"/>
              <w:divBdr>
                <w:top w:val="none" w:sz="0" w:space="0" w:color="auto"/>
                <w:left w:val="none" w:sz="0" w:space="0" w:color="auto"/>
                <w:bottom w:val="none" w:sz="0" w:space="0" w:color="auto"/>
                <w:right w:val="none" w:sz="0" w:space="0" w:color="auto"/>
              </w:divBdr>
            </w:div>
            <w:div w:id="1162887951">
              <w:marLeft w:val="0"/>
              <w:marRight w:val="0"/>
              <w:marTop w:val="0"/>
              <w:marBottom w:val="0"/>
              <w:divBdr>
                <w:top w:val="none" w:sz="0" w:space="0" w:color="auto"/>
                <w:left w:val="none" w:sz="0" w:space="0" w:color="auto"/>
                <w:bottom w:val="none" w:sz="0" w:space="0" w:color="auto"/>
                <w:right w:val="none" w:sz="0" w:space="0" w:color="auto"/>
              </w:divBdr>
            </w:div>
            <w:div w:id="771126857">
              <w:marLeft w:val="0"/>
              <w:marRight w:val="0"/>
              <w:marTop w:val="0"/>
              <w:marBottom w:val="0"/>
              <w:divBdr>
                <w:top w:val="none" w:sz="0" w:space="0" w:color="auto"/>
                <w:left w:val="none" w:sz="0" w:space="0" w:color="auto"/>
                <w:bottom w:val="none" w:sz="0" w:space="0" w:color="auto"/>
                <w:right w:val="none" w:sz="0" w:space="0" w:color="auto"/>
              </w:divBdr>
            </w:div>
            <w:div w:id="2144928465">
              <w:marLeft w:val="0"/>
              <w:marRight w:val="0"/>
              <w:marTop w:val="0"/>
              <w:marBottom w:val="0"/>
              <w:divBdr>
                <w:top w:val="none" w:sz="0" w:space="0" w:color="auto"/>
                <w:left w:val="none" w:sz="0" w:space="0" w:color="auto"/>
                <w:bottom w:val="none" w:sz="0" w:space="0" w:color="auto"/>
                <w:right w:val="none" w:sz="0" w:space="0" w:color="auto"/>
              </w:divBdr>
            </w:div>
            <w:div w:id="660813822">
              <w:marLeft w:val="0"/>
              <w:marRight w:val="0"/>
              <w:marTop w:val="0"/>
              <w:marBottom w:val="0"/>
              <w:divBdr>
                <w:top w:val="none" w:sz="0" w:space="0" w:color="auto"/>
                <w:left w:val="none" w:sz="0" w:space="0" w:color="auto"/>
                <w:bottom w:val="none" w:sz="0" w:space="0" w:color="auto"/>
                <w:right w:val="none" w:sz="0" w:space="0" w:color="auto"/>
              </w:divBdr>
            </w:div>
            <w:div w:id="723212889">
              <w:marLeft w:val="0"/>
              <w:marRight w:val="0"/>
              <w:marTop w:val="0"/>
              <w:marBottom w:val="0"/>
              <w:divBdr>
                <w:top w:val="none" w:sz="0" w:space="0" w:color="auto"/>
                <w:left w:val="none" w:sz="0" w:space="0" w:color="auto"/>
                <w:bottom w:val="none" w:sz="0" w:space="0" w:color="auto"/>
                <w:right w:val="none" w:sz="0" w:space="0" w:color="auto"/>
              </w:divBdr>
            </w:div>
            <w:div w:id="881819641">
              <w:marLeft w:val="0"/>
              <w:marRight w:val="0"/>
              <w:marTop w:val="0"/>
              <w:marBottom w:val="0"/>
              <w:divBdr>
                <w:top w:val="none" w:sz="0" w:space="0" w:color="auto"/>
                <w:left w:val="none" w:sz="0" w:space="0" w:color="auto"/>
                <w:bottom w:val="none" w:sz="0" w:space="0" w:color="auto"/>
                <w:right w:val="none" w:sz="0" w:space="0" w:color="auto"/>
              </w:divBdr>
            </w:div>
            <w:div w:id="682822202">
              <w:marLeft w:val="0"/>
              <w:marRight w:val="0"/>
              <w:marTop w:val="0"/>
              <w:marBottom w:val="0"/>
              <w:divBdr>
                <w:top w:val="none" w:sz="0" w:space="0" w:color="auto"/>
                <w:left w:val="none" w:sz="0" w:space="0" w:color="auto"/>
                <w:bottom w:val="none" w:sz="0" w:space="0" w:color="auto"/>
                <w:right w:val="none" w:sz="0" w:space="0" w:color="auto"/>
              </w:divBdr>
            </w:div>
            <w:div w:id="1707679000">
              <w:marLeft w:val="0"/>
              <w:marRight w:val="0"/>
              <w:marTop w:val="0"/>
              <w:marBottom w:val="0"/>
              <w:divBdr>
                <w:top w:val="none" w:sz="0" w:space="0" w:color="auto"/>
                <w:left w:val="none" w:sz="0" w:space="0" w:color="auto"/>
                <w:bottom w:val="none" w:sz="0" w:space="0" w:color="auto"/>
                <w:right w:val="none" w:sz="0" w:space="0" w:color="auto"/>
              </w:divBdr>
            </w:div>
            <w:div w:id="544174631">
              <w:marLeft w:val="0"/>
              <w:marRight w:val="0"/>
              <w:marTop w:val="0"/>
              <w:marBottom w:val="0"/>
              <w:divBdr>
                <w:top w:val="none" w:sz="0" w:space="0" w:color="auto"/>
                <w:left w:val="none" w:sz="0" w:space="0" w:color="auto"/>
                <w:bottom w:val="none" w:sz="0" w:space="0" w:color="auto"/>
                <w:right w:val="none" w:sz="0" w:space="0" w:color="auto"/>
              </w:divBdr>
            </w:div>
            <w:div w:id="1836148909">
              <w:marLeft w:val="0"/>
              <w:marRight w:val="0"/>
              <w:marTop w:val="0"/>
              <w:marBottom w:val="0"/>
              <w:divBdr>
                <w:top w:val="none" w:sz="0" w:space="0" w:color="auto"/>
                <w:left w:val="none" w:sz="0" w:space="0" w:color="auto"/>
                <w:bottom w:val="none" w:sz="0" w:space="0" w:color="auto"/>
                <w:right w:val="none" w:sz="0" w:space="0" w:color="auto"/>
              </w:divBdr>
            </w:div>
            <w:div w:id="1694183715">
              <w:marLeft w:val="0"/>
              <w:marRight w:val="0"/>
              <w:marTop w:val="0"/>
              <w:marBottom w:val="0"/>
              <w:divBdr>
                <w:top w:val="none" w:sz="0" w:space="0" w:color="auto"/>
                <w:left w:val="none" w:sz="0" w:space="0" w:color="auto"/>
                <w:bottom w:val="none" w:sz="0" w:space="0" w:color="auto"/>
                <w:right w:val="none" w:sz="0" w:space="0" w:color="auto"/>
              </w:divBdr>
            </w:div>
            <w:div w:id="815028280">
              <w:marLeft w:val="0"/>
              <w:marRight w:val="0"/>
              <w:marTop w:val="0"/>
              <w:marBottom w:val="0"/>
              <w:divBdr>
                <w:top w:val="none" w:sz="0" w:space="0" w:color="auto"/>
                <w:left w:val="none" w:sz="0" w:space="0" w:color="auto"/>
                <w:bottom w:val="none" w:sz="0" w:space="0" w:color="auto"/>
                <w:right w:val="none" w:sz="0" w:space="0" w:color="auto"/>
              </w:divBdr>
            </w:div>
            <w:div w:id="1842044630">
              <w:marLeft w:val="0"/>
              <w:marRight w:val="0"/>
              <w:marTop w:val="0"/>
              <w:marBottom w:val="0"/>
              <w:divBdr>
                <w:top w:val="none" w:sz="0" w:space="0" w:color="auto"/>
                <w:left w:val="none" w:sz="0" w:space="0" w:color="auto"/>
                <w:bottom w:val="none" w:sz="0" w:space="0" w:color="auto"/>
                <w:right w:val="none" w:sz="0" w:space="0" w:color="auto"/>
              </w:divBdr>
            </w:div>
            <w:div w:id="1564759099">
              <w:marLeft w:val="0"/>
              <w:marRight w:val="0"/>
              <w:marTop w:val="0"/>
              <w:marBottom w:val="0"/>
              <w:divBdr>
                <w:top w:val="none" w:sz="0" w:space="0" w:color="auto"/>
                <w:left w:val="none" w:sz="0" w:space="0" w:color="auto"/>
                <w:bottom w:val="none" w:sz="0" w:space="0" w:color="auto"/>
                <w:right w:val="none" w:sz="0" w:space="0" w:color="auto"/>
              </w:divBdr>
            </w:div>
            <w:div w:id="1899975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1171840">
      <w:bodyDiv w:val="1"/>
      <w:marLeft w:val="0"/>
      <w:marRight w:val="0"/>
      <w:marTop w:val="0"/>
      <w:marBottom w:val="0"/>
      <w:divBdr>
        <w:top w:val="none" w:sz="0" w:space="0" w:color="auto"/>
        <w:left w:val="none" w:sz="0" w:space="0" w:color="auto"/>
        <w:bottom w:val="none" w:sz="0" w:space="0" w:color="auto"/>
        <w:right w:val="none" w:sz="0" w:space="0" w:color="auto"/>
      </w:divBdr>
      <w:divsChild>
        <w:div w:id="1660815318">
          <w:marLeft w:val="480"/>
          <w:marRight w:val="0"/>
          <w:marTop w:val="0"/>
          <w:marBottom w:val="0"/>
          <w:divBdr>
            <w:top w:val="none" w:sz="0" w:space="0" w:color="auto"/>
            <w:left w:val="none" w:sz="0" w:space="0" w:color="auto"/>
            <w:bottom w:val="none" w:sz="0" w:space="0" w:color="auto"/>
            <w:right w:val="none" w:sz="0" w:space="0" w:color="auto"/>
          </w:divBdr>
          <w:divsChild>
            <w:div w:id="115371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695747">
      <w:bodyDiv w:val="1"/>
      <w:marLeft w:val="0"/>
      <w:marRight w:val="0"/>
      <w:marTop w:val="0"/>
      <w:marBottom w:val="0"/>
      <w:divBdr>
        <w:top w:val="none" w:sz="0" w:space="0" w:color="auto"/>
        <w:left w:val="none" w:sz="0" w:space="0" w:color="auto"/>
        <w:bottom w:val="none" w:sz="0" w:space="0" w:color="auto"/>
        <w:right w:val="none" w:sz="0" w:space="0" w:color="auto"/>
      </w:divBdr>
      <w:divsChild>
        <w:div w:id="174998864">
          <w:marLeft w:val="480"/>
          <w:marRight w:val="0"/>
          <w:marTop w:val="0"/>
          <w:marBottom w:val="0"/>
          <w:divBdr>
            <w:top w:val="none" w:sz="0" w:space="0" w:color="auto"/>
            <w:left w:val="none" w:sz="0" w:space="0" w:color="auto"/>
            <w:bottom w:val="none" w:sz="0" w:space="0" w:color="auto"/>
            <w:right w:val="none" w:sz="0" w:space="0" w:color="auto"/>
          </w:divBdr>
          <w:divsChild>
            <w:div w:id="1423800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4026158">
      <w:bodyDiv w:val="1"/>
      <w:marLeft w:val="0"/>
      <w:marRight w:val="0"/>
      <w:marTop w:val="0"/>
      <w:marBottom w:val="0"/>
      <w:divBdr>
        <w:top w:val="none" w:sz="0" w:space="0" w:color="auto"/>
        <w:left w:val="none" w:sz="0" w:space="0" w:color="auto"/>
        <w:bottom w:val="none" w:sz="0" w:space="0" w:color="auto"/>
        <w:right w:val="none" w:sz="0" w:space="0" w:color="auto"/>
      </w:divBdr>
      <w:divsChild>
        <w:div w:id="842554208">
          <w:marLeft w:val="480"/>
          <w:marRight w:val="0"/>
          <w:marTop w:val="0"/>
          <w:marBottom w:val="0"/>
          <w:divBdr>
            <w:top w:val="none" w:sz="0" w:space="0" w:color="auto"/>
            <w:left w:val="none" w:sz="0" w:space="0" w:color="auto"/>
            <w:bottom w:val="none" w:sz="0" w:space="0" w:color="auto"/>
            <w:right w:val="none" w:sz="0" w:space="0" w:color="auto"/>
          </w:divBdr>
          <w:divsChild>
            <w:div w:id="1771393517">
              <w:marLeft w:val="0"/>
              <w:marRight w:val="0"/>
              <w:marTop w:val="0"/>
              <w:marBottom w:val="0"/>
              <w:divBdr>
                <w:top w:val="none" w:sz="0" w:space="0" w:color="auto"/>
                <w:left w:val="none" w:sz="0" w:space="0" w:color="auto"/>
                <w:bottom w:val="none" w:sz="0" w:space="0" w:color="auto"/>
                <w:right w:val="none" w:sz="0" w:space="0" w:color="auto"/>
              </w:divBdr>
            </w:div>
            <w:div w:id="97722704">
              <w:marLeft w:val="0"/>
              <w:marRight w:val="0"/>
              <w:marTop w:val="0"/>
              <w:marBottom w:val="0"/>
              <w:divBdr>
                <w:top w:val="none" w:sz="0" w:space="0" w:color="auto"/>
                <w:left w:val="none" w:sz="0" w:space="0" w:color="auto"/>
                <w:bottom w:val="none" w:sz="0" w:space="0" w:color="auto"/>
                <w:right w:val="none" w:sz="0" w:space="0" w:color="auto"/>
              </w:divBdr>
            </w:div>
            <w:div w:id="423111699">
              <w:marLeft w:val="0"/>
              <w:marRight w:val="0"/>
              <w:marTop w:val="0"/>
              <w:marBottom w:val="0"/>
              <w:divBdr>
                <w:top w:val="none" w:sz="0" w:space="0" w:color="auto"/>
                <w:left w:val="none" w:sz="0" w:space="0" w:color="auto"/>
                <w:bottom w:val="none" w:sz="0" w:space="0" w:color="auto"/>
                <w:right w:val="none" w:sz="0" w:space="0" w:color="auto"/>
              </w:divBdr>
            </w:div>
            <w:div w:id="1492991163">
              <w:marLeft w:val="0"/>
              <w:marRight w:val="0"/>
              <w:marTop w:val="0"/>
              <w:marBottom w:val="0"/>
              <w:divBdr>
                <w:top w:val="none" w:sz="0" w:space="0" w:color="auto"/>
                <w:left w:val="none" w:sz="0" w:space="0" w:color="auto"/>
                <w:bottom w:val="none" w:sz="0" w:space="0" w:color="auto"/>
                <w:right w:val="none" w:sz="0" w:space="0" w:color="auto"/>
              </w:divBdr>
            </w:div>
            <w:div w:id="1503623167">
              <w:marLeft w:val="0"/>
              <w:marRight w:val="0"/>
              <w:marTop w:val="0"/>
              <w:marBottom w:val="0"/>
              <w:divBdr>
                <w:top w:val="none" w:sz="0" w:space="0" w:color="auto"/>
                <w:left w:val="none" w:sz="0" w:space="0" w:color="auto"/>
                <w:bottom w:val="none" w:sz="0" w:space="0" w:color="auto"/>
                <w:right w:val="none" w:sz="0" w:space="0" w:color="auto"/>
              </w:divBdr>
            </w:div>
            <w:div w:id="469519955">
              <w:marLeft w:val="0"/>
              <w:marRight w:val="0"/>
              <w:marTop w:val="0"/>
              <w:marBottom w:val="0"/>
              <w:divBdr>
                <w:top w:val="none" w:sz="0" w:space="0" w:color="auto"/>
                <w:left w:val="none" w:sz="0" w:space="0" w:color="auto"/>
                <w:bottom w:val="none" w:sz="0" w:space="0" w:color="auto"/>
                <w:right w:val="none" w:sz="0" w:space="0" w:color="auto"/>
              </w:divBdr>
            </w:div>
            <w:div w:id="1803427681">
              <w:marLeft w:val="0"/>
              <w:marRight w:val="0"/>
              <w:marTop w:val="0"/>
              <w:marBottom w:val="0"/>
              <w:divBdr>
                <w:top w:val="none" w:sz="0" w:space="0" w:color="auto"/>
                <w:left w:val="none" w:sz="0" w:space="0" w:color="auto"/>
                <w:bottom w:val="none" w:sz="0" w:space="0" w:color="auto"/>
                <w:right w:val="none" w:sz="0" w:space="0" w:color="auto"/>
              </w:divBdr>
            </w:div>
            <w:div w:id="1685784818">
              <w:marLeft w:val="0"/>
              <w:marRight w:val="0"/>
              <w:marTop w:val="0"/>
              <w:marBottom w:val="0"/>
              <w:divBdr>
                <w:top w:val="none" w:sz="0" w:space="0" w:color="auto"/>
                <w:left w:val="none" w:sz="0" w:space="0" w:color="auto"/>
                <w:bottom w:val="none" w:sz="0" w:space="0" w:color="auto"/>
                <w:right w:val="none" w:sz="0" w:space="0" w:color="auto"/>
              </w:divBdr>
            </w:div>
            <w:div w:id="1132283828">
              <w:marLeft w:val="0"/>
              <w:marRight w:val="0"/>
              <w:marTop w:val="0"/>
              <w:marBottom w:val="0"/>
              <w:divBdr>
                <w:top w:val="none" w:sz="0" w:space="0" w:color="auto"/>
                <w:left w:val="none" w:sz="0" w:space="0" w:color="auto"/>
                <w:bottom w:val="none" w:sz="0" w:space="0" w:color="auto"/>
                <w:right w:val="none" w:sz="0" w:space="0" w:color="auto"/>
              </w:divBdr>
            </w:div>
            <w:div w:id="1323268277">
              <w:marLeft w:val="0"/>
              <w:marRight w:val="0"/>
              <w:marTop w:val="0"/>
              <w:marBottom w:val="0"/>
              <w:divBdr>
                <w:top w:val="none" w:sz="0" w:space="0" w:color="auto"/>
                <w:left w:val="none" w:sz="0" w:space="0" w:color="auto"/>
                <w:bottom w:val="none" w:sz="0" w:space="0" w:color="auto"/>
                <w:right w:val="none" w:sz="0" w:space="0" w:color="auto"/>
              </w:divBdr>
            </w:div>
            <w:div w:id="1869441307">
              <w:marLeft w:val="0"/>
              <w:marRight w:val="0"/>
              <w:marTop w:val="0"/>
              <w:marBottom w:val="0"/>
              <w:divBdr>
                <w:top w:val="none" w:sz="0" w:space="0" w:color="auto"/>
                <w:left w:val="none" w:sz="0" w:space="0" w:color="auto"/>
                <w:bottom w:val="none" w:sz="0" w:space="0" w:color="auto"/>
                <w:right w:val="none" w:sz="0" w:space="0" w:color="auto"/>
              </w:divBdr>
            </w:div>
            <w:div w:id="1311442621">
              <w:marLeft w:val="0"/>
              <w:marRight w:val="0"/>
              <w:marTop w:val="0"/>
              <w:marBottom w:val="0"/>
              <w:divBdr>
                <w:top w:val="none" w:sz="0" w:space="0" w:color="auto"/>
                <w:left w:val="none" w:sz="0" w:space="0" w:color="auto"/>
                <w:bottom w:val="none" w:sz="0" w:space="0" w:color="auto"/>
                <w:right w:val="none" w:sz="0" w:space="0" w:color="auto"/>
              </w:divBdr>
            </w:div>
            <w:div w:id="96143734">
              <w:marLeft w:val="0"/>
              <w:marRight w:val="0"/>
              <w:marTop w:val="0"/>
              <w:marBottom w:val="0"/>
              <w:divBdr>
                <w:top w:val="none" w:sz="0" w:space="0" w:color="auto"/>
                <w:left w:val="none" w:sz="0" w:space="0" w:color="auto"/>
                <w:bottom w:val="none" w:sz="0" w:space="0" w:color="auto"/>
                <w:right w:val="none" w:sz="0" w:space="0" w:color="auto"/>
              </w:divBdr>
            </w:div>
            <w:div w:id="238903348">
              <w:marLeft w:val="0"/>
              <w:marRight w:val="0"/>
              <w:marTop w:val="0"/>
              <w:marBottom w:val="0"/>
              <w:divBdr>
                <w:top w:val="none" w:sz="0" w:space="0" w:color="auto"/>
                <w:left w:val="none" w:sz="0" w:space="0" w:color="auto"/>
                <w:bottom w:val="none" w:sz="0" w:space="0" w:color="auto"/>
                <w:right w:val="none" w:sz="0" w:space="0" w:color="auto"/>
              </w:divBdr>
            </w:div>
            <w:div w:id="1457487506">
              <w:marLeft w:val="0"/>
              <w:marRight w:val="0"/>
              <w:marTop w:val="0"/>
              <w:marBottom w:val="0"/>
              <w:divBdr>
                <w:top w:val="none" w:sz="0" w:space="0" w:color="auto"/>
                <w:left w:val="none" w:sz="0" w:space="0" w:color="auto"/>
                <w:bottom w:val="none" w:sz="0" w:space="0" w:color="auto"/>
                <w:right w:val="none" w:sz="0" w:space="0" w:color="auto"/>
              </w:divBdr>
            </w:div>
            <w:div w:id="1280457997">
              <w:marLeft w:val="0"/>
              <w:marRight w:val="0"/>
              <w:marTop w:val="0"/>
              <w:marBottom w:val="0"/>
              <w:divBdr>
                <w:top w:val="none" w:sz="0" w:space="0" w:color="auto"/>
                <w:left w:val="none" w:sz="0" w:space="0" w:color="auto"/>
                <w:bottom w:val="none" w:sz="0" w:space="0" w:color="auto"/>
                <w:right w:val="none" w:sz="0" w:space="0" w:color="auto"/>
              </w:divBdr>
            </w:div>
            <w:div w:id="933365356">
              <w:marLeft w:val="0"/>
              <w:marRight w:val="0"/>
              <w:marTop w:val="0"/>
              <w:marBottom w:val="0"/>
              <w:divBdr>
                <w:top w:val="none" w:sz="0" w:space="0" w:color="auto"/>
                <w:left w:val="none" w:sz="0" w:space="0" w:color="auto"/>
                <w:bottom w:val="none" w:sz="0" w:space="0" w:color="auto"/>
                <w:right w:val="none" w:sz="0" w:space="0" w:color="auto"/>
              </w:divBdr>
            </w:div>
            <w:div w:id="1793358872">
              <w:marLeft w:val="0"/>
              <w:marRight w:val="0"/>
              <w:marTop w:val="0"/>
              <w:marBottom w:val="0"/>
              <w:divBdr>
                <w:top w:val="none" w:sz="0" w:space="0" w:color="auto"/>
                <w:left w:val="none" w:sz="0" w:space="0" w:color="auto"/>
                <w:bottom w:val="none" w:sz="0" w:space="0" w:color="auto"/>
                <w:right w:val="none" w:sz="0" w:space="0" w:color="auto"/>
              </w:divBdr>
            </w:div>
            <w:div w:id="1119177698">
              <w:marLeft w:val="0"/>
              <w:marRight w:val="0"/>
              <w:marTop w:val="0"/>
              <w:marBottom w:val="0"/>
              <w:divBdr>
                <w:top w:val="none" w:sz="0" w:space="0" w:color="auto"/>
                <w:left w:val="none" w:sz="0" w:space="0" w:color="auto"/>
                <w:bottom w:val="none" w:sz="0" w:space="0" w:color="auto"/>
                <w:right w:val="none" w:sz="0" w:space="0" w:color="auto"/>
              </w:divBdr>
            </w:div>
            <w:div w:id="701632125">
              <w:marLeft w:val="0"/>
              <w:marRight w:val="0"/>
              <w:marTop w:val="0"/>
              <w:marBottom w:val="0"/>
              <w:divBdr>
                <w:top w:val="none" w:sz="0" w:space="0" w:color="auto"/>
                <w:left w:val="none" w:sz="0" w:space="0" w:color="auto"/>
                <w:bottom w:val="none" w:sz="0" w:space="0" w:color="auto"/>
                <w:right w:val="none" w:sz="0" w:space="0" w:color="auto"/>
              </w:divBdr>
            </w:div>
            <w:div w:id="1445230247">
              <w:marLeft w:val="0"/>
              <w:marRight w:val="0"/>
              <w:marTop w:val="0"/>
              <w:marBottom w:val="0"/>
              <w:divBdr>
                <w:top w:val="none" w:sz="0" w:space="0" w:color="auto"/>
                <w:left w:val="none" w:sz="0" w:space="0" w:color="auto"/>
                <w:bottom w:val="none" w:sz="0" w:space="0" w:color="auto"/>
                <w:right w:val="none" w:sz="0" w:space="0" w:color="auto"/>
              </w:divBdr>
            </w:div>
            <w:div w:id="176777774">
              <w:marLeft w:val="0"/>
              <w:marRight w:val="0"/>
              <w:marTop w:val="0"/>
              <w:marBottom w:val="0"/>
              <w:divBdr>
                <w:top w:val="none" w:sz="0" w:space="0" w:color="auto"/>
                <w:left w:val="none" w:sz="0" w:space="0" w:color="auto"/>
                <w:bottom w:val="none" w:sz="0" w:space="0" w:color="auto"/>
                <w:right w:val="none" w:sz="0" w:space="0" w:color="auto"/>
              </w:divBdr>
            </w:div>
            <w:div w:id="207567837">
              <w:marLeft w:val="0"/>
              <w:marRight w:val="0"/>
              <w:marTop w:val="0"/>
              <w:marBottom w:val="0"/>
              <w:divBdr>
                <w:top w:val="none" w:sz="0" w:space="0" w:color="auto"/>
                <w:left w:val="none" w:sz="0" w:space="0" w:color="auto"/>
                <w:bottom w:val="none" w:sz="0" w:space="0" w:color="auto"/>
                <w:right w:val="none" w:sz="0" w:space="0" w:color="auto"/>
              </w:divBdr>
            </w:div>
            <w:div w:id="394282577">
              <w:marLeft w:val="0"/>
              <w:marRight w:val="0"/>
              <w:marTop w:val="0"/>
              <w:marBottom w:val="0"/>
              <w:divBdr>
                <w:top w:val="none" w:sz="0" w:space="0" w:color="auto"/>
                <w:left w:val="none" w:sz="0" w:space="0" w:color="auto"/>
                <w:bottom w:val="none" w:sz="0" w:space="0" w:color="auto"/>
                <w:right w:val="none" w:sz="0" w:space="0" w:color="auto"/>
              </w:divBdr>
            </w:div>
            <w:div w:id="751663492">
              <w:marLeft w:val="0"/>
              <w:marRight w:val="0"/>
              <w:marTop w:val="0"/>
              <w:marBottom w:val="0"/>
              <w:divBdr>
                <w:top w:val="none" w:sz="0" w:space="0" w:color="auto"/>
                <w:left w:val="none" w:sz="0" w:space="0" w:color="auto"/>
                <w:bottom w:val="none" w:sz="0" w:space="0" w:color="auto"/>
                <w:right w:val="none" w:sz="0" w:space="0" w:color="auto"/>
              </w:divBdr>
            </w:div>
            <w:div w:id="1534994646">
              <w:marLeft w:val="0"/>
              <w:marRight w:val="0"/>
              <w:marTop w:val="0"/>
              <w:marBottom w:val="0"/>
              <w:divBdr>
                <w:top w:val="none" w:sz="0" w:space="0" w:color="auto"/>
                <w:left w:val="none" w:sz="0" w:space="0" w:color="auto"/>
                <w:bottom w:val="none" w:sz="0" w:space="0" w:color="auto"/>
                <w:right w:val="none" w:sz="0" w:space="0" w:color="auto"/>
              </w:divBdr>
            </w:div>
            <w:div w:id="479536177">
              <w:marLeft w:val="0"/>
              <w:marRight w:val="0"/>
              <w:marTop w:val="0"/>
              <w:marBottom w:val="0"/>
              <w:divBdr>
                <w:top w:val="none" w:sz="0" w:space="0" w:color="auto"/>
                <w:left w:val="none" w:sz="0" w:space="0" w:color="auto"/>
                <w:bottom w:val="none" w:sz="0" w:space="0" w:color="auto"/>
                <w:right w:val="none" w:sz="0" w:space="0" w:color="auto"/>
              </w:divBdr>
            </w:div>
            <w:div w:id="147987963">
              <w:marLeft w:val="0"/>
              <w:marRight w:val="0"/>
              <w:marTop w:val="0"/>
              <w:marBottom w:val="0"/>
              <w:divBdr>
                <w:top w:val="none" w:sz="0" w:space="0" w:color="auto"/>
                <w:left w:val="none" w:sz="0" w:space="0" w:color="auto"/>
                <w:bottom w:val="none" w:sz="0" w:space="0" w:color="auto"/>
                <w:right w:val="none" w:sz="0" w:space="0" w:color="auto"/>
              </w:divBdr>
            </w:div>
            <w:div w:id="1112213884">
              <w:marLeft w:val="0"/>
              <w:marRight w:val="0"/>
              <w:marTop w:val="0"/>
              <w:marBottom w:val="0"/>
              <w:divBdr>
                <w:top w:val="none" w:sz="0" w:space="0" w:color="auto"/>
                <w:left w:val="none" w:sz="0" w:space="0" w:color="auto"/>
                <w:bottom w:val="none" w:sz="0" w:space="0" w:color="auto"/>
                <w:right w:val="none" w:sz="0" w:space="0" w:color="auto"/>
              </w:divBdr>
            </w:div>
            <w:div w:id="1971087873">
              <w:marLeft w:val="0"/>
              <w:marRight w:val="0"/>
              <w:marTop w:val="0"/>
              <w:marBottom w:val="0"/>
              <w:divBdr>
                <w:top w:val="none" w:sz="0" w:space="0" w:color="auto"/>
                <w:left w:val="none" w:sz="0" w:space="0" w:color="auto"/>
                <w:bottom w:val="none" w:sz="0" w:space="0" w:color="auto"/>
                <w:right w:val="none" w:sz="0" w:space="0" w:color="auto"/>
              </w:divBdr>
            </w:div>
            <w:div w:id="1487547826">
              <w:marLeft w:val="0"/>
              <w:marRight w:val="0"/>
              <w:marTop w:val="0"/>
              <w:marBottom w:val="0"/>
              <w:divBdr>
                <w:top w:val="none" w:sz="0" w:space="0" w:color="auto"/>
                <w:left w:val="none" w:sz="0" w:space="0" w:color="auto"/>
                <w:bottom w:val="none" w:sz="0" w:space="0" w:color="auto"/>
                <w:right w:val="none" w:sz="0" w:space="0" w:color="auto"/>
              </w:divBdr>
            </w:div>
            <w:div w:id="367875574">
              <w:marLeft w:val="0"/>
              <w:marRight w:val="0"/>
              <w:marTop w:val="0"/>
              <w:marBottom w:val="0"/>
              <w:divBdr>
                <w:top w:val="none" w:sz="0" w:space="0" w:color="auto"/>
                <w:left w:val="none" w:sz="0" w:space="0" w:color="auto"/>
                <w:bottom w:val="none" w:sz="0" w:space="0" w:color="auto"/>
                <w:right w:val="none" w:sz="0" w:space="0" w:color="auto"/>
              </w:divBdr>
            </w:div>
            <w:div w:id="1873760017">
              <w:marLeft w:val="0"/>
              <w:marRight w:val="0"/>
              <w:marTop w:val="0"/>
              <w:marBottom w:val="0"/>
              <w:divBdr>
                <w:top w:val="none" w:sz="0" w:space="0" w:color="auto"/>
                <w:left w:val="none" w:sz="0" w:space="0" w:color="auto"/>
                <w:bottom w:val="none" w:sz="0" w:space="0" w:color="auto"/>
                <w:right w:val="none" w:sz="0" w:space="0" w:color="auto"/>
              </w:divBdr>
            </w:div>
            <w:div w:id="1619946502">
              <w:marLeft w:val="0"/>
              <w:marRight w:val="0"/>
              <w:marTop w:val="0"/>
              <w:marBottom w:val="0"/>
              <w:divBdr>
                <w:top w:val="none" w:sz="0" w:space="0" w:color="auto"/>
                <w:left w:val="none" w:sz="0" w:space="0" w:color="auto"/>
                <w:bottom w:val="none" w:sz="0" w:space="0" w:color="auto"/>
                <w:right w:val="none" w:sz="0" w:space="0" w:color="auto"/>
              </w:divBdr>
            </w:div>
            <w:div w:id="1438062380">
              <w:marLeft w:val="0"/>
              <w:marRight w:val="0"/>
              <w:marTop w:val="0"/>
              <w:marBottom w:val="0"/>
              <w:divBdr>
                <w:top w:val="none" w:sz="0" w:space="0" w:color="auto"/>
                <w:left w:val="none" w:sz="0" w:space="0" w:color="auto"/>
                <w:bottom w:val="none" w:sz="0" w:space="0" w:color="auto"/>
                <w:right w:val="none" w:sz="0" w:space="0" w:color="auto"/>
              </w:divBdr>
            </w:div>
            <w:div w:id="59183512">
              <w:marLeft w:val="0"/>
              <w:marRight w:val="0"/>
              <w:marTop w:val="0"/>
              <w:marBottom w:val="0"/>
              <w:divBdr>
                <w:top w:val="none" w:sz="0" w:space="0" w:color="auto"/>
                <w:left w:val="none" w:sz="0" w:space="0" w:color="auto"/>
                <w:bottom w:val="none" w:sz="0" w:space="0" w:color="auto"/>
                <w:right w:val="none" w:sz="0" w:space="0" w:color="auto"/>
              </w:divBdr>
            </w:div>
            <w:div w:id="110169958">
              <w:marLeft w:val="0"/>
              <w:marRight w:val="0"/>
              <w:marTop w:val="0"/>
              <w:marBottom w:val="0"/>
              <w:divBdr>
                <w:top w:val="none" w:sz="0" w:space="0" w:color="auto"/>
                <w:left w:val="none" w:sz="0" w:space="0" w:color="auto"/>
                <w:bottom w:val="none" w:sz="0" w:space="0" w:color="auto"/>
                <w:right w:val="none" w:sz="0" w:space="0" w:color="auto"/>
              </w:divBdr>
            </w:div>
            <w:div w:id="966013998">
              <w:marLeft w:val="0"/>
              <w:marRight w:val="0"/>
              <w:marTop w:val="0"/>
              <w:marBottom w:val="0"/>
              <w:divBdr>
                <w:top w:val="none" w:sz="0" w:space="0" w:color="auto"/>
                <w:left w:val="none" w:sz="0" w:space="0" w:color="auto"/>
                <w:bottom w:val="none" w:sz="0" w:space="0" w:color="auto"/>
                <w:right w:val="none" w:sz="0" w:space="0" w:color="auto"/>
              </w:divBdr>
            </w:div>
            <w:div w:id="1892813375">
              <w:marLeft w:val="0"/>
              <w:marRight w:val="0"/>
              <w:marTop w:val="0"/>
              <w:marBottom w:val="0"/>
              <w:divBdr>
                <w:top w:val="none" w:sz="0" w:space="0" w:color="auto"/>
                <w:left w:val="none" w:sz="0" w:space="0" w:color="auto"/>
                <w:bottom w:val="none" w:sz="0" w:space="0" w:color="auto"/>
                <w:right w:val="none" w:sz="0" w:space="0" w:color="auto"/>
              </w:divBdr>
            </w:div>
            <w:div w:id="478151720">
              <w:marLeft w:val="0"/>
              <w:marRight w:val="0"/>
              <w:marTop w:val="0"/>
              <w:marBottom w:val="0"/>
              <w:divBdr>
                <w:top w:val="none" w:sz="0" w:space="0" w:color="auto"/>
                <w:left w:val="none" w:sz="0" w:space="0" w:color="auto"/>
                <w:bottom w:val="none" w:sz="0" w:space="0" w:color="auto"/>
                <w:right w:val="none" w:sz="0" w:space="0" w:color="auto"/>
              </w:divBdr>
            </w:div>
            <w:div w:id="2084984115">
              <w:marLeft w:val="0"/>
              <w:marRight w:val="0"/>
              <w:marTop w:val="0"/>
              <w:marBottom w:val="0"/>
              <w:divBdr>
                <w:top w:val="none" w:sz="0" w:space="0" w:color="auto"/>
                <w:left w:val="none" w:sz="0" w:space="0" w:color="auto"/>
                <w:bottom w:val="none" w:sz="0" w:space="0" w:color="auto"/>
                <w:right w:val="none" w:sz="0" w:space="0" w:color="auto"/>
              </w:divBdr>
            </w:div>
            <w:div w:id="421874972">
              <w:marLeft w:val="0"/>
              <w:marRight w:val="0"/>
              <w:marTop w:val="0"/>
              <w:marBottom w:val="0"/>
              <w:divBdr>
                <w:top w:val="none" w:sz="0" w:space="0" w:color="auto"/>
                <w:left w:val="none" w:sz="0" w:space="0" w:color="auto"/>
                <w:bottom w:val="none" w:sz="0" w:space="0" w:color="auto"/>
                <w:right w:val="none" w:sz="0" w:space="0" w:color="auto"/>
              </w:divBdr>
            </w:div>
            <w:div w:id="1428621090">
              <w:marLeft w:val="0"/>
              <w:marRight w:val="0"/>
              <w:marTop w:val="0"/>
              <w:marBottom w:val="0"/>
              <w:divBdr>
                <w:top w:val="none" w:sz="0" w:space="0" w:color="auto"/>
                <w:left w:val="none" w:sz="0" w:space="0" w:color="auto"/>
                <w:bottom w:val="none" w:sz="0" w:space="0" w:color="auto"/>
                <w:right w:val="none" w:sz="0" w:space="0" w:color="auto"/>
              </w:divBdr>
            </w:div>
            <w:div w:id="608122040">
              <w:marLeft w:val="0"/>
              <w:marRight w:val="0"/>
              <w:marTop w:val="0"/>
              <w:marBottom w:val="0"/>
              <w:divBdr>
                <w:top w:val="none" w:sz="0" w:space="0" w:color="auto"/>
                <w:left w:val="none" w:sz="0" w:space="0" w:color="auto"/>
                <w:bottom w:val="none" w:sz="0" w:space="0" w:color="auto"/>
                <w:right w:val="none" w:sz="0" w:space="0" w:color="auto"/>
              </w:divBdr>
            </w:div>
            <w:div w:id="2088917035">
              <w:marLeft w:val="0"/>
              <w:marRight w:val="0"/>
              <w:marTop w:val="0"/>
              <w:marBottom w:val="0"/>
              <w:divBdr>
                <w:top w:val="none" w:sz="0" w:space="0" w:color="auto"/>
                <w:left w:val="none" w:sz="0" w:space="0" w:color="auto"/>
                <w:bottom w:val="none" w:sz="0" w:space="0" w:color="auto"/>
                <w:right w:val="none" w:sz="0" w:space="0" w:color="auto"/>
              </w:divBdr>
            </w:div>
            <w:div w:id="247420988">
              <w:marLeft w:val="0"/>
              <w:marRight w:val="0"/>
              <w:marTop w:val="0"/>
              <w:marBottom w:val="0"/>
              <w:divBdr>
                <w:top w:val="none" w:sz="0" w:space="0" w:color="auto"/>
                <w:left w:val="none" w:sz="0" w:space="0" w:color="auto"/>
                <w:bottom w:val="none" w:sz="0" w:space="0" w:color="auto"/>
                <w:right w:val="none" w:sz="0" w:space="0" w:color="auto"/>
              </w:divBdr>
            </w:div>
            <w:div w:id="231308840">
              <w:marLeft w:val="0"/>
              <w:marRight w:val="0"/>
              <w:marTop w:val="0"/>
              <w:marBottom w:val="0"/>
              <w:divBdr>
                <w:top w:val="none" w:sz="0" w:space="0" w:color="auto"/>
                <w:left w:val="none" w:sz="0" w:space="0" w:color="auto"/>
                <w:bottom w:val="none" w:sz="0" w:space="0" w:color="auto"/>
                <w:right w:val="none" w:sz="0" w:space="0" w:color="auto"/>
              </w:divBdr>
            </w:div>
            <w:div w:id="1632132390">
              <w:marLeft w:val="0"/>
              <w:marRight w:val="0"/>
              <w:marTop w:val="0"/>
              <w:marBottom w:val="0"/>
              <w:divBdr>
                <w:top w:val="none" w:sz="0" w:space="0" w:color="auto"/>
                <w:left w:val="none" w:sz="0" w:space="0" w:color="auto"/>
                <w:bottom w:val="none" w:sz="0" w:space="0" w:color="auto"/>
                <w:right w:val="none" w:sz="0" w:space="0" w:color="auto"/>
              </w:divBdr>
            </w:div>
            <w:div w:id="787088947">
              <w:marLeft w:val="0"/>
              <w:marRight w:val="0"/>
              <w:marTop w:val="0"/>
              <w:marBottom w:val="0"/>
              <w:divBdr>
                <w:top w:val="none" w:sz="0" w:space="0" w:color="auto"/>
                <w:left w:val="none" w:sz="0" w:space="0" w:color="auto"/>
                <w:bottom w:val="none" w:sz="0" w:space="0" w:color="auto"/>
                <w:right w:val="none" w:sz="0" w:space="0" w:color="auto"/>
              </w:divBdr>
            </w:div>
            <w:div w:id="1421297628">
              <w:marLeft w:val="0"/>
              <w:marRight w:val="0"/>
              <w:marTop w:val="0"/>
              <w:marBottom w:val="0"/>
              <w:divBdr>
                <w:top w:val="none" w:sz="0" w:space="0" w:color="auto"/>
                <w:left w:val="none" w:sz="0" w:space="0" w:color="auto"/>
                <w:bottom w:val="none" w:sz="0" w:space="0" w:color="auto"/>
                <w:right w:val="none" w:sz="0" w:space="0" w:color="auto"/>
              </w:divBdr>
            </w:div>
            <w:div w:id="1727027044">
              <w:marLeft w:val="0"/>
              <w:marRight w:val="0"/>
              <w:marTop w:val="0"/>
              <w:marBottom w:val="0"/>
              <w:divBdr>
                <w:top w:val="none" w:sz="0" w:space="0" w:color="auto"/>
                <w:left w:val="none" w:sz="0" w:space="0" w:color="auto"/>
                <w:bottom w:val="none" w:sz="0" w:space="0" w:color="auto"/>
                <w:right w:val="none" w:sz="0" w:space="0" w:color="auto"/>
              </w:divBdr>
            </w:div>
            <w:div w:id="907770190">
              <w:marLeft w:val="0"/>
              <w:marRight w:val="0"/>
              <w:marTop w:val="0"/>
              <w:marBottom w:val="0"/>
              <w:divBdr>
                <w:top w:val="none" w:sz="0" w:space="0" w:color="auto"/>
                <w:left w:val="none" w:sz="0" w:space="0" w:color="auto"/>
                <w:bottom w:val="none" w:sz="0" w:space="0" w:color="auto"/>
                <w:right w:val="none" w:sz="0" w:space="0" w:color="auto"/>
              </w:divBdr>
            </w:div>
            <w:div w:id="1420448221">
              <w:marLeft w:val="0"/>
              <w:marRight w:val="0"/>
              <w:marTop w:val="0"/>
              <w:marBottom w:val="0"/>
              <w:divBdr>
                <w:top w:val="none" w:sz="0" w:space="0" w:color="auto"/>
                <w:left w:val="none" w:sz="0" w:space="0" w:color="auto"/>
                <w:bottom w:val="none" w:sz="0" w:space="0" w:color="auto"/>
                <w:right w:val="none" w:sz="0" w:space="0" w:color="auto"/>
              </w:divBdr>
            </w:div>
            <w:div w:id="662322023">
              <w:marLeft w:val="0"/>
              <w:marRight w:val="0"/>
              <w:marTop w:val="0"/>
              <w:marBottom w:val="0"/>
              <w:divBdr>
                <w:top w:val="none" w:sz="0" w:space="0" w:color="auto"/>
                <w:left w:val="none" w:sz="0" w:space="0" w:color="auto"/>
                <w:bottom w:val="none" w:sz="0" w:space="0" w:color="auto"/>
                <w:right w:val="none" w:sz="0" w:space="0" w:color="auto"/>
              </w:divBdr>
            </w:div>
            <w:div w:id="1858496006">
              <w:marLeft w:val="0"/>
              <w:marRight w:val="0"/>
              <w:marTop w:val="0"/>
              <w:marBottom w:val="0"/>
              <w:divBdr>
                <w:top w:val="none" w:sz="0" w:space="0" w:color="auto"/>
                <w:left w:val="none" w:sz="0" w:space="0" w:color="auto"/>
                <w:bottom w:val="none" w:sz="0" w:space="0" w:color="auto"/>
                <w:right w:val="none" w:sz="0" w:space="0" w:color="auto"/>
              </w:divBdr>
            </w:div>
            <w:div w:id="523520511">
              <w:marLeft w:val="0"/>
              <w:marRight w:val="0"/>
              <w:marTop w:val="0"/>
              <w:marBottom w:val="0"/>
              <w:divBdr>
                <w:top w:val="none" w:sz="0" w:space="0" w:color="auto"/>
                <w:left w:val="none" w:sz="0" w:space="0" w:color="auto"/>
                <w:bottom w:val="none" w:sz="0" w:space="0" w:color="auto"/>
                <w:right w:val="none" w:sz="0" w:space="0" w:color="auto"/>
              </w:divBdr>
            </w:div>
            <w:div w:id="1474178314">
              <w:marLeft w:val="0"/>
              <w:marRight w:val="0"/>
              <w:marTop w:val="0"/>
              <w:marBottom w:val="0"/>
              <w:divBdr>
                <w:top w:val="none" w:sz="0" w:space="0" w:color="auto"/>
                <w:left w:val="none" w:sz="0" w:space="0" w:color="auto"/>
                <w:bottom w:val="none" w:sz="0" w:space="0" w:color="auto"/>
                <w:right w:val="none" w:sz="0" w:space="0" w:color="auto"/>
              </w:divBdr>
            </w:div>
            <w:div w:id="16935584">
              <w:marLeft w:val="0"/>
              <w:marRight w:val="0"/>
              <w:marTop w:val="0"/>
              <w:marBottom w:val="0"/>
              <w:divBdr>
                <w:top w:val="none" w:sz="0" w:space="0" w:color="auto"/>
                <w:left w:val="none" w:sz="0" w:space="0" w:color="auto"/>
                <w:bottom w:val="none" w:sz="0" w:space="0" w:color="auto"/>
                <w:right w:val="none" w:sz="0" w:space="0" w:color="auto"/>
              </w:divBdr>
            </w:div>
            <w:div w:id="736324133">
              <w:marLeft w:val="0"/>
              <w:marRight w:val="0"/>
              <w:marTop w:val="0"/>
              <w:marBottom w:val="0"/>
              <w:divBdr>
                <w:top w:val="none" w:sz="0" w:space="0" w:color="auto"/>
                <w:left w:val="none" w:sz="0" w:space="0" w:color="auto"/>
                <w:bottom w:val="none" w:sz="0" w:space="0" w:color="auto"/>
                <w:right w:val="none" w:sz="0" w:space="0" w:color="auto"/>
              </w:divBdr>
            </w:div>
            <w:div w:id="819346748">
              <w:marLeft w:val="0"/>
              <w:marRight w:val="0"/>
              <w:marTop w:val="0"/>
              <w:marBottom w:val="0"/>
              <w:divBdr>
                <w:top w:val="none" w:sz="0" w:space="0" w:color="auto"/>
                <w:left w:val="none" w:sz="0" w:space="0" w:color="auto"/>
                <w:bottom w:val="none" w:sz="0" w:space="0" w:color="auto"/>
                <w:right w:val="none" w:sz="0" w:space="0" w:color="auto"/>
              </w:divBdr>
            </w:div>
            <w:div w:id="1299258870">
              <w:marLeft w:val="0"/>
              <w:marRight w:val="0"/>
              <w:marTop w:val="0"/>
              <w:marBottom w:val="0"/>
              <w:divBdr>
                <w:top w:val="none" w:sz="0" w:space="0" w:color="auto"/>
                <w:left w:val="none" w:sz="0" w:space="0" w:color="auto"/>
                <w:bottom w:val="none" w:sz="0" w:space="0" w:color="auto"/>
                <w:right w:val="none" w:sz="0" w:space="0" w:color="auto"/>
              </w:divBdr>
            </w:div>
            <w:div w:id="1704868224">
              <w:marLeft w:val="0"/>
              <w:marRight w:val="0"/>
              <w:marTop w:val="0"/>
              <w:marBottom w:val="0"/>
              <w:divBdr>
                <w:top w:val="none" w:sz="0" w:space="0" w:color="auto"/>
                <w:left w:val="none" w:sz="0" w:space="0" w:color="auto"/>
                <w:bottom w:val="none" w:sz="0" w:space="0" w:color="auto"/>
                <w:right w:val="none" w:sz="0" w:space="0" w:color="auto"/>
              </w:divBdr>
            </w:div>
            <w:div w:id="2132631831">
              <w:marLeft w:val="0"/>
              <w:marRight w:val="0"/>
              <w:marTop w:val="0"/>
              <w:marBottom w:val="0"/>
              <w:divBdr>
                <w:top w:val="none" w:sz="0" w:space="0" w:color="auto"/>
                <w:left w:val="none" w:sz="0" w:space="0" w:color="auto"/>
                <w:bottom w:val="none" w:sz="0" w:space="0" w:color="auto"/>
                <w:right w:val="none" w:sz="0" w:space="0" w:color="auto"/>
              </w:divBdr>
            </w:div>
            <w:div w:id="1146973664">
              <w:marLeft w:val="0"/>
              <w:marRight w:val="0"/>
              <w:marTop w:val="0"/>
              <w:marBottom w:val="0"/>
              <w:divBdr>
                <w:top w:val="none" w:sz="0" w:space="0" w:color="auto"/>
                <w:left w:val="none" w:sz="0" w:space="0" w:color="auto"/>
                <w:bottom w:val="none" w:sz="0" w:space="0" w:color="auto"/>
                <w:right w:val="none" w:sz="0" w:space="0" w:color="auto"/>
              </w:divBdr>
            </w:div>
            <w:div w:id="1397239767">
              <w:marLeft w:val="0"/>
              <w:marRight w:val="0"/>
              <w:marTop w:val="0"/>
              <w:marBottom w:val="0"/>
              <w:divBdr>
                <w:top w:val="none" w:sz="0" w:space="0" w:color="auto"/>
                <w:left w:val="none" w:sz="0" w:space="0" w:color="auto"/>
                <w:bottom w:val="none" w:sz="0" w:space="0" w:color="auto"/>
                <w:right w:val="none" w:sz="0" w:space="0" w:color="auto"/>
              </w:divBdr>
            </w:div>
            <w:div w:id="1330715673">
              <w:marLeft w:val="0"/>
              <w:marRight w:val="0"/>
              <w:marTop w:val="0"/>
              <w:marBottom w:val="0"/>
              <w:divBdr>
                <w:top w:val="none" w:sz="0" w:space="0" w:color="auto"/>
                <w:left w:val="none" w:sz="0" w:space="0" w:color="auto"/>
                <w:bottom w:val="none" w:sz="0" w:space="0" w:color="auto"/>
                <w:right w:val="none" w:sz="0" w:space="0" w:color="auto"/>
              </w:divBdr>
            </w:div>
            <w:div w:id="241184034">
              <w:marLeft w:val="0"/>
              <w:marRight w:val="0"/>
              <w:marTop w:val="0"/>
              <w:marBottom w:val="0"/>
              <w:divBdr>
                <w:top w:val="none" w:sz="0" w:space="0" w:color="auto"/>
                <w:left w:val="none" w:sz="0" w:space="0" w:color="auto"/>
                <w:bottom w:val="none" w:sz="0" w:space="0" w:color="auto"/>
                <w:right w:val="none" w:sz="0" w:space="0" w:color="auto"/>
              </w:divBdr>
            </w:div>
            <w:div w:id="210457977">
              <w:marLeft w:val="0"/>
              <w:marRight w:val="0"/>
              <w:marTop w:val="0"/>
              <w:marBottom w:val="0"/>
              <w:divBdr>
                <w:top w:val="none" w:sz="0" w:space="0" w:color="auto"/>
                <w:left w:val="none" w:sz="0" w:space="0" w:color="auto"/>
                <w:bottom w:val="none" w:sz="0" w:space="0" w:color="auto"/>
                <w:right w:val="none" w:sz="0" w:space="0" w:color="auto"/>
              </w:divBdr>
            </w:div>
            <w:div w:id="603462755">
              <w:marLeft w:val="0"/>
              <w:marRight w:val="0"/>
              <w:marTop w:val="0"/>
              <w:marBottom w:val="0"/>
              <w:divBdr>
                <w:top w:val="none" w:sz="0" w:space="0" w:color="auto"/>
                <w:left w:val="none" w:sz="0" w:space="0" w:color="auto"/>
                <w:bottom w:val="none" w:sz="0" w:space="0" w:color="auto"/>
                <w:right w:val="none" w:sz="0" w:space="0" w:color="auto"/>
              </w:divBdr>
            </w:div>
            <w:div w:id="595138744">
              <w:marLeft w:val="0"/>
              <w:marRight w:val="0"/>
              <w:marTop w:val="0"/>
              <w:marBottom w:val="0"/>
              <w:divBdr>
                <w:top w:val="none" w:sz="0" w:space="0" w:color="auto"/>
                <w:left w:val="none" w:sz="0" w:space="0" w:color="auto"/>
                <w:bottom w:val="none" w:sz="0" w:space="0" w:color="auto"/>
                <w:right w:val="none" w:sz="0" w:space="0" w:color="auto"/>
              </w:divBdr>
            </w:div>
            <w:div w:id="1397973978">
              <w:marLeft w:val="0"/>
              <w:marRight w:val="0"/>
              <w:marTop w:val="0"/>
              <w:marBottom w:val="0"/>
              <w:divBdr>
                <w:top w:val="none" w:sz="0" w:space="0" w:color="auto"/>
                <w:left w:val="none" w:sz="0" w:space="0" w:color="auto"/>
                <w:bottom w:val="none" w:sz="0" w:space="0" w:color="auto"/>
                <w:right w:val="none" w:sz="0" w:space="0" w:color="auto"/>
              </w:divBdr>
            </w:div>
            <w:div w:id="1114910692">
              <w:marLeft w:val="0"/>
              <w:marRight w:val="0"/>
              <w:marTop w:val="0"/>
              <w:marBottom w:val="0"/>
              <w:divBdr>
                <w:top w:val="none" w:sz="0" w:space="0" w:color="auto"/>
                <w:left w:val="none" w:sz="0" w:space="0" w:color="auto"/>
                <w:bottom w:val="none" w:sz="0" w:space="0" w:color="auto"/>
                <w:right w:val="none" w:sz="0" w:space="0" w:color="auto"/>
              </w:divBdr>
            </w:div>
            <w:div w:id="1127624865">
              <w:marLeft w:val="0"/>
              <w:marRight w:val="0"/>
              <w:marTop w:val="0"/>
              <w:marBottom w:val="0"/>
              <w:divBdr>
                <w:top w:val="none" w:sz="0" w:space="0" w:color="auto"/>
                <w:left w:val="none" w:sz="0" w:space="0" w:color="auto"/>
                <w:bottom w:val="none" w:sz="0" w:space="0" w:color="auto"/>
                <w:right w:val="none" w:sz="0" w:space="0" w:color="auto"/>
              </w:divBdr>
            </w:div>
            <w:div w:id="621692127">
              <w:marLeft w:val="0"/>
              <w:marRight w:val="0"/>
              <w:marTop w:val="0"/>
              <w:marBottom w:val="0"/>
              <w:divBdr>
                <w:top w:val="none" w:sz="0" w:space="0" w:color="auto"/>
                <w:left w:val="none" w:sz="0" w:space="0" w:color="auto"/>
                <w:bottom w:val="none" w:sz="0" w:space="0" w:color="auto"/>
                <w:right w:val="none" w:sz="0" w:space="0" w:color="auto"/>
              </w:divBdr>
            </w:div>
            <w:div w:id="949825895">
              <w:marLeft w:val="0"/>
              <w:marRight w:val="0"/>
              <w:marTop w:val="0"/>
              <w:marBottom w:val="0"/>
              <w:divBdr>
                <w:top w:val="none" w:sz="0" w:space="0" w:color="auto"/>
                <w:left w:val="none" w:sz="0" w:space="0" w:color="auto"/>
                <w:bottom w:val="none" w:sz="0" w:space="0" w:color="auto"/>
                <w:right w:val="none" w:sz="0" w:space="0" w:color="auto"/>
              </w:divBdr>
            </w:div>
            <w:div w:id="1366641800">
              <w:marLeft w:val="0"/>
              <w:marRight w:val="0"/>
              <w:marTop w:val="0"/>
              <w:marBottom w:val="0"/>
              <w:divBdr>
                <w:top w:val="none" w:sz="0" w:space="0" w:color="auto"/>
                <w:left w:val="none" w:sz="0" w:space="0" w:color="auto"/>
                <w:bottom w:val="none" w:sz="0" w:space="0" w:color="auto"/>
                <w:right w:val="none" w:sz="0" w:space="0" w:color="auto"/>
              </w:divBdr>
            </w:div>
            <w:div w:id="633170814">
              <w:marLeft w:val="0"/>
              <w:marRight w:val="0"/>
              <w:marTop w:val="0"/>
              <w:marBottom w:val="0"/>
              <w:divBdr>
                <w:top w:val="none" w:sz="0" w:space="0" w:color="auto"/>
                <w:left w:val="none" w:sz="0" w:space="0" w:color="auto"/>
                <w:bottom w:val="none" w:sz="0" w:space="0" w:color="auto"/>
                <w:right w:val="none" w:sz="0" w:space="0" w:color="auto"/>
              </w:divBdr>
            </w:div>
            <w:div w:id="1880776757">
              <w:marLeft w:val="0"/>
              <w:marRight w:val="0"/>
              <w:marTop w:val="0"/>
              <w:marBottom w:val="0"/>
              <w:divBdr>
                <w:top w:val="none" w:sz="0" w:space="0" w:color="auto"/>
                <w:left w:val="none" w:sz="0" w:space="0" w:color="auto"/>
                <w:bottom w:val="none" w:sz="0" w:space="0" w:color="auto"/>
                <w:right w:val="none" w:sz="0" w:space="0" w:color="auto"/>
              </w:divBdr>
            </w:div>
            <w:div w:id="2106723477">
              <w:marLeft w:val="0"/>
              <w:marRight w:val="0"/>
              <w:marTop w:val="0"/>
              <w:marBottom w:val="0"/>
              <w:divBdr>
                <w:top w:val="none" w:sz="0" w:space="0" w:color="auto"/>
                <w:left w:val="none" w:sz="0" w:space="0" w:color="auto"/>
                <w:bottom w:val="none" w:sz="0" w:space="0" w:color="auto"/>
                <w:right w:val="none" w:sz="0" w:space="0" w:color="auto"/>
              </w:divBdr>
            </w:div>
            <w:div w:id="1220559791">
              <w:marLeft w:val="0"/>
              <w:marRight w:val="0"/>
              <w:marTop w:val="0"/>
              <w:marBottom w:val="0"/>
              <w:divBdr>
                <w:top w:val="none" w:sz="0" w:space="0" w:color="auto"/>
                <w:left w:val="none" w:sz="0" w:space="0" w:color="auto"/>
                <w:bottom w:val="none" w:sz="0" w:space="0" w:color="auto"/>
                <w:right w:val="none" w:sz="0" w:space="0" w:color="auto"/>
              </w:divBdr>
            </w:div>
            <w:div w:id="752973369">
              <w:marLeft w:val="0"/>
              <w:marRight w:val="0"/>
              <w:marTop w:val="0"/>
              <w:marBottom w:val="0"/>
              <w:divBdr>
                <w:top w:val="none" w:sz="0" w:space="0" w:color="auto"/>
                <w:left w:val="none" w:sz="0" w:space="0" w:color="auto"/>
                <w:bottom w:val="none" w:sz="0" w:space="0" w:color="auto"/>
                <w:right w:val="none" w:sz="0" w:space="0" w:color="auto"/>
              </w:divBdr>
            </w:div>
            <w:div w:id="91513073">
              <w:marLeft w:val="0"/>
              <w:marRight w:val="0"/>
              <w:marTop w:val="0"/>
              <w:marBottom w:val="0"/>
              <w:divBdr>
                <w:top w:val="none" w:sz="0" w:space="0" w:color="auto"/>
                <w:left w:val="none" w:sz="0" w:space="0" w:color="auto"/>
                <w:bottom w:val="none" w:sz="0" w:space="0" w:color="auto"/>
                <w:right w:val="none" w:sz="0" w:space="0" w:color="auto"/>
              </w:divBdr>
            </w:div>
            <w:div w:id="855196052">
              <w:marLeft w:val="0"/>
              <w:marRight w:val="0"/>
              <w:marTop w:val="0"/>
              <w:marBottom w:val="0"/>
              <w:divBdr>
                <w:top w:val="none" w:sz="0" w:space="0" w:color="auto"/>
                <w:left w:val="none" w:sz="0" w:space="0" w:color="auto"/>
                <w:bottom w:val="none" w:sz="0" w:space="0" w:color="auto"/>
                <w:right w:val="none" w:sz="0" w:space="0" w:color="auto"/>
              </w:divBdr>
            </w:div>
            <w:div w:id="1425491689">
              <w:marLeft w:val="0"/>
              <w:marRight w:val="0"/>
              <w:marTop w:val="0"/>
              <w:marBottom w:val="0"/>
              <w:divBdr>
                <w:top w:val="none" w:sz="0" w:space="0" w:color="auto"/>
                <w:left w:val="none" w:sz="0" w:space="0" w:color="auto"/>
                <w:bottom w:val="none" w:sz="0" w:space="0" w:color="auto"/>
                <w:right w:val="none" w:sz="0" w:space="0" w:color="auto"/>
              </w:divBdr>
            </w:div>
            <w:div w:id="1816291763">
              <w:marLeft w:val="0"/>
              <w:marRight w:val="0"/>
              <w:marTop w:val="0"/>
              <w:marBottom w:val="0"/>
              <w:divBdr>
                <w:top w:val="none" w:sz="0" w:space="0" w:color="auto"/>
                <w:left w:val="none" w:sz="0" w:space="0" w:color="auto"/>
                <w:bottom w:val="none" w:sz="0" w:space="0" w:color="auto"/>
                <w:right w:val="none" w:sz="0" w:space="0" w:color="auto"/>
              </w:divBdr>
            </w:div>
            <w:div w:id="598829210">
              <w:marLeft w:val="0"/>
              <w:marRight w:val="0"/>
              <w:marTop w:val="0"/>
              <w:marBottom w:val="0"/>
              <w:divBdr>
                <w:top w:val="none" w:sz="0" w:space="0" w:color="auto"/>
                <w:left w:val="none" w:sz="0" w:space="0" w:color="auto"/>
                <w:bottom w:val="none" w:sz="0" w:space="0" w:color="auto"/>
                <w:right w:val="none" w:sz="0" w:space="0" w:color="auto"/>
              </w:divBdr>
            </w:div>
            <w:div w:id="153763747">
              <w:marLeft w:val="0"/>
              <w:marRight w:val="0"/>
              <w:marTop w:val="0"/>
              <w:marBottom w:val="0"/>
              <w:divBdr>
                <w:top w:val="none" w:sz="0" w:space="0" w:color="auto"/>
                <w:left w:val="none" w:sz="0" w:space="0" w:color="auto"/>
                <w:bottom w:val="none" w:sz="0" w:space="0" w:color="auto"/>
                <w:right w:val="none" w:sz="0" w:space="0" w:color="auto"/>
              </w:divBdr>
            </w:div>
            <w:div w:id="1860117061">
              <w:marLeft w:val="0"/>
              <w:marRight w:val="0"/>
              <w:marTop w:val="0"/>
              <w:marBottom w:val="0"/>
              <w:divBdr>
                <w:top w:val="none" w:sz="0" w:space="0" w:color="auto"/>
                <w:left w:val="none" w:sz="0" w:space="0" w:color="auto"/>
                <w:bottom w:val="none" w:sz="0" w:space="0" w:color="auto"/>
                <w:right w:val="none" w:sz="0" w:space="0" w:color="auto"/>
              </w:divBdr>
            </w:div>
            <w:div w:id="987589164">
              <w:marLeft w:val="0"/>
              <w:marRight w:val="0"/>
              <w:marTop w:val="0"/>
              <w:marBottom w:val="0"/>
              <w:divBdr>
                <w:top w:val="none" w:sz="0" w:space="0" w:color="auto"/>
                <w:left w:val="none" w:sz="0" w:space="0" w:color="auto"/>
                <w:bottom w:val="none" w:sz="0" w:space="0" w:color="auto"/>
                <w:right w:val="none" w:sz="0" w:space="0" w:color="auto"/>
              </w:divBdr>
            </w:div>
            <w:div w:id="1177306586">
              <w:marLeft w:val="0"/>
              <w:marRight w:val="0"/>
              <w:marTop w:val="0"/>
              <w:marBottom w:val="0"/>
              <w:divBdr>
                <w:top w:val="none" w:sz="0" w:space="0" w:color="auto"/>
                <w:left w:val="none" w:sz="0" w:space="0" w:color="auto"/>
                <w:bottom w:val="none" w:sz="0" w:space="0" w:color="auto"/>
                <w:right w:val="none" w:sz="0" w:space="0" w:color="auto"/>
              </w:divBdr>
            </w:div>
            <w:div w:id="1634216019">
              <w:marLeft w:val="0"/>
              <w:marRight w:val="0"/>
              <w:marTop w:val="0"/>
              <w:marBottom w:val="0"/>
              <w:divBdr>
                <w:top w:val="none" w:sz="0" w:space="0" w:color="auto"/>
                <w:left w:val="none" w:sz="0" w:space="0" w:color="auto"/>
                <w:bottom w:val="none" w:sz="0" w:space="0" w:color="auto"/>
                <w:right w:val="none" w:sz="0" w:space="0" w:color="auto"/>
              </w:divBdr>
            </w:div>
            <w:div w:id="108166026">
              <w:marLeft w:val="0"/>
              <w:marRight w:val="0"/>
              <w:marTop w:val="0"/>
              <w:marBottom w:val="0"/>
              <w:divBdr>
                <w:top w:val="none" w:sz="0" w:space="0" w:color="auto"/>
                <w:left w:val="none" w:sz="0" w:space="0" w:color="auto"/>
                <w:bottom w:val="none" w:sz="0" w:space="0" w:color="auto"/>
                <w:right w:val="none" w:sz="0" w:space="0" w:color="auto"/>
              </w:divBdr>
            </w:div>
            <w:div w:id="2116360215">
              <w:marLeft w:val="0"/>
              <w:marRight w:val="0"/>
              <w:marTop w:val="0"/>
              <w:marBottom w:val="0"/>
              <w:divBdr>
                <w:top w:val="none" w:sz="0" w:space="0" w:color="auto"/>
                <w:left w:val="none" w:sz="0" w:space="0" w:color="auto"/>
                <w:bottom w:val="none" w:sz="0" w:space="0" w:color="auto"/>
                <w:right w:val="none" w:sz="0" w:space="0" w:color="auto"/>
              </w:divBdr>
            </w:div>
            <w:div w:id="702904386">
              <w:marLeft w:val="0"/>
              <w:marRight w:val="0"/>
              <w:marTop w:val="0"/>
              <w:marBottom w:val="0"/>
              <w:divBdr>
                <w:top w:val="none" w:sz="0" w:space="0" w:color="auto"/>
                <w:left w:val="none" w:sz="0" w:space="0" w:color="auto"/>
                <w:bottom w:val="none" w:sz="0" w:space="0" w:color="auto"/>
                <w:right w:val="none" w:sz="0" w:space="0" w:color="auto"/>
              </w:divBdr>
            </w:div>
            <w:div w:id="735469898">
              <w:marLeft w:val="0"/>
              <w:marRight w:val="0"/>
              <w:marTop w:val="0"/>
              <w:marBottom w:val="0"/>
              <w:divBdr>
                <w:top w:val="none" w:sz="0" w:space="0" w:color="auto"/>
                <w:left w:val="none" w:sz="0" w:space="0" w:color="auto"/>
                <w:bottom w:val="none" w:sz="0" w:space="0" w:color="auto"/>
                <w:right w:val="none" w:sz="0" w:space="0" w:color="auto"/>
              </w:divBdr>
            </w:div>
            <w:div w:id="47651134">
              <w:marLeft w:val="0"/>
              <w:marRight w:val="0"/>
              <w:marTop w:val="0"/>
              <w:marBottom w:val="0"/>
              <w:divBdr>
                <w:top w:val="none" w:sz="0" w:space="0" w:color="auto"/>
                <w:left w:val="none" w:sz="0" w:space="0" w:color="auto"/>
                <w:bottom w:val="none" w:sz="0" w:space="0" w:color="auto"/>
                <w:right w:val="none" w:sz="0" w:space="0" w:color="auto"/>
              </w:divBdr>
            </w:div>
            <w:div w:id="1909684143">
              <w:marLeft w:val="0"/>
              <w:marRight w:val="0"/>
              <w:marTop w:val="0"/>
              <w:marBottom w:val="0"/>
              <w:divBdr>
                <w:top w:val="none" w:sz="0" w:space="0" w:color="auto"/>
                <w:left w:val="none" w:sz="0" w:space="0" w:color="auto"/>
                <w:bottom w:val="none" w:sz="0" w:space="0" w:color="auto"/>
                <w:right w:val="none" w:sz="0" w:space="0" w:color="auto"/>
              </w:divBdr>
            </w:div>
            <w:div w:id="811407354">
              <w:marLeft w:val="0"/>
              <w:marRight w:val="0"/>
              <w:marTop w:val="0"/>
              <w:marBottom w:val="0"/>
              <w:divBdr>
                <w:top w:val="none" w:sz="0" w:space="0" w:color="auto"/>
                <w:left w:val="none" w:sz="0" w:space="0" w:color="auto"/>
                <w:bottom w:val="none" w:sz="0" w:space="0" w:color="auto"/>
                <w:right w:val="none" w:sz="0" w:space="0" w:color="auto"/>
              </w:divBdr>
            </w:div>
            <w:div w:id="1656184990">
              <w:marLeft w:val="0"/>
              <w:marRight w:val="0"/>
              <w:marTop w:val="0"/>
              <w:marBottom w:val="0"/>
              <w:divBdr>
                <w:top w:val="none" w:sz="0" w:space="0" w:color="auto"/>
                <w:left w:val="none" w:sz="0" w:space="0" w:color="auto"/>
                <w:bottom w:val="none" w:sz="0" w:space="0" w:color="auto"/>
                <w:right w:val="none" w:sz="0" w:space="0" w:color="auto"/>
              </w:divBdr>
            </w:div>
            <w:div w:id="992222481">
              <w:marLeft w:val="0"/>
              <w:marRight w:val="0"/>
              <w:marTop w:val="0"/>
              <w:marBottom w:val="0"/>
              <w:divBdr>
                <w:top w:val="none" w:sz="0" w:space="0" w:color="auto"/>
                <w:left w:val="none" w:sz="0" w:space="0" w:color="auto"/>
                <w:bottom w:val="none" w:sz="0" w:space="0" w:color="auto"/>
                <w:right w:val="none" w:sz="0" w:space="0" w:color="auto"/>
              </w:divBdr>
            </w:div>
            <w:div w:id="508909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0898347">
      <w:bodyDiv w:val="1"/>
      <w:marLeft w:val="0"/>
      <w:marRight w:val="0"/>
      <w:marTop w:val="0"/>
      <w:marBottom w:val="0"/>
      <w:divBdr>
        <w:top w:val="none" w:sz="0" w:space="0" w:color="auto"/>
        <w:left w:val="none" w:sz="0" w:space="0" w:color="auto"/>
        <w:bottom w:val="none" w:sz="0" w:space="0" w:color="auto"/>
        <w:right w:val="none" w:sz="0" w:space="0" w:color="auto"/>
      </w:divBdr>
    </w:div>
    <w:div w:id="621378143">
      <w:bodyDiv w:val="1"/>
      <w:marLeft w:val="0"/>
      <w:marRight w:val="0"/>
      <w:marTop w:val="0"/>
      <w:marBottom w:val="0"/>
      <w:divBdr>
        <w:top w:val="none" w:sz="0" w:space="0" w:color="auto"/>
        <w:left w:val="none" w:sz="0" w:space="0" w:color="auto"/>
        <w:bottom w:val="none" w:sz="0" w:space="0" w:color="auto"/>
        <w:right w:val="none" w:sz="0" w:space="0" w:color="auto"/>
      </w:divBdr>
    </w:div>
    <w:div w:id="666446681">
      <w:bodyDiv w:val="1"/>
      <w:marLeft w:val="0"/>
      <w:marRight w:val="0"/>
      <w:marTop w:val="0"/>
      <w:marBottom w:val="0"/>
      <w:divBdr>
        <w:top w:val="none" w:sz="0" w:space="0" w:color="auto"/>
        <w:left w:val="none" w:sz="0" w:space="0" w:color="auto"/>
        <w:bottom w:val="none" w:sz="0" w:space="0" w:color="auto"/>
        <w:right w:val="none" w:sz="0" w:space="0" w:color="auto"/>
      </w:divBdr>
      <w:divsChild>
        <w:div w:id="825825099">
          <w:marLeft w:val="480"/>
          <w:marRight w:val="0"/>
          <w:marTop w:val="0"/>
          <w:marBottom w:val="0"/>
          <w:divBdr>
            <w:top w:val="none" w:sz="0" w:space="0" w:color="auto"/>
            <w:left w:val="none" w:sz="0" w:space="0" w:color="auto"/>
            <w:bottom w:val="none" w:sz="0" w:space="0" w:color="auto"/>
            <w:right w:val="none" w:sz="0" w:space="0" w:color="auto"/>
          </w:divBdr>
          <w:divsChild>
            <w:div w:id="1840805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3974441">
      <w:bodyDiv w:val="1"/>
      <w:marLeft w:val="0"/>
      <w:marRight w:val="0"/>
      <w:marTop w:val="0"/>
      <w:marBottom w:val="0"/>
      <w:divBdr>
        <w:top w:val="none" w:sz="0" w:space="0" w:color="auto"/>
        <w:left w:val="none" w:sz="0" w:space="0" w:color="auto"/>
        <w:bottom w:val="none" w:sz="0" w:space="0" w:color="auto"/>
        <w:right w:val="none" w:sz="0" w:space="0" w:color="auto"/>
      </w:divBdr>
      <w:divsChild>
        <w:div w:id="2070569836">
          <w:marLeft w:val="480"/>
          <w:marRight w:val="0"/>
          <w:marTop w:val="0"/>
          <w:marBottom w:val="0"/>
          <w:divBdr>
            <w:top w:val="none" w:sz="0" w:space="0" w:color="auto"/>
            <w:left w:val="none" w:sz="0" w:space="0" w:color="auto"/>
            <w:bottom w:val="none" w:sz="0" w:space="0" w:color="auto"/>
            <w:right w:val="none" w:sz="0" w:space="0" w:color="auto"/>
          </w:divBdr>
          <w:divsChild>
            <w:div w:id="1483542951">
              <w:marLeft w:val="0"/>
              <w:marRight w:val="0"/>
              <w:marTop w:val="0"/>
              <w:marBottom w:val="0"/>
              <w:divBdr>
                <w:top w:val="none" w:sz="0" w:space="0" w:color="auto"/>
                <w:left w:val="none" w:sz="0" w:space="0" w:color="auto"/>
                <w:bottom w:val="none" w:sz="0" w:space="0" w:color="auto"/>
                <w:right w:val="none" w:sz="0" w:space="0" w:color="auto"/>
              </w:divBdr>
            </w:div>
            <w:div w:id="1060057338">
              <w:marLeft w:val="0"/>
              <w:marRight w:val="0"/>
              <w:marTop w:val="0"/>
              <w:marBottom w:val="0"/>
              <w:divBdr>
                <w:top w:val="none" w:sz="0" w:space="0" w:color="auto"/>
                <w:left w:val="none" w:sz="0" w:space="0" w:color="auto"/>
                <w:bottom w:val="none" w:sz="0" w:space="0" w:color="auto"/>
                <w:right w:val="none" w:sz="0" w:space="0" w:color="auto"/>
              </w:divBdr>
            </w:div>
            <w:div w:id="178280537">
              <w:marLeft w:val="0"/>
              <w:marRight w:val="0"/>
              <w:marTop w:val="0"/>
              <w:marBottom w:val="0"/>
              <w:divBdr>
                <w:top w:val="none" w:sz="0" w:space="0" w:color="auto"/>
                <w:left w:val="none" w:sz="0" w:space="0" w:color="auto"/>
                <w:bottom w:val="none" w:sz="0" w:space="0" w:color="auto"/>
                <w:right w:val="none" w:sz="0" w:space="0" w:color="auto"/>
              </w:divBdr>
            </w:div>
            <w:div w:id="1793670422">
              <w:marLeft w:val="0"/>
              <w:marRight w:val="0"/>
              <w:marTop w:val="0"/>
              <w:marBottom w:val="0"/>
              <w:divBdr>
                <w:top w:val="none" w:sz="0" w:space="0" w:color="auto"/>
                <w:left w:val="none" w:sz="0" w:space="0" w:color="auto"/>
                <w:bottom w:val="none" w:sz="0" w:space="0" w:color="auto"/>
                <w:right w:val="none" w:sz="0" w:space="0" w:color="auto"/>
              </w:divBdr>
            </w:div>
            <w:div w:id="250893615">
              <w:marLeft w:val="0"/>
              <w:marRight w:val="0"/>
              <w:marTop w:val="0"/>
              <w:marBottom w:val="0"/>
              <w:divBdr>
                <w:top w:val="none" w:sz="0" w:space="0" w:color="auto"/>
                <w:left w:val="none" w:sz="0" w:space="0" w:color="auto"/>
                <w:bottom w:val="none" w:sz="0" w:space="0" w:color="auto"/>
                <w:right w:val="none" w:sz="0" w:space="0" w:color="auto"/>
              </w:divBdr>
            </w:div>
            <w:div w:id="466092801">
              <w:marLeft w:val="0"/>
              <w:marRight w:val="0"/>
              <w:marTop w:val="0"/>
              <w:marBottom w:val="0"/>
              <w:divBdr>
                <w:top w:val="none" w:sz="0" w:space="0" w:color="auto"/>
                <w:left w:val="none" w:sz="0" w:space="0" w:color="auto"/>
                <w:bottom w:val="none" w:sz="0" w:space="0" w:color="auto"/>
                <w:right w:val="none" w:sz="0" w:space="0" w:color="auto"/>
              </w:divBdr>
            </w:div>
            <w:div w:id="901914408">
              <w:marLeft w:val="0"/>
              <w:marRight w:val="0"/>
              <w:marTop w:val="0"/>
              <w:marBottom w:val="0"/>
              <w:divBdr>
                <w:top w:val="none" w:sz="0" w:space="0" w:color="auto"/>
                <w:left w:val="none" w:sz="0" w:space="0" w:color="auto"/>
                <w:bottom w:val="none" w:sz="0" w:space="0" w:color="auto"/>
                <w:right w:val="none" w:sz="0" w:space="0" w:color="auto"/>
              </w:divBdr>
            </w:div>
            <w:div w:id="1685470437">
              <w:marLeft w:val="0"/>
              <w:marRight w:val="0"/>
              <w:marTop w:val="0"/>
              <w:marBottom w:val="0"/>
              <w:divBdr>
                <w:top w:val="none" w:sz="0" w:space="0" w:color="auto"/>
                <w:left w:val="none" w:sz="0" w:space="0" w:color="auto"/>
                <w:bottom w:val="none" w:sz="0" w:space="0" w:color="auto"/>
                <w:right w:val="none" w:sz="0" w:space="0" w:color="auto"/>
              </w:divBdr>
            </w:div>
            <w:div w:id="951086550">
              <w:marLeft w:val="0"/>
              <w:marRight w:val="0"/>
              <w:marTop w:val="0"/>
              <w:marBottom w:val="0"/>
              <w:divBdr>
                <w:top w:val="none" w:sz="0" w:space="0" w:color="auto"/>
                <w:left w:val="none" w:sz="0" w:space="0" w:color="auto"/>
                <w:bottom w:val="none" w:sz="0" w:space="0" w:color="auto"/>
                <w:right w:val="none" w:sz="0" w:space="0" w:color="auto"/>
              </w:divBdr>
            </w:div>
            <w:div w:id="1503275177">
              <w:marLeft w:val="0"/>
              <w:marRight w:val="0"/>
              <w:marTop w:val="0"/>
              <w:marBottom w:val="0"/>
              <w:divBdr>
                <w:top w:val="none" w:sz="0" w:space="0" w:color="auto"/>
                <w:left w:val="none" w:sz="0" w:space="0" w:color="auto"/>
                <w:bottom w:val="none" w:sz="0" w:space="0" w:color="auto"/>
                <w:right w:val="none" w:sz="0" w:space="0" w:color="auto"/>
              </w:divBdr>
            </w:div>
            <w:div w:id="2029989623">
              <w:marLeft w:val="0"/>
              <w:marRight w:val="0"/>
              <w:marTop w:val="0"/>
              <w:marBottom w:val="0"/>
              <w:divBdr>
                <w:top w:val="none" w:sz="0" w:space="0" w:color="auto"/>
                <w:left w:val="none" w:sz="0" w:space="0" w:color="auto"/>
                <w:bottom w:val="none" w:sz="0" w:space="0" w:color="auto"/>
                <w:right w:val="none" w:sz="0" w:space="0" w:color="auto"/>
              </w:divBdr>
            </w:div>
            <w:div w:id="1130246950">
              <w:marLeft w:val="0"/>
              <w:marRight w:val="0"/>
              <w:marTop w:val="0"/>
              <w:marBottom w:val="0"/>
              <w:divBdr>
                <w:top w:val="none" w:sz="0" w:space="0" w:color="auto"/>
                <w:left w:val="none" w:sz="0" w:space="0" w:color="auto"/>
                <w:bottom w:val="none" w:sz="0" w:space="0" w:color="auto"/>
                <w:right w:val="none" w:sz="0" w:space="0" w:color="auto"/>
              </w:divBdr>
            </w:div>
            <w:div w:id="1353873112">
              <w:marLeft w:val="0"/>
              <w:marRight w:val="0"/>
              <w:marTop w:val="0"/>
              <w:marBottom w:val="0"/>
              <w:divBdr>
                <w:top w:val="none" w:sz="0" w:space="0" w:color="auto"/>
                <w:left w:val="none" w:sz="0" w:space="0" w:color="auto"/>
                <w:bottom w:val="none" w:sz="0" w:space="0" w:color="auto"/>
                <w:right w:val="none" w:sz="0" w:space="0" w:color="auto"/>
              </w:divBdr>
            </w:div>
            <w:div w:id="1495683120">
              <w:marLeft w:val="0"/>
              <w:marRight w:val="0"/>
              <w:marTop w:val="0"/>
              <w:marBottom w:val="0"/>
              <w:divBdr>
                <w:top w:val="none" w:sz="0" w:space="0" w:color="auto"/>
                <w:left w:val="none" w:sz="0" w:space="0" w:color="auto"/>
                <w:bottom w:val="none" w:sz="0" w:space="0" w:color="auto"/>
                <w:right w:val="none" w:sz="0" w:space="0" w:color="auto"/>
              </w:divBdr>
            </w:div>
            <w:div w:id="1576474712">
              <w:marLeft w:val="0"/>
              <w:marRight w:val="0"/>
              <w:marTop w:val="0"/>
              <w:marBottom w:val="0"/>
              <w:divBdr>
                <w:top w:val="none" w:sz="0" w:space="0" w:color="auto"/>
                <w:left w:val="none" w:sz="0" w:space="0" w:color="auto"/>
                <w:bottom w:val="none" w:sz="0" w:space="0" w:color="auto"/>
                <w:right w:val="none" w:sz="0" w:space="0" w:color="auto"/>
              </w:divBdr>
            </w:div>
            <w:div w:id="1797024297">
              <w:marLeft w:val="0"/>
              <w:marRight w:val="0"/>
              <w:marTop w:val="0"/>
              <w:marBottom w:val="0"/>
              <w:divBdr>
                <w:top w:val="none" w:sz="0" w:space="0" w:color="auto"/>
                <w:left w:val="none" w:sz="0" w:space="0" w:color="auto"/>
                <w:bottom w:val="none" w:sz="0" w:space="0" w:color="auto"/>
                <w:right w:val="none" w:sz="0" w:space="0" w:color="auto"/>
              </w:divBdr>
            </w:div>
            <w:div w:id="1600944537">
              <w:marLeft w:val="0"/>
              <w:marRight w:val="0"/>
              <w:marTop w:val="0"/>
              <w:marBottom w:val="0"/>
              <w:divBdr>
                <w:top w:val="none" w:sz="0" w:space="0" w:color="auto"/>
                <w:left w:val="none" w:sz="0" w:space="0" w:color="auto"/>
                <w:bottom w:val="none" w:sz="0" w:space="0" w:color="auto"/>
                <w:right w:val="none" w:sz="0" w:space="0" w:color="auto"/>
              </w:divBdr>
            </w:div>
            <w:div w:id="2113236030">
              <w:marLeft w:val="0"/>
              <w:marRight w:val="0"/>
              <w:marTop w:val="0"/>
              <w:marBottom w:val="0"/>
              <w:divBdr>
                <w:top w:val="none" w:sz="0" w:space="0" w:color="auto"/>
                <w:left w:val="none" w:sz="0" w:space="0" w:color="auto"/>
                <w:bottom w:val="none" w:sz="0" w:space="0" w:color="auto"/>
                <w:right w:val="none" w:sz="0" w:space="0" w:color="auto"/>
              </w:divBdr>
            </w:div>
            <w:div w:id="976760572">
              <w:marLeft w:val="0"/>
              <w:marRight w:val="0"/>
              <w:marTop w:val="0"/>
              <w:marBottom w:val="0"/>
              <w:divBdr>
                <w:top w:val="none" w:sz="0" w:space="0" w:color="auto"/>
                <w:left w:val="none" w:sz="0" w:space="0" w:color="auto"/>
                <w:bottom w:val="none" w:sz="0" w:space="0" w:color="auto"/>
                <w:right w:val="none" w:sz="0" w:space="0" w:color="auto"/>
              </w:divBdr>
            </w:div>
            <w:div w:id="9332346">
              <w:marLeft w:val="0"/>
              <w:marRight w:val="0"/>
              <w:marTop w:val="0"/>
              <w:marBottom w:val="0"/>
              <w:divBdr>
                <w:top w:val="none" w:sz="0" w:space="0" w:color="auto"/>
                <w:left w:val="none" w:sz="0" w:space="0" w:color="auto"/>
                <w:bottom w:val="none" w:sz="0" w:space="0" w:color="auto"/>
                <w:right w:val="none" w:sz="0" w:space="0" w:color="auto"/>
              </w:divBdr>
            </w:div>
            <w:div w:id="1996642975">
              <w:marLeft w:val="0"/>
              <w:marRight w:val="0"/>
              <w:marTop w:val="0"/>
              <w:marBottom w:val="0"/>
              <w:divBdr>
                <w:top w:val="none" w:sz="0" w:space="0" w:color="auto"/>
                <w:left w:val="none" w:sz="0" w:space="0" w:color="auto"/>
                <w:bottom w:val="none" w:sz="0" w:space="0" w:color="auto"/>
                <w:right w:val="none" w:sz="0" w:space="0" w:color="auto"/>
              </w:divBdr>
            </w:div>
            <w:div w:id="491944437">
              <w:marLeft w:val="0"/>
              <w:marRight w:val="0"/>
              <w:marTop w:val="0"/>
              <w:marBottom w:val="0"/>
              <w:divBdr>
                <w:top w:val="none" w:sz="0" w:space="0" w:color="auto"/>
                <w:left w:val="none" w:sz="0" w:space="0" w:color="auto"/>
                <w:bottom w:val="none" w:sz="0" w:space="0" w:color="auto"/>
                <w:right w:val="none" w:sz="0" w:space="0" w:color="auto"/>
              </w:divBdr>
            </w:div>
            <w:div w:id="1582988575">
              <w:marLeft w:val="0"/>
              <w:marRight w:val="0"/>
              <w:marTop w:val="0"/>
              <w:marBottom w:val="0"/>
              <w:divBdr>
                <w:top w:val="none" w:sz="0" w:space="0" w:color="auto"/>
                <w:left w:val="none" w:sz="0" w:space="0" w:color="auto"/>
                <w:bottom w:val="none" w:sz="0" w:space="0" w:color="auto"/>
                <w:right w:val="none" w:sz="0" w:space="0" w:color="auto"/>
              </w:divBdr>
            </w:div>
            <w:div w:id="806238146">
              <w:marLeft w:val="0"/>
              <w:marRight w:val="0"/>
              <w:marTop w:val="0"/>
              <w:marBottom w:val="0"/>
              <w:divBdr>
                <w:top w:val="none" w:sz="0" w:space="0" w:color="auto"/>
                <w:left w:val="none" w:sz="0" w:space="0" w:color="auto"/>
                <w:bottom w:val="none" w:sz="0" w:space="0" w:color="auto"/>
                <w:right w:val="none" w:sz="0" w:space="0" w:color="auto"/>
              </w:divBdr>
            </w:div>
            <w:div w:id="703864588">
              <w:marLeft w:val="0"/>
              <w:marRight w:val="0"/>
              <w:marTop w:val="0"/>
              <w:marBottom w:val="0"/>
              <w:divBdr>
                <w:top w:val="none" w:sz="0" w:space="0" w:color="auto"/>
                <w:left w:val="none" w:sz="0" w:space="0" w:color="auto"/>
                <w:bottom w:val="none" w:sz="0" w:space="0" w:color="auto"/>
                <w:right w:val="none" w:sz="0" w:space="0" w:color="auto"/>
              </w:divBdr>
            </w:div>
            <w:div w:id="778256382">
              <w:marLeft w:val="0"/>
              <w:marRight w:val="0"/>
              <w:marTop w:val="0"/>
              <w:marBottom w:val="0"/>
              <w:divBdr>
                <w:top w:val="none" w:sz="0" w:space="0" w:color="auto"/>
                <w:left w:val="none" w:sz="0" w:space="0" w:color="auto"/>
                <w:bottom w:val="none" w:sz="0" w:space="0" w:color="auto"/>
                <w:right w:val="none" w:sz="0" w:space="0" w:color="auto"/>
              </w:divBdr>
            </w:div>
            <w:div w:id="433944511">
              <w:marLeft w:val="0"/>
              <w:marRight w:val="0"/>
              <w:marTop w:val="0"/>
              <w:marBottom w:val="0"/>
              <w:divBdr>
                <w:top w:val="none" w:sz="0" w:space="0" w:color="auto"/>
                <w:left w:val="none" w:sz="0" w:space="0" w:color="auto"/>
                <w:bottom w:val="none" w:sz="0" w:space="0" w:color="auto"/>
                <w:right w:val="none" w:sz="0" w:space="0" w:color="auto"/>
              </w:divBdr>
            </w:div>
            <w:div w:id="327712654">
              <w:marLeft w:val="0"/>
              <w:marRight w:val="0"/>
              <w:marTop w:val="0"/>
              <w:marBottom w:val="0"/>
              <w:divBdr>
                <w:top w:val="none" w:sz="0" w:space="0" w:color="auto"/>
                <w:left w:val="none" w:sz="0" w:space="0" w:color="auto"/>
                <w:bottom w:val="none" w:sz="0" w:space="0" w:color="auto"/>
                <w:right w:val="none" w:sz="0" w:space="0" w:color="auto"/>
              </w:divBdr>
            </w:div>
            <w:div w:id="516581590">
              <w:marLeft w:val="0"/>
              <w:marRight w:val="0"/>
              <w:marTop w:val="0"/>
              <w:marBottom w:val="0"/>
              <w:divBdr>
                <w:top w:val="none" w:sz="0" w:space="0" w:color="auto"/>
                <w:left w:val="none" w:sz="0" w:space="0" w:color="auto"/>
                <w:bottom w:val="none" w:sz="0" w:space="0" w:color="auto"/>
                <w:right w:val="none" w:sz="0" w:space="0" w:color="auto"/>
              </w:divBdr>
            </w:div>
            <w:div w:id="138116330">
              <w:marLeft w:val="0"/>
              <w:marRight w:val="0"/>
              <w:marTop w:val="0"/>
              <w:marBottom w:val="0"/>
              <w:divBdr>
                <w:top w:val="none" w:sz="0" w:space="0" w:color="auto"/>
                <w:left w:val="none" w:sz="0" w:space="0" w:color="auto"/>
                <w:bottom w:val="none" w:sz="0" w:space="0" w:color="auto"/>
                <w:right w:val="none" w:sz="0" w:space="0" w:color="auto"/>
              </w:divBdr>
            </w:div>
            <w:div w:id="1028068884">
              <w:marLeft w:val="0"/>
              <w:marRight w:val="0"/>
              <w:marTop w:val="0"/>
              <w:marBottom w:val="0"/>
              <w:divBdr>
                <w:top w:val="none" w:sz="0" w:space="0" w:color="auto"/>
                <w:left w:val="none" w:sz="0" w:space="0" w:color="auto"/>
                <w:bottom w:val="none" w:sz="0" w:space="0" w:color="auto"/>
                <w:right w:val="none" w:sz="0" w:space="0" w:color="auto"/>
              </w:divBdr>
            </w:div>
            <w:div w:id="393814624">
              <w:marLeft w:val="0"/>
              <w:marRight w:val="0"/>
              <w:marTop w:val="0"/>
              <w:marBottom w:val="0"/>
              <w:divBdr>
                <w:top w:val="none" w:sz="0" w:space="0" w:color="auto"/>
                <w:left w:val="none" w:sz="0" w:space="0" w:color="auto"/>
                <w:bottom w:val="none" w:sz="0" w:space="0" w:color="auto"/>
                <w:right w:val="none" w:sz="0" w:space="0" w:color="auto"/>
              </w:divBdr>
            </w:div>
            <w:div w:id="1530753430">
              <w:marLeft w:val="0"/>
              <w:marRight w:val="0"/>
              <w:marTop w:val="0"/>
              <w:marBottom w:val="0"/>
              <w:divBdr>
                <w:top w:val="none" w:sz="0" w:space="0" w:color="auto"/>
                <w:left w:val="none" w:sz="0" w:space="0" w:color="auto"/>
                <w:bottom w:val="none" w:sz="0" w:space="0" w:color="auto"/>
                <w:right w:val="none" w:sz="0" w:space="0" w:color="auto"/>
              </w:divBdr>
            </w:div>
            <w:div w:id="741871879">
              <w:marLeft w:val="0"/>
              <w:marRight w:val="0"/>
              <w:marTop w:val="0"/>
              <w:marBottom w:val="0"/>
              <w:divBdr>
                <w:top w:val="none" w:sz="0" w:space="0" w:color="auto"/>
                <w:left w:val="none" w:sz="0" w:space="0" w:color="auto"/>
                <w:bottom w:val="none" w:sz="0" w:space="0" w:color="auto"/>
                <w:right w:val="none" w:sz="0" w:space="0" w:color="auto"/>
              </w:divBdr>
            </w:div>
            <w:div w:id="1402950394">
              <w:marLeft w:val="0"/>
              <w:marRight w:val="0"/>
              <w:marTop w:val="0"/>
              <w:marBottom w:val="0"/>
              <w:divBdr>
                <w:top w:val="none" w:sz="0" w:space="0" w:color="auto"/>
                <w:left w:val="none" w:sz="0" w:space="0" w:color="auto"/>
                <w:bottom w:val="none" w:sz="0" w:space="0" w:color="auto"/>
                <w:right w:val="none" w:sz="0" w:space="0" w:color="auto"/>
              </w:divBdr>
            </w:div>
            <w:div w:id="1386107271">
              <w:marLeft w:val="0"/>
              <w:marRight w:val="0"/>
              <w:marTop w:val="0"/>
              <w:marBottom w:val="0"/>
              <w:divBdr>
                <w:top w:val="none" w:sz="0" w:space="0" w:color="auto"/>
                <w:left w:val="none" w:sz="0" w:space="0" w:color="auto"/>
                <w:bottom w:val="none" w:sz="0" w:space="0" w:color="auto"/>
                <w:right w:val="none" w:sz="0" w:space="0" w:color="auto"/>
              </w:divBdr>
            </w:div>
            <w:div w:id="1468474309">
              <w:marLeft w:val="0"/>
              <w:marRight w:val="0"/>
              <w:marTop w:val="0"/>
              <w:marBottom w:val="0"/>
              <w:divBdr>
                <w:top w:val="none" w:sz="0" w:space="0" w:color="auto"/>
                <w:left w:val="none" w:sz="0" w:space="0" w:color="auto"/>
                <w:bottom w:val="none" w:sz="0" w:space="0" w:color="auto"/>
                <w:right w:val="none" w:sz="0" w:space="0" w:color="auto"/>
              </w:divBdr>
            </w:div>
            <w:div w:id="1647783537">
              <w:marLeft w:val="0"/>
              <w:marRight w:val="0"/>
              <w:marTop w:val="0"/>
              <w:marBottom w:val="0"/>
              <w:divBdr>
                <w:top w:val="none" w:sz="0" w:space="0" w:color="auto"/>
                <w:left w:val="none" w:sz="0" w:space="0" w:color="auto"/>
                <w:bottom w:val="none" w:sz="0" w:space="0" w:color="auto"/>
                <w:right w:val="none" w:sz="0" w:space="0" w:color="auto"/>
              </w:divBdr>
            </w:div>
            <w:div w:id="875700999">
              <w:marLeft w:val="0"/>
              <w:marRight w:val="0"/>
              <w:marTop w:val="0"/>
              <w:marBottom w:val="0"/>
              <w:divBdr>
                <w:top w:val="none" w:sz="0" w:space="0" w:color="auto"/>
                <w:left w:val="none" w:sz="0" w:space="0" w:color="auto"/>
                <w:bottom w:val="none" w:sz="0" w:space="0" w:color="auto"/>
                <w:right w:val="none" w:sz="0" w:space="0" w:color="auto"/>
              </w:divBdr>
            </w:div>
            <w:div w:id="1503548710">
              <w:marLeft w:val="0"/>
              <w:marRight w:val="0"/>
              <w:marTop w:val="0"/>
              <w:marBottom w:val="0"/>
              <w:divBdr>
                <w:top w:val="none" w:sz="0" w:space="0" w:color="auto"/>
                <w:left w:val="none" w:sz="0" w:space="0" w:color="auto"/>
                <w:bottom w:val="none" w:sz="0" w:space="0" w:color="auto"/>
                <w:right w:val="none" w:sz="0" w:space="0" w:color="auto"/>
              </w:divBdr>
            </w:div>
            <w:div w:id="704910822">
              <w:marLeft w:val="0"/>
              <w:marRight w:val="0"/>
              <w:marTop w:val="0"/>
              <w:marBottom w:val="0"/>
              <w:divBdr>
                <w:top w:val="none" w:sz="0" w:space="0" w:color="auto"/>
                <w:left w:val="none" w:sz="0" w:space="0" w:color="auto"/>
                <w:bottom w:val="none" w:sz="0" w:space="0" w:color="auto"/>
                <w:right w:val="none" w:sz="0" w:space="0" w:color="auto"/>
              </w:divBdr>
            </w:div>
            <w:div w:id="530413026">
              <w:marLeft w:val="0"/>
              <w:marRight w:val="0"/>
              <w:marTop w:val="0"/>
              <w:marBottom w:val="0"/>
              <w:divBdr>
                <w:top w:val="none" w:sz="0" w:space="0" w:color="auto"/>
                <w:left w:val="none" w:sz="0" w:space="0" w:color="auto"/>
                <w:bottom w:val="none" w:sz="0" w:space="0" w:color="auto"/>
                <w:right w:val="none" w:sz="0" w:space="0" w:color="auto"/>
              </w:divBdr>
            </w:div>
            <w:div w:id="465705990">
              <w:marLeft w:val="0"/>
              <w:marRight w:val="0"/>
              <w:marTop w:val="0"/>
              <w:marBottom w:val="0"/>
              <w:divBdr>
                <w:top w:val="none" w:sz="0" w:space="0" w:color="auto"/>
                <w:left w:val="none" w:sz="0" w:space="0" w:color="auto"/>
                <w:bottom w:val="none" w:sz="0" w:space="0" w:color="auto"/>
                <w:right w:val="none" w:sz="0" w:space="0" w:color="auto"/>
              </w:divBdr>
            </w:div>
            <w:div w:id="490948249">
              <w:marLeft w:val="0"/>
              <w:marRight w:val="0"/>
              <w:marTop w:val="0"/>
              <w:marBottom w:val="0"/>
              <w:divBdr>
                <w:top w:val="none" w:sz="0" w:space="0" w:color="auto"/>
                <w:left w:val="none" w:sz="0" w:space="0" w:color="auto"/>
                <w:bottom w:val="none" w:sz="0" w:space="0" w:color="auto"/>
                <w:right w:val="none" w:sz="0" w:space="0" w:color="auto"/>
              </w:divBdr>
            </w:div>
            <w:div w:id="2001615302">
              <w:marLeft w:val="0"/>
              <w:marRight w:val="0"/>
              <w:marTop w:val="0"/>
              <w:marBottom w:val="0"/>
              <w:divBdr>
                <w:top w:val="none" w:sz="0" w:space="0" w:color="auto"/>
                <w:left w:val="none" w:sz="0" w:space="0" w:color="auto"/>
                <w:bottom w:val="none" w:sz="0" w:space="0" w:color="auto"/>
                <w:right w:val="none" w:sz="0" w:space="0" w:color="auto"/>
              </w:divBdr>
            </w:div>
            <w:div w:id="1954357280">
              <w:marLeft w:val="0"/>
              <w:marRight w:val="0"/>
              <w:marTop w:val="0"/>
              <w:marBottom w:val="0"/>
              <w:divBdr>
                <w:top w:val="none" w:sz="0" w:space="0" w:color="auto"/>
                <w:left w:val="none" w:sz="0" w:space="0" w:color="auto"/>
                <w:bottom w:val="none" w:sz="0" w:space="0" w:color="auto"/>
                <w:right w:val="none" w:sz="0" w:space="0" w:color="auto"/>
              </w:divBdr>
            </w:div>
            <w:div w:id="1858733826">
              <w:marLeft w:val="0"/>
              <w:marRight w:val="0"/>
              <w:marTop w:val="0"/>
              <w:marBottom w:val="0"/>
              <w:divBdr>
                <w:top w:val="none" w:sz="0" w:space="0" w:color="auto"/>
                <w:left w:val="none" w:sz="0" w:space="0" w:color="auto"/>
                <w:bottom w:val="none" w:sz="0" w:space="0" w:color="auto"/>
                <w:right w:val="none" w:sz="0" w:space="0" w:color="auto"/>
              </w:divBdr>
            </w:div>
            <w:div w:id="1532301026">
              <w:marLeft w:val="0"/>
              <w:marRight w:val="0"/>
              <w:marTop w:val="0"/>
              <w:marBottom w:val="0"/>
              <w:divBdr>
                <w:top w:val="none" w:sz="0" w:space="0" w:color="auto"/>
                <w:left w:val="none" w:sz="0" w:space="0" w:color="auto"/>
                <w:bottom w:val="none" w:sz="0" w:space="0" w:color="auto"/>
                <w:right w:val="none" w:sz="0" w:space="0" w:color="auto"/>
              </w:divBdr>
            </w:div>
            <w:div w:id="1912109879">
              <w:marLeft w:val="0"/>
              <w:marRight w:val="0"/>
              <w:marTop w:val="0"/>
              <w:marBottom w:val="0"/>
              <w:divBdr>
                <w:top w:val="none" w:sz="0" w:space="0" w:color="auto"/>
                <w:left w:val="none" w:sz="0" w:space="0" w:color="auto"/>
                <w:bottom w:val="none" w:sz="0" w:space="0" w:color="auto"/>
                <w:right w:val="none" w:sz="0" w:space="0" w:color="auto"/>
              </w:divBdr>
            </w:div>
            <w:div w:id="408894262">
              <w:marLeft w:val="0"/>
              <w:marRight w:val="0"/>
              <w:marTop w:val="0"/>
              <w:marBottom w:val="0"/>
              <w:divBdr>
                <w:top w:val="none" w:sz="0" w:space="0" w:color="auto"/>
                <w:left w:val="none" w:sz="0" w:space="0" w:color="auto"/>
                <w:bottom w:val="none" w:sz="0" w:space="0" w:color="auto"/>
                <w:right w:val="none" w:sz="0" w:space="0" w:color="auto"/>
              </w:divBdr>
            </w:div>
            <w:div w:id="764959266">
              <w:marLeft w:val="0"/>
              <w:marRight w:val="0"/>
              <w:marTop w:val="0"/>
              <w:marBottom w:val="0"/>
              <w:divBdr>
                <w:top w:val="none" w:sz="0" w:space="0" w:color="auto"/>
                <w:left w:val="none" w:sz="0" w:space="0" w:color="auto"/>
                <w:bottom w:val="none" w:sz="0" w:space="0" w:color="auto"/>
                <w:right w:val="none" w:sz="0" w:space="0" w:color="auto"/>
              </w:divBdr>
            </w:div>
            <w:div w:id="1949314609">
              <w:marLeft w:val="0"/>
              <w:marRight w:val="0"/>
              <w:marTop w:val="0"/>
              <w:marBottom w:val="0"/>
              <w:divBdr>
                <w:top w:val="none" w:sz="0" w:space="0" w:color="auto"/>
                <w:left w:val="none" w:sz="0" w:space="0" w:color="auto"/>
                <w:bottom w:val="none" w:sz="0" w:space="0" w:color="auto"/>
                <w:right w:val="none" w:sz="0" w:space="0" w:color="auto"/>
              </w:divBdr>
            </w:div>
            <w:div w:id="890963005">
              <w:marLeft w:val="0"/>
              <w:marRight w:val="0"/>
              <w:marTop w:val="0"/>
              <w:marBottom w:val="0"/>
              <w:divBdr>
                <w:top w:val="none" w:sz="0" w:space="0" w:color="auto"/>
                <w:left w:val="none" w:sz="0" w:space="0" w:color="auto"/>
                <w:bottom w:val="none" w:sz="0" w:space="0" w:color="auto"/>
                <w:right w:val="none" w:sz="0" w:space="0" w:color="auto"/>
              </w:divBdr>
            </w:div>
            <w:div w:id="787552204">
              <w:marLeft w:val="0"/>
              <w:marRight w:val="0"/>
              <w:marTop w:val="0"/>
              <w:marBottom w:val="0"/>
              <w:divBdr>
                <w:top w:val="none" w:sz="0" w:space="0" w:color="auto"/>
                <w:left w:val="none" w:sz="0" w:space="0" w:color="auto"/>
                <w:bottom w:val="none" w:sz="0" w:space="0" w:color="auto"/>
                <w:right w:val="none" w:sz="0" w:space="0" w:color="auto"/>
              </w:divBdr>
            </w:div>
            <w:div w:id="151261344">
              <w:marLeft w:val="0"/>
              <w:marRight w:val="0"/>
              <w:marTop w:val="0"/>
              <w:marBottom w:val="0"/>
              <w:divBdr>
                <w:top w:val="none" w:sz="0" w:space="0" w:color="auto"/>
                <w:left w:val="none" w:sz="0" w:space="0" w:color="auto"/>
                <w:bottom w:val="none" w:sz="0" w:space="0" w:color="auto"/>
                <w:right w:val="none" w:sz="0" w:space="0" w:color="auto"/>
              </w:divBdr>
            </w:div>
            <w:div w:id="1748650787">
              <w:marLeft w:val="0"/>
              <w:marRight w:val="0"/>
              <w:marTop w:val="0"/>
              <w:marBottom w:val="0"/>
              <w:divBdr>
                <w:top w:val="none" w:sz="0" w:space="0" w:color="auto"/>
                <w:left w:val="none" w:sz="0" w:space="0" w:color="auto"/>
                <w:bottom w:val="none" w:sz="0" w:space="0" w:color="auto"/>
                <w:right w:val="none" w:sz="0" w:space="0" w:color="auto"/>
              </w:divBdr>
            </w:div>
            <w:div w:id="663436611">
              <w:marLeft w:val="0"/>
              <w:marRight w:val="0"/>
              <w:marTop w:val="0"/>
              <w:marBottom w:val="0"/>
              <w:divBdr>
                <w:top w:val="none" w:sz="0" w:space="0" w:color="auto"/>
                <w:left w:val="none" w:sz="0" w:space="0" w:color="auto"/>
                <w:bottom w:val="none" w:sz="0" w:space="0" w:color="auto"/>
                <w:right w:val="none" w:sz="0" w:space="0" w:color="auto"/>
              </w:divBdr>
            </w:div>
            <w:div w:id="1064643713">
              <w:marLeft w:val="0"/>
              <w:marRight w:val="0"/>
              <w:marTop w:val="0"/>
              <w:marBottom w:val="0"/>
              <w:divBdr>
                <w:top w:val="none" w:sz="0" w:space="0" w:color="auto"/>
                <w:left w:val="none" w:sz="0" w:space="0" w:color="auto"/>
                <w:bottom w:val="none" w:sz="0" w:space="0" w:color="auto"/>
                <w:right w:val="none" w:sz="0" w:space="0" w:color="auto"/>
              </w:divBdr>
            </w:div>
            <w:div w:id="1897667533">
              <w:marLeft w:val="0"/>
              <w:marRight w:val="0"/>
              <w:marTop w:val="0"/>
              <w:marBottom w:val="0"/>
              <w:divBdr>
                <w:top w:val="none" w:sz="0" w:space="0" w:color="auto"/>
                <w:left w:val="none" w:sz="0" w:space="0" w:color="auto"/>
                <w:bottom w:val="none" w:sz="0" w:space="0" w:color="auto"/>
                <w:right w:val="none" w:sz="0" w:space="0" w:color="auto"/>
              </w:divBdr>
            </w:div>
            <w:div w:id="314529094">
              <w:marLeft w:val="0"/>
              <w:marRight w:val="0"/>
              <w:marTop w:val="0"/>
              <w:marBottom w:val="0"/>
              <w:divBdr>
                <w:top w:val="none" w:sz="0" w:space="0" w:color="auto"/>
                <w:left w:val="none" w:sz="0" w:space="0" w:color="auto"/>
                <w:bottom w:val="none" w:sz="0" w:space="0" w:color="auto"/>
                <w:right w:val="none" w:sz="0" w:space="0" w:color="auto"/>
              </w:divBdr>
            </w:div>
            <w:div w:id="2134866252">
              <w:marLeft w:val="0"/>
              <w:marRight w:val="0"/>
              <w:marTop w:val="0"/>
              <w:marBottom w:val="0"/>
              <w:divBdr>
                <w:top w:val="none" w:sz="0" w:space="0" w:color="auto"/>
                <w:left w:val="none" w:sz="0" w:space="0" w:color="auto"/>
                <w:bottom w:val="none" w:sz="0" w:space="0" w:color="auto"/>
                <w:right w:val="none" w:sz="0" w:space="0" w:color="auto"/>
              </w:divBdr>
            </w:div>
            <w:div w:id="81487624">
              <w:marLeft w:val="0"/>
              <w:marRight w:val="0"/>
              <w:marTop w:val="0"/>
              <w:marBottom w:val="0"/>
              <w:divBdr>
                <w:top w:val="none" w:sz="0" w:space="0" w:color="auto"/>
                <w:left w:val="none" w:sz="0" w:space="0" w:color="auto"/>
                <w:bottom w:val="none" w:sz="0" w:space="0" w:color="auto"/>
                <w:right w:val="none" w:sz="0" w:space="0" w:color="auto"/>
              </w:divBdr>
            </w:div>
            <w:div w:id="950939657">
              <w:marLeft w:val="0"/>
              <w:marRight w:val="0"/>
              <w:marTop w:val="0"/>
              <w:marBottom w:val="0"/>
              <w:divBdr>
                <w:top w:val="none" w:sz="0" w:space="0" w:color="auto"/>
                <w:left w:val="none" w:sz="0" w:space="0" w:color="auto"/>
                <w:bottom w:val="none" w:sz="0" w:space="0" w:color="auto"/>
                <w:right w:val="none" w:sz="0" w:space="0" w:color="auto"/>
              </w:divBdr>
            </w:div>
            <w:div w:id="1621306062">
              <w:marLeft w:val="0"/>
              <w:marRight w:val="0"/>
              <w:marTop w:val="0"/>
              <w:marBottom w:val="0"/>
              <w:divBdr>
                <w:top w:val="none" w:sz="0" w:space="0" w:color="auto"/>
                <w:left w:val="none" w:sz="0" w:space="0" w:color="auto"/>
                <w:bottom w:val="none" w:sz="0" w:space="0" w:color="auto"/>
                <w:right w:val="none" w:sz="0" w:space="0" w:color="auto"/>
              </w:divBdr>
            </w:div>
            <w:div w:id="752319650">
              <w:marLeft w:val="0"/>
              <w:marRight w:val="0"/>
              <w:marTop w:val="0"/>
              <w:marBottom w:val="0"/>
              <w:divBdr>
                <w:top w:val="none" w:sz="0" w:space="0" w:color="auto"/>
                <w:left w:val="none" w:sz="0" w:space="0" w:color="auto"/>
                <w:bottom w:val="none" w:sz="0" w:space="0" w:color="auto"/>
                <w:right w:val="none" w:sz="0" w:space="0" w:color="auto"/>
              </w:divBdr>
            </w:div>
            <w:div w:id="1989090836">
              <w:marLeft w:val="0"/>
              <w:marRight w:val="0"/>
              <w:marTop w:val="0"/>
              <w:marBottom w:val="0"/>
              <w:divBdr>
                <w:top w:val="none" w:sz="0" w:space="0" w:color="auto"/>
                <w:left w:val="none" w:sz="0" w:space="0" w:color="auto"/>
                <w:bottom w:val="none" w:sz="0" w:space="0" w:color="auto"/>
                <w:right w:val="none" w:sz="0" w:space="0" w:color="auto"/>
              </w:divBdr>
            </w:div>
            <w:div w:id="136728764">
              <w:marLeft w:val="0"/>
              <w:marRight w:val="0"/>
              <w:marTop w:val="0"/>
              <w:marBottom w:val="0"/>
              <w:divBdr>
                <w:top w:val="none" w:sz="0" w:space="0" w:color="auto"/>
                <w:left w:val="none" w:sz="0" w:space="0" w:color="auto"/>
                <w:bottom w:val="none" w:sz="0" w:space="0" w:color="auto"/>
                <w:right w:val="none" w:sz="0" w:space="0" w:color="auto"/>
              </w:divBdr>
            </w:div>
            <w:div w:id="1618558843">
              <w:marLeft w:val="0"/>
              <w:marRight w:val="0"/>
              <w:marTop w:val="0"/>
              <w:marBottom w:val="0"/>
              <w:divBdr>
                <w:top w:val="none" w:sz="0" w:space="0" w:color="auto"/>
                <w:left w:val="none" w:sz="0" w:space="0" w:color="auto"/>
                <w:bottom w:val="none" w:sz="0" w:space="0" w:color="auto"/>
                <w:right w:val="none" w:sz="0" w:space="0" w:color="auto"/>
              </w:divBdr>
            </w:div>
            <w:div w:id="2073120272">
              <w:marLeft w:val="0"/>
              <w:marRight w:val="0"/>
              <w:marTop w:val="0"/>
              <w:marBottom w:val="0"/>
              <w:divBdr>
                <w:top w:val="none" w:sz="0" w:space="0" w:color="auto"/>
                <w:left w:val="none" w:sz="0" w:space="0" w:color="auto"/>
                <w:bottom w:val="none" w:sz="0" w:space="0" w:color="auto"/>
                <w:right w:val="none" w:sz="0" w:space="0" w:color="auto"/>
              </w:divBdr>
            </w:div>
            <w:div w:id="1270160510">
              <w:marLeft w:val="0"/>
              <w:marRight w:val="0"/>
              <w:marTop w:val="0"/>
              <w:marBottom w:val="0"/>
              <w:divBdr>
                <w:top w:val="none" w:sz="0" w:space="0" w:color="auto"/>
                <w:left w:val="none" w:sz="0" w:space="0" w:color="auto"/>
                <w:bottom w:val="none" w:sz="0" w:space="0" w:color="auto"/>
                <w:right w:val="none" w:sz="0" w:space="0" w:color="auto"/>
              </w:divBdr>
            </w:div>
            <w:div w:id="681590789">
              <w:marLeft w:val="0"/>
              <w:marRight w:val="0"/>
              <w:marTop w:val="0"/>
              <w:marBottom w:val="0"/>
              <w:divBdr>
                <w:top w:val="none" w:sz="0" w:space="0" w:color="auto"/>
                <w:left w:val="none" w:sz="0" w:space="0" w:color="auto"/>
                <w:bottom w:val="none" w:sz="0" w:space="0" w:color="auto"/>
                <w:right w:val="none" w:sz="0" w:space="0" w:color="auto"/>
              </w:divBdr>
            </w:div>
            <w:div w:id="657272038">
              <w:marLeft w:val="0"/>
              <w:marRight w:val="0"/>
              <w:marTop w:val="0"/>
              <w:marBottom w:val="0"/>
              <w:divBdr>
                <w:top w:val="none" w:sz="0" w:space="0" w:color="auto"/>
                <w:left w:val="none" w:sz="0" w:space="0" w:color="auto"/>
                <w:bottom w:val="none" w:sz="0" w:space="0" w:color="auto"/>
                <w:right w:val="none" w:sz="0" w:space="0" w:color="auto"/>
              </w:divBdr>
            </w:div>
            <w:div w:id="360519292">
              <w:marLeft w:val="0"/>
              <w:marRight w:val="0"/>
              <w:marTop w:val="0"/>
              <w:marBottom w:val="0"/>
              <w:divBdr>
                <w:top w:val="none" w:sz="0" w:space="0" w:color="auto"/>
                <w:left w:val="none" w:sz="0" w:space="0" w:color="auto"/>
                <w:bottom w:val="none" w:sz="0" w:space="0" w:color="auto"/>
                <w:right w:val="none" w:sz="0" w:space="0" w:color="auto"/>
              </w:divBdr>
            </w:div>
            <w:div w:id="621109411">
              <w:marLeft w:val="0"/>
              <w:marRight w:val="0"/>
              <w:marTop w:val="0"/>
              <w:marBottom w:val="0"/>
              <w:divBdr>
                <w:top w:val="none" w:sz="0" w:space="0" w:color="auto"/>
                <w:left w:val="none" w:sz="0" w:space="0" w:color="auto"/>
                <w:bottom w:val="none" w:sz="0" w:space="0" w:color="auto"/>
                <w:right w:val="none" w:sz="0" w:space="0" w:color="auto"/>
              </w:divBdr>
            </w:div>
            <w:div w:id="2001224822">
              <w:marLeft w:val="0"/>
              <w:marRight w:val="0"/>
              <w:marTop w:val="0"/>
              <w:marBottom w:val="0"/>
              <w:divBdr>
                <w:top w:val="none" w:sz="0" w:space="0" w:color="auto"/>
                <w:left w:val="none" w:sz="0" w:space="0" w:color="auto"/>
                <w:bottom w:val="none" w:sz="0" w:space="0" w:color="auto"/>
                <w:right w:val="none" w:sz="0" w:space="0" w:color="auto"/>
              </w:divBdr>
            </w:div>
            <w:div w:id="290522243">
              <w:marLeft w:val="0"/>
              <w:marRight w:val="0"/>
              <w:marTop w:val="0"/>
              <w:marBottom w:val="0"/>
              <w:divBdr>
                <w:top w:val="none" w:sz="0" w:space="0" w:color="auto"/>
                <w:left w:val="none" w:sz="0" w:space="0" w:color="auto"/>
                <w:bottom w:val="none" w:sz="0" w:space="0" w:color="auto"/>
                <w:right w:val="none" w:sz="0" w:space="0" w:color="auto"/>
              </w:divBdr>
            </w:div>
            <w:div w:id="297226330">
              <w:marLeft w:val="0"/>
              <w:marRight w:val="0"/>
              <w:marTop w:val="0"/>
              <w:marBottom w:val="0"/>
              <w:divBdr>
                <w:top w:val="none" w:sz="0" w:space="0" w:color="auto"/>
                <w:left w:val="none" w:sz="0" w:space="0" w:color="auto"/>
                <w:bottom w:val="none" w:sz="0" w:space="0" w:color="auto"/>
                <w:right w:val="none" w:sz="0" w:space="0" w:color="auto"/>
              </w:divBdr>
            </w:div>
            <w:div w:id="548495042">
              <w:marLeft w:val="0"/>
              <w:marRight w:val="0"/>
              <w:marTop w:val="0"/>
              <w:marBottom w:val="0"/>
              <w:divBdr>
                <w:top w:val="none" w:sz="0" w:space="0" w:color="auto"/>
                <w:left w:val="none" w:sz="0" w:space="0" w:color="auto"/>
                <w:bottom w:val="none" w:sz="0" w:space="0" w:color="auto"/>
                <w:right w:val="none" w:sz="0" w:space="0" w:color="auto"/>
              </w:divBdr>
            </w:div>
            <w:div w:id="1361012965">
              <w:marLeft w:val="0"/>
              <w:marRight w:val="0"/>
              <w:marTop w:val="0"/>
              <w:marBottom w:val="0"/>
              <w:divBdr>
                <w:top w:val="none" w:sz="0" w:space="0" w:color="auto"/>
                <w:left w:val="none" w:sz="0" w:space="0" w:color="auto"/>
                <w:bottom w:val="none" w:sz="0" w:space="0" w:color="auto"/>
                <w:right w:val="none" w:sz="0" w:space="0" w:color="auto"/>
              </w:divBdr>
            </w:div>
            <w:div w:id="1130827640">
              <w:marLeft w:val="0"/>
              <w:marRight w:val="0"/>
              <w:marTop w:val="0"/>
              <w:marBottom w:val="0"/>
              <w:divBdr>
                <w:top w:val="none" w:sz="0" w:space="0" w:color="auto"/>
                <w:left w:val="none" w:sz="0" w:space="0" w:color="auto"/>
                <w:bottom w:val="none" w:sz="0" w:space="0" w:color="auto"/>
                <w:right w:val="none" w:sz="0" w:space="0" w:color="auto"/>
              </w:divBdr>
            </w:div>
            <w:div w:id="133111041">
              <w:marLeft w:val="0"/>
              <w:marRight w:val="0"/>
              <w:marTop w:val="0"/>
              <w:marBottom w:val="0"/>
              <w:divBdr>
                <w:top w:val="none" w:sz="0" w:space="0" w:color="auto"/>
                <w:left w:val="none" w:sz="0" w:space="0" w:color="auto"/>
                <w:bottom w:val="none" w:sz="0" w:space="0" w:color="auto"/>
                <w:right w:val="none" w:sz="0" w:space="0" w:color="auto"/>
              </w:divBdr>
            </w:div>
            <w:div w:id="1012492969">
              <w:marLeft w:val="0"/>
              <w:marRight w:val="0"/>
              <w:marTop w:val="0"/>
              <w:marBottom w:val="0"/>
              <w:divBdr>
                <w:top w:val="none" w:sz="0" w:space="0" w:color="auto"/>
                <w:left w:val="none" w:sz="0" w:space="0" w:color="auto"/>
                <w:bottom w:val="none" w:sz="0" w:space="0" w:color="auto"/>
                <w:right w:val="none" w:sz="0" w:space="0" w:color="auto"/>
              </w:divBdr>
            </w:div>
            <w:div w:id="2134202378">
              <w:marLeft w:val="0"/>
              <w:marRight w:val="0"/>
              <w:marTop w:val="0"/>
              <w:marBottom w:val="0"/>
              <w:divBdr>
                <w:top w:val="none" w:sz="0" w:space="0" w:color="auto"/>
                <w:left w:val="none" w:sz="0" w:space="0" w:color="auto"/>
                <w:bottom w:val="none" w:sz="0" w:space="0" w:color="auto"/>
                <w:right w:val="none" w:sz="0" w:space="0" w:color="auto"/>
              </w:divBdr>
            </w:div>
            <w:div w:id="631253726">
              <w:marLeft w:val="0"/>
              <w:marRight w:val="0"/>
              <w:marTop w:val="0"/>
              <w:marBottom w:val="0"/>
              <w:divBdr>
                <w:top w:val="none" w:sz="0" w:space="0" w:color="auto"/>
                <w:left w:val="none" w:sz="0" w:space="0" w:color="auto"/>
                <w:bottom w:val="none" w:sz="0" w:space="0" w:color="auto"/>
                <w:right w:val="none" w:sz="0" w:space="0" w:color="auto"/>
              </w:divBdr>
            </w:div>
            <w:div w:id="314917631">
              <w:marLeft w:val="0"/>
              <w:marRight w:val="0"/>
              <w:marTop w:val="0"/>
              <w:marBottom w:val="0"/>
              <w:divBdr>
                <w:top w:val="none" w:sz="0" w:space="0" w:color="auto"/>
                <w:left w:val="none" w:sz="0" w:space="0" w:color="auto"/>
                <w:bottom w:val="none" w:sz="0" w:space="0" w:color="auto"/>
                <w:right w:val="none" w:sz="0" w:space="0" w:color="auto"/>
              </w:divBdr>
            </w:div>
            <w:div w:id="1282762379">
              <w:marLeft w:val="0"/>
              <w:marRight w:val="0"/>
              <w:marTop w:val="0"/>
              <w:marBottom w:val="0"/>
              <w:divBdr>
                <w:top w:val="none" w:sz="0" w:space="0" w:color="auto"/>
                <w:left w:val="none" w:sz="0" w:space="0" w:color="auto"/>
                <w:bottom w:val="none" w:sz="0" w:space="0" w:color="auto"/>
                <w:right w:val="none" w:sz="0" w:space="0" w:color="auto"/>
              </w:divBdr>
            </w:div>
            <w:div w:id="176122724">
              <w:marLeft w:val="0"/>
              <w:marRight w:val="0"/>
              <w:marTop w:val="0"/>
              <w:marBottom w:val="0"/>
              <w:divBdr>
                <w:top w:val="none" w:sz="0" w:space="0" w:color="auto"/>
                <w:left w:val="none" w:sz="0" w:space="0" w:color="auto"/>
                <w:bottom w:val="none" w:sz="0" w:space="0" w:color="auto"/>
                <w:right w:val="none" w:sz="0" w:space="0" w:color="auto"/>
              </w:divBdr>
            </w:div>
            <w:div w:id="140775523">
              <w:marLeft w:val="0"/>
              <w:marRight w:val="0"/>
              <w:marTop w:val="0"/>
              <w:marBottom w:val="0"/>
              <w:divBdr>
                <w:top w:val="none" w:sz="0" w:space="0" w:color="auto"/>
                <w:left w:val="none" w:sz="0" w:space="0" w:color="auto"/>
                <w:bottom w:val="none" w:sz="0" w:space="0" w:color="auto"/>
                <w:right w:val="none" w:sz="0" w:space="0" w:color="auto"/>
              </w:divBdr>
            </w:div>
            <w:div w:id="629744089">
              <w:marLeft w:val="0"/>
              <w:marRight w:val="0"/>
              <w:marTop w:val="0"/>
              <w:marBottom w:val="0"/>
              <w:divBdr>
                <w:top w:val="none" w:sz="0" w:space="0" w:color="auto"/>
                <w:left w:val="none" w:sz="0" w:space="0" w:color="auto"/>
                <w:bottom w:val="none" w:sz="0" w:space="0" w:color="auto"/>
                <w:right w:val="none" w:sz="0" w:space="0" w:color="auto"/>
              </w:divBdr>
            </w:div>
            <w:div w:id="152379573">
              <w:marLeft w:val="0"/>
              <w:marRight w:val="0"/>
              <w:marTop w:val="0"/>
              <w:marBottom w:val="0"/>
              <w:divBdr>
                <w:top w:val="none" w:sz="0" w:space="0" w:color="auto"/>
                <w:left w:val="none" w:sz="0" w:space="0" w:color="auto"/>
                <w:bottom w:val="none" w:sz="0" w:space="0" w:color="auto"/>
                <w:right w:val="none" w:sz="0" w:space="0" w:color="auto"/>
              </w:divBdr>
            </w:div>
            <w:div w:id="1100099479">
              <w:marLeft w:val="0"/>
              <w:marRight w:val="0"/>
              <w:marTop w:val="0"/>
              <w:marBottom w:val="0"/>
              <w:divBdr>
                <w:top w:val="none" w:sz="0" w:space="0" w:color="auto"/>
                <w:left w:val="none" w:sz="0" w:space="0" w:color="auto"/>
                <w:bottom w:val="none" w:sz="0" w:space="0" w:color="auto"/>
                <w:right w:val="none" w:sz="0" w:space="0" w:color="auto"/>
              </w:divBdr>
            </w:div>
            <w:div w:id="1423723319">
              <w:marLeft w:val="0"/>
              <w:marRight w:val="0"/>
              <w:marTop w:val="0"/>
              <w:marBottom w:val="0"/>
              <w:divBdr>
                <w:top w:val="none" w:sz="0" w:space="0" w:color="auto"/>
                <w:left w:val="none" w:sz="0" w:space="0" w:color="auto"/>
                <w:bottom w:val="none" w:sz="0" w:space="0" w:color="auto"/>
                <w:right w:val="none" w:sz="0" w:space="0" w:color="auto"/>
              </w:divBdr>
            </w:div>
            <w:div w:id="545138487">
              <w:marLeft w:val="0"/>
              <w:marRight w:val="0"/>
              <w:marTop w:val="0"/>
              <w:marBottom w:val="0"/>
              <w:divBdr>
                <w:top w:val="none" w:sz="0" w:space="0" w:color="auto"/>
                <w:left w:val="none" w:sz="0" w:space="0" w:color="auto"/>
                <w:bottom w:val="none" w:sz="0" w:space="0" w:color="auto"/>
                <w:right w:val="none" w:sz="0" w:space="0" w:color="auto"/>
              </w:divBdr>
            </w:div>
            <w:div w:id="2063552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115609">
      <w:bodyDiv w:val="1"/>
      <w:marLeft w:val="0"/>
      <w:marRight w:val="0"/>
      <w:marTop w:val="0"/>
      <w:marBottom w:val="0"/>
      <w:divBdr>
        <w:top w:val="none" w:sz="0" w:space="0" w:color="auto"/>
        <w:left w:val="none" w:sz="0" w:space="0" w:color="auto"/>
        <w:bottom w:val="none" w:sz="0" w:space="0" w:color="auto"/>
        <w:right w:val="none" w:sz="0" w:space="0" w:color="auto"/>
      </w:divBdr>
    </w:div>
    <w:div w:id="1128932721">
      <w:bodyDiv w:val="1"/>
      <w:marLeft w:val="0"/>
      <w:marRight w:val="0"/>
      <w:marTop w:val="0"/>
      <w:marBottom w:val="0"/>
      <w:divBdr>
        <w:top w:val="none" w:sz="0" w:space="0" w:color="auto"/>
        <w:left w:val="none" w:sz="0" w:space="0" w:color="auto"/>
        <w:bottom w:val="none" w:sz="0" w:space="0" w:color="auto"/>
        <w:right w:val="none" w:sz="0" w:space="0" w:color="auto"/>
      </w:divBdr>
      <w:divsChild>
        <w:div w:id="91829210">
          <w:marLeft w:val="480"/>
          <w:marRight w:val="0"/>
          <w:marTop w:val="0"/>
          <w:marBottom w:val="0"/>
          <w:divBdr>
            <w:top w:val="none" w:sz="0" w:space="0" w:color="auto"/>
            <w:left w:val="none" w:sz="0" w:space="0" w:color="auto"/>
            <w:bottom w:val="none" w:sz="0" w:space="0" w:color="auto"/>
            <w:right w:val="none" w:sz="0" w:space="0" w:color="auto"/>
          </w:divBdr>
          <w:divsChild>
            <w:div w:id="1900819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051808">
      <w:bodyDiv w:val="1"/>
      <w:marLeft w:val="0"/>
      <w:marRight w:val="0"/>
      <w:marTop w:val="0"/>
      <w:marBottom w:val="0"/>
      <w:divBdr>
        <w:top w:val="none" w:sz="0" w:space="0" w:color="auto"/>
        <w:left w:val="none" w:sz="0" w:space="0" w:color="auto"/>
        <w:bottom w:val="none" w:sz="0" w:space="0" w:color="auto"/>
        <w:right w:val="none" w:sz="0" w:space="0" w:color="auto"/>
      </w:divBdr>
    </w:div>
    <w:div w:id="1298216727">
      <w:bodyDiv w:val="1"/>
      <w:marLeft w:val="0"/>
      <w:marRight w:val="0"/>
      <w:marTop w:val="0"/>
      <w:marBottom w:val="0"/>
      <w:divBdr>
        <w:top w:val="none" w:sz="0" w:space="0" w:color="auto"/>
        <w:left w:val="none" w:sz="0" w:space="0" w:color="auto"/>
        <w:bottom w:val="none" w:sz="0" w:space="0" w:color="auto"/>
        <w:right w:val="none" w:sz="0" w:space="0" w:color="auto"/>
      </w:divBdr>
      <w:divsChild>
        <w:div w:id="592468603">
          <w:marLeft w:val="480"/>
          <w:marRight w:val="0"/>
          <w:marTop w:val="0"/>
          <w:marBottom w:val="0"/>
          <w:divBdr>
            <w:top w:val="none" w:sz="0" w:space="0" w:color="auto"/>
            <w:left w:val="none" w:sz="0" w:space="0" w:color="auto"/>
            <w:bottom w:val="none" w:sz="0" w:space="0" w:color="auto"/>
            <w:right w:val="none" w:sz="0" w:space="0" w:color="auto"/>
          </w:divBdr>
          <w:divsChild>
            <w:div w:id="735124526">
              <w:marLeft w:val="0"/>
              <w:marRight w:val="0"/>
              <w:marTop w:val="0"/>
              <w:marBottom w:val="0"/>
              <w:divBdr>
                <w:top w:val="none" w:sz="0" w:space="0" w:color="auto"/>
                <w:left w:val="none" w:sz="0" w:space="0" w:color="auto"/>
                <w:bottom w:val="none" w:sz="0" w:space="0" w:color="auto"/>
                <w:right w:val="none" w:sz="0" w:space="0" w:color="auto"/>
              </w:divBdr>
            </w:div>
            <w:div w:id="297222706">
              <w:marLeft w:val="0"/>
              <w:marRight w:val="0"/>
              <w:marTop w:val="0"/>
              <w:marBottom w:val="0"/>
              <w:divBdr>
                <w:top w:val="none" w:sz="0" w:space="0" w:color="auto"/>
                <w:left w:val="none" w:sz="0" w:space="0" w:color="auto"/>
                <w:bottom w:val="none" w:sz="0" w:space="0" w:color="auto"/>
                <w:right w:val="none" w:sz="0" w:space="0" w:color="auto"/>
              </w:divBdr>
            </w:div>
            <w:div w:id="39135384">
              <w:marLeft w:val="0"/>
              <w:marRight w:val="0"/>
              <w:marTop w:val="0"/>
              <w:marBottom w:val="0"/>
              <w:divBdr>
                <w:top w:val="none" w:sz="0" w:space="0" w:color="auto"/>
                <w:left w:val="none" w:sz="0" w:space="0" w:color="auto"/>
                <w:bottom w:val="none" w:sz="0" w:space="0" w:color="auto"/>
                <w:right w:val="none" w:sz="0" w:space="0" w:color="auto"/>
              </w:divBdr>
            </w:div>
            <w:div w:id="1602643798">
              <w:marLeft w:val="0"/>
              <w:marRight w:val="0"/>
              <w:marTop w:val="0"/>
              <w:marBottom w:val="0"/>
              <w:divBdr>
                <w:top w:val="none" w:sz="0" w:space="0" w:color="auto"/>
                <w:left w:val="none" w:sz="0" w:space="0" w:color="auto"/>
                <w:bottom w:val="none" w:sz="0" w:space="0" w:color="auto"/>
                <w:right w:val="none" w:sz="0" w:space="0" w:color="auto"/>
              </w:divBdr>
            </w:div>
            <w:div w:id="52850973">
              <w:marLeft w:val="0"/>
              <w:marRight w:val="0"/>
              <w:marTop w:val="0"/>
              <w:marBottom w:val="0"/>
              <w:divBdr>
                <w:top w:val="none" w:sz="0" w:space="0" w:color="auto"/>
                <w:left w:val="none" w:sz="0" w:space="0" w:color="auto"/>
                <w:bottom w:val="none" w:sz="0" w:space="0" w:color="auto"/>
                <w:right w:val="none" w:sz="0" w:space="0" w:color="auto"/>
              </w:divBdr>
            </w:div>
            <w:div w:id="430248835">
              <w:marLeft w:val="0"/>
              <w:marRight w:val="0"/>
              <w:marTop w:val="0"/>
              <w:marBottom w:val="0"/>
              <w:divBdr>
                <w:top w:val="none" w:sz="0" w:space="0" w:color="auto"/>
                <w:left w:val="none" w:sz="0" w:space="0" w:color="auto"/>
                <w:bottom w:val="none" w:sz="0" w:space="0" w:color="auto"/>
                <w:right w:val="none" w:sz="0" w:space="0" w:color="auto"/>
              </w:divBdr>
            </w:div>
            <w:div w:id="163471294">
              <w:marLeft w:val="0"/>
              <w:marRight w:val="0"/>
              <w:marTop w:val="0"/>
              <w:marBottom w:val="0"/>
              <w:divBdr>
                <w:top w:val="none" w:sz="0" w:space="0" w:color="auto"/>
                <w:left w:val="none" w:sz="0" w:space="0" w:color="auto"/>
                <w:bottom w:val="none" w:sz="0" w:space="0" w:color="auto"/>
                <w:right w:val="none" w:sz="0" w:space="0" w:color="auto"/>
              </w:divBdr>
            </w:div>
            <w:div w:id="571696316">
              <w:marLeft w:val="0"/>
              <w:marRight w:val="0"/>
              <w:marTop w:val="0"/>
              <w:marBottom w:val="0"/>
              <w:divBdr>
                <w:top w:val="none" w:sz="0" w:space="0" w:color="auto"/>
                <w:left w:val="none" w:sz="0" w:space="0" w:color="auto"/>
                <w:bottom w:val="none" w:sz="0" w:space="0" w:color="auto"/>
                <w:right w:val="none" w:sz="0" w:space="0" w:color="auto"/>
              </w:divBdr>
            </w:div>
            <w:div w:id="819231708">
              <w:marLeft w:val="0"/>
              <w:marRight w:val="0"/>
              <w:marTop w:val="0"/>
              <w:marBottom w:val="0"/>
              <w:divBdr>
                <w:top w:val="none" w:sz="0" w:space="0" w:color="auto"/>
                <w:left w:val="none" w:sz="0" w:space="0" w:color="auto"/>
                <w:bottom w:val="none" w:sz="0" w:space="0" w:color="auto"/>
                <w:right w:val="none" w:sz="0" w:space="0" w:color="auto"/>
              </w:divBdr>
            </w:div>
            <w:div w:id="1441023703">
              <w:marLeft w:val="0"/>
              <w:marRight w:val="0"/>
              <w:marTop w:val="0"/>
              <w:marBottom w:val="0"/>
              <w:divBdr>
                <w:top w:val="none" w:sz="0" w:space="0" w:color="auto"/>
                <w:left w:val="none" w:sz="0" w:space="0" w:color="auto"/>
                <w:bottom w:val="none" w:sz="0" w:space="0" w:color="auto"/>
                <w:right w:val="none" w:sz="0" w:space="0" w:color="auto"/>
              </w:divBdr>
            </w:div>
            <w:div w:id="1221673480">
              <w:marLeft w:val="0"/>
              <w:marRight w:val="0"/>
              <w:marTop w:val="0"/>
              <w:marBottom w:val="0"/>
              <w:divBdr>
                <w:top w:val="none" w:sz="0" w:space="0" w:color="auto"/>
                <w:left w:val="none" w:sz="0" w:space="0" w:color="auto"/>
                <w:bottom w:val="none" w:sz="0" w:space="0" w:color="auto"/>
                <w:right w:val="none" w:sz="0" w:space="0" w:color="auto"/>
              </w:divBdr>
            </w:div>
            <w:div w:id="907375432">
              <w:marLeft w:val="0"/>
              <w:marRight w:val="0"/>
              <w:marTop w:val="0"/>
              <w:marBottom w:val="0"/>
              <w:divBdr>
                <w:top w:val="none" w:sz="0" w:space="0" w:color="auto"/>
                <w:left w:val="none" w:sz="0" w:space="0" w:color="auto"/>
                <w:bottom w:val="none" w:sz="0" w:space="0" w:color="auto"/>
                <w:right w:val="none" w:sz="0" w:space="0" w:color="auto"/>
              </w:divBdr>
            </w:div>
            <w:div w:id="880361803">
              <w:marLeft w:val="0"/>
              <w:marRight w:val="0"/>
              <w:marTop w:val="0"/>
              <w:marBottom w:val="0"/>
              <w:divBdr>
                <w:top w:val="none" w:sz="0" w:space="0" w:color="auto"/>
                <w:left w:val="none" w:sz="0" w:space="0" w:color="auto"/>
                <w:bottom w:val="none" w:sz="0" w:space="0" w:color="auto"/>
                <w:right w:val="none" w:sz="0" w:space="0" w:color="auto"/>
              </w:divBdr>
            </w:div>
            <w:div w:id="2019230009">
              <w:marLeft w:val="0"/>
              <w:marRight w:val="0"/>
              <w:marTop w:val="0"/>
              <w:marBottom w:val="0"/>
              <w:divBdr>
                <w:top w:val="none" w:sz="0" w:space="0" w:color="auto"/>
                <w:left w:val="none" w:sz="0" w:space="0" w:color="auto"/>
                <w:bottom w:val="none" w:sz="0" w:space="0" w:color="auto"/>
                <w:right w:val="none" w:sz="0" w:space="0" w:color="auto"/>
              </w:divBdr>
            </w:div>
            <w:div w:id="2093163981">
              <w:marLeft w:val="0"/>
              <w:marRight w:val="0"/>
              <w:marTop w:val="0"/>
              <w:marBottom w:val="0"/>
              <w:divBdr>
                <w:top w:val="none" w:sz="0" w:space="0" w:color="auto"/>
                <w:left w:val="none" w:sz="0" w:space="0" w:color="auto"/>
                <w:bottom w:val="none" w:sz="0" w:space="0" w:color="auto"/>
                <w:right w:val="none" w:sz="0" w:space="0" w:color="auto"/>
              </w:divBdr>
            </w:div>
            <w:div w:id="1227033678">
              <w:marLeft w:val="0"/>
              <w:marRight w:val="0"/>
              <w:marTop w:val="0"/>
              <w:marBottom w:val="0"/>
              <w:divBdr>
                <w:top w:val="none" w:sz="0" w:space="0" w:color="auto"/>
                <w:left w:val="none" w:sz="0" w:space="0" w:color="auto"/>
                <w:bottom w:val="none" w:sz="0" w:space="0" w:color="auto"/>
                <w:right w:val="none" w:sz="0" w:space="0" w:color="auto"/>
              </w:divBdr>
            </w:div>
            <w:div w:id="605189156">
              <w:marLeft w:val="0"/>
              <w:marRight w:val="0"/>
              <w:marTop w:val="0"/>
              <w:marBottom w:val="0"/>
              <w:divBdr>
                <w:top w:val="none" w:sz="0" w:space="0" w:color="auto"/>
                <w:left w:val="none" w:sz="0" w:space="0" w:color="auto"/>
                <w:bottom w:val="none" w:sz="0" w:space="0" w:color="auto"/>
                <w:right w:val="none" w:sz="0" w:space="0" w:color="auto"/>
              </w:divBdr>
            </w:div>
            <w:div w:id="1023285402">
              <w:marLeft w:val="0"/>
              <w:marRight w:val="0"/>
              <w:marTop w:val="0"/>
              <w:marBottom w:val="0"/>
              <w:divBdr>
                <w:top w:val="none" w:sz="0" w:space="0" w:color="auto"/>
                <w:left w:val="none" w:sz="0" w:space="0" w:color="auto"/>
                <w:bottom w:val="none" w:sz="0" w:space="0" w:color="auto"/>
                <w:right w:val="none" w:sz="0" w:space="0" w:color="auto"/>
              </w:divBdr>
            </w:div>
            <w:div w:id="1345588805">
              <w:marLeft w:val="0"/>
              <w:marRight w:val="0"/>
              <w:marTop w:val="0"/>
              <w:marBottom w:val="0"/>
              <w:divBdr>
                <w:top w:val="none" w:sz="0" w:space="0" w:color="auto"/>
                <w:left w:val="none" w:sz="0" w:space="0" w:color="auto"/>
                <w:bottom w:val="none" w:sz="0" w:space="0" w:color="auto"/>
                <w:right w:val="none" w:sz="0" w:space="0" w:color="auto"/>
              </w:divBdr>
            </w:div>
            <w:div w:id="185098107">
              <w:marLeft w:val="0"/>
              <w:marRight w:val="0"/>
              <w:marTop w:val="0"/>
              <w:marBottom w:val="0"/>
              <w:divBdr>
                <w:top w:val="none" w:sz="0" w:space="0" w:color="auto"/>
                <w:left w:val="none" w:sz="0" w:space="0" w:color="auto"/>
                <w:bottom w:val="none" w:sz="0" w:space="0" w:color="auto"/>
                <w:right w:val="none" w:sz="0" w:space="0" w:color="auto"/>
              </w:divBdr>
            </w:div>
            <w:div w:id="414400306">
              <w:marLeft w:val="0"/>
              <w:marRight w:val="0"/>
              <w:marTop w:val="0"/>
              <w:marBottom w:val="0"/>
              <w:divBdr>
                <w:top w:val="none" w:sz="0" w:space="0" w:color="auto"/>
                <w:left w:val="none" w:sz="0" w:space="0" w:color="auto"/>
                <w:bottom w:val="none" w:sz="0" w:space="0" w:color="auto"/>
                <w:right w:val="none" w:sz="0" w:space="0" w:color="auto"/>
              </w:divBdr>
            </w:div>
            <w:div w:id="1848516542">
              <w:marLeft w:val="0"/>
              <w:marRight w:val="0"/>
              <w:marTop w:val="0"/>
              <w:marBottom w:val="0"/>
              <w:divBdr>
                <w:top w:val="none" w:sz="0" w:space="0" w:color="auto"/>
                <w:left w:val="none" w:sz="0" w:space="0" w:color="auto"/>
                <w:bottom w:val="none" w:sz="0" w:space="0" w:color="auto"/>
                <w:right w:val="none" w:sz="0" w:space="0" w:color="auto"/>
              </w:divBdr>
            </w:div>
            <w:div w:id="1364480601">
              <w:marLeft w:val="0"/>
              <w:marRight w:val="0"/>
              <w:marTop w:val="0"/>
              <w:marBottom w:val="0"/>
              <w:divBdr>
                <w:top w:val="none" w:sz="0" w:space="0" w:color="auto"/>
                <w:left w:val="none" w:sz="0" w:space="0" w:color="auto"/>
                <w:bottom w:val="none" w:sz="0" w:space="0" w:color="auto"/>
                <w:right w:val="none" w:sz="0" w:space="0" w:color="auto"/>
              </w:divBdr>
            </w:div>
            <w:div w:id="1300184552">
              <w:marLeft w:val="0"/>
              <w:marRight w:val="0"/>
              <w:marTop w:val="0"/>
              <w:marBottom w:val="0"/>
              <w:divBdr>
                <w:top w:val="none" w:sz="0" w:space="0" w:color="auto"/>
                <w:left w:val="none" w:sz="0" w:space="0" w:color="auto"/>
                <w:bottom w:val="none" w:sz="0" w:space="0" w:color="auto"/>
                <w:right w:val="none" w:sz="0" w:space="0" w:color="auto"/>
              </w:divBdr>
            </w:div>
            <w:div w:id="2065592543">
              <w:marLeft w:val="0"/>
              <w:marRight w:val="0"/>
              <w:marTop w:val="0"/>
              <w:marBottom w:val="0"/>
              <w:divBdr>
                <w:top w:val="none" w:sz="0" w:space="0" w:color="auto"/>
                <w:left w:val="none" w:sz="0" w:space="0" w:color="auto"/>
                <w:bottom w:val="none" w:sz="0" w:space="0" w:color="auto"/>
                <w:right w:val="none" w:sz="0" w:space="0" w:color="auto"/>
              </w:divBdr>
            </w:div>
            <w:div w:id="1298802454">
              <w:marLeft w:val="0"/>
              <w:marRight w:val="0"/>
              <w:marTop w:val="0"/>
              <w:marBottom w:val="0"/>
              <w:divBdr>
                <w:top w:val="none" w:sz="0" w:space="0" w:color="auto"/>
                <w:left w:val="none" w:sz="0" w:space="0" w:color="auto"/>
                <w:bottom w:val="none" w:sz="0" w:space="0" w:color="auto"/>
                <w:right w:val="none" w:sz="0" w:space="0" w:color="auto"/>
              </w:divBdr>
            </w:div>
            <w:div w:id="257566047">
              <w:marLeft w:val="0"/>
              <w:marRight w:val="0"/>
              <w:marTop w:val="0"/>
              <w:marBottom w:val="0"/>
              <w:divBdr>
                <w:top w:val="none" w:sz="0" w:space="0" w:color="auto"/>
                <w:left w:val="none" w:sz="0" w:space="0" w:color="auto"/>
                <w:bottom w:val="none" w:sz="0" w:space="0" w:color="auto"/>
                <w:right w:val="none" w:sz="0" w:space="0" w:color="auto"/>
              </w:divBdr>
            </w:div>
            <w:div w:id="1378705077">
              <w:marLeft w:val="0"/>
              <w:marRight w:val="0"/>
              <w:marTop w:val="0"/>
              <w:marBottom w:val="0"/>
              <w:divBdr>
                <w:top w:val="none" w:sz="0" w:space="0" w:color="auto"/>
                <w:left w:val="none" w:sz="0" w:space="0" w:color="auto"/>
                <w:bottom w:val="none" w:sz="0" w:space="0" w:color="auto"/>
                <w:right w:val="none" w:sz="0" w:space="0" w:color="auto"/>
              </w:divBdr>
            </w:div>
            <w:div w:id="2039157523">
              <w:marLeft w:val="0"/>
              <w:marRight w:val="0"/>
              <w:marTop w:val="0"/>
              <w:marBottom w:val="0"/>
              <w:divBdr>
                <w:top w:val="none" w:sz="0" w:space="0" w:color="auto"/>
                <w:left w:val="none" w:sz="0" w:space="0" w:color="auto"/>
                <w:bottom w:val="none" w:sz="0" w:space="0" w:color="auto"/>
                <w:right w:val="none" w:sz="0" w:space="0" w:color="auto"/>
              </w:divBdr>
            </w:div>
            <w:div w:id="1471947444">
              <w:marLeft w:val="0"/>
              <w:marRight w:val="0"/>
              <w:marTop w:val="0"/>
              <w:marBottom w:val="0"/>
              <w:divBdr>
                <w:top w:val="none" w:sz="0" w:space="0" w:color="auto"/>
                <w:left w:val="none" w:sz="0" w:space="0" w:color="auto"/>
                <w:bottom w:val="none" w:sz="0" w:space="0" w:color="auto"/>
                <w:right w:val="none" w:sz="0" w:space="0" w:color="auto"/>
              </w:divBdr>
            </w:div>
            <w:div w:id="1651792508">
              <w:marLeft w:val="0"/>
              <w:marRight w:val="0"/>
              <w:marTop w:val="0"/>
              <w:marBottom w:val="0"/>
              <w:divBdr>
                <w:top w:val="none" w:sz="0" w:space="0" w:color="auto"/>
                <w:left w:val="none" w:sz="0" w:space="0" w:color="auto"/>
                <w:bottom w:val="none" w:sz="0" w:space="0" w:color="auto"/>
                <w:right w:val="none" w:sz="0" w:space="0" w:color="auto"/>
              </w:divBdr>
            </w:div>
            <w:div w:id="1751854685">
              <w:marLeft w:val="0"/>
              <w:marRight w:val="0"/>
              <w:marTop w:val="0"/>
              <w:marBottom w:val="0"/>
              <w:divBdr>
                <w:top w:val="none" w:sz="0" w:space="0" w:color="auto"/>
                <w:left w:val="none" w:sz="0" w:space="0" w:color="auto"/>
                <w:bottom w:val="none" w:sz="0" w:space="0" w:color="auto"/>
                <w:right w:val="none" w:sz="0" w:space="0" w:color="auto"/>
              </w:divBdr>
            </w:div>
            <w:div w:id="1224944813">
              <w:marLeft w:val="0"/>
              <w:marRight w:val="0"/>
              <w:marTop w:val="0"/>
              <w:marBottom w:val="0"/>
              <w:divBdr>
                <w:top w:val="none" w:sz="0" w:space="0" w:color="auto"/>
                <w:left w:val="none" w:sz="0" w:space="0" w:color="auto"/>
                <w:bottom w:val="none" w:sz="0" w:space="0" w:color="auto"/>
                <w:right w:val="none" w:sz="0" w:space="0" w:color="auto"/>
              </w:divBdr>
            </w:div>
            <w:div w:id="36975222">
              <w:marLeft w:val="0"/>
              <w:marRight w:val="0"/>
              <w:marTop w:val="0"/>
              <w:marBottom w:val="0"/>
              <w:divBdr>
                <w:top w:val="none" w:sz="0" w:space="0" w:color="auto"/>
                <w:left w:val="none" w:sz="0" w:space="0" w:color="auto"/>
                <w:bottom w:val="none" w:sz="0" w:space="0" w:color="auto"/>
                <w:right w:val="none" w:sz="0" w:space="0" w:color="auto"/>
              </w:divBdr>
            </w:div>
            <w:div w:id="1694771013">
              <w:marLeft w:val="0"/>
              <w:marRight w:val="0"/>
              <w:marTop w:val="0"/>
              <w:marBottom w:val="0"/>
              <w:divBdr>
                <w:top w:val="none" w:sz="0" w:space="0" w:color="auto"/>
                <w:left w:val="none" w:sz="0" w:space="0" w:color="auto"/>
                <w:bottom w:val="none" w:sz="0" w:space="0" w:color="auto"/>
                <w:right w:val="none" w:sz="0" w:space="0" w:color="auto"/>
              </w:divBdr>
            </w:div>
            <w:div w:id="434444852">
              <w:marLeft w:val="0"/>
              <w:marRight w:val="0"/>
              <w:marTop w:val="0"/>
              <w:marBottom w:val="0"/>
              <w:divBdr>
                <w:top w:val="none" w:sz="0" w:space="0" w:color="auto"/>
                <w:left w:val="none" w:sz="0" w:space="0" w:color="auto"/>
                <w:bottom w:val="none" w:sz="0" w:space="0" w:color="auto"/>
                <w:right w:val="none" w:sz="0" w:space="0" w:color="auto"/>
              </w:divBdr>
            </w:div>
            <w:div w:id="1353727481">
              <w:marLeft w:val="0"/>
              <w:marRight w:val="0"/>
              <w:marTop w:val="0"/>
              <w:marBottom w:val="0"/>
              <w:divBdr>
                <w:top w:val="none" w:sz="0" w:space="0" w:color="auto"/>
                <w:left w:val="none" w:sz="0" w:space="0" w:color="auto"/>
                <w:bottom w:val="none" w:sz="0" w:space="0" w:color="auto"/>
                <w:right w:val="none" w:sz="0" w:space="0" w:color="auto"/>
              </w:divBdr>
            </w:div>
            <w:div w:id="97800447">
              <w:marLeft w:val="0"/>
              <w:marRight w:val="0"/>
              <w:marTop w:val="0"/>
              <w:marBottom w:val="0"/>
              <w:divBdr>
                <w:top w:val="none" w:sz="0" w:space="0" w:color="auto"/>
                <w:left w:val="none" w:sz="0" w:space="0" w:color="auto"/>
                <w:bottom w:val="none" w:sz="0" w:space="0" w:color="auto"/>
                <w:right w:val="none" w:sz="0" w:space="0" w:color="auto"/>
              </w:divBdr>
            </w:div>
            <w:div w:id="1858738455">
              <w:marLeft w:val="0"/>
              <w:marRight w:val="0"/>
              <w:marTop w:val="0"/>
              <w:marBottom w:val="0"/>
              <w:divBdr>
                <w:top w:val="none" w:sz="0" w:space="0" w:color="auto"/>
                <w:left w:val="none" w:sz="0" w:space="0" w:color="auto"/>
                <w:bottom w:val="none" w:sz="0" w:space="0" w:color="auto"/>
                <w:right w:val="none" w:sz="0" w:space="0" w:color="auto"/>
              </w:divBdr>
            </w:div>
            <w:div w:id="95055936">
              <w:marLeft w:val="0"/>
              <w:marRight w:val="0"/>
              <w:marTop w:val="0"/>
              <w:marBottom w:val="0"/>
              <w:divBdr>
                <w:top w:val="none" w:sz="0" w:space="0" w:color="auto"/>
                <w:left w:val="none" w:sz="0" w:space="0" w:color="auto"/>
                <w:bottom w:val="none" w:sz="0" w:space="0" w:color="auto"/>
                <w:right w:val="none" w:sz="0" w:space="0" w:color="auto"/>
              </w:divBdr>
            </w:div>
            <w:div w:id="1820730127">
              <w:marLeft w:val="0"/>
              <w:marRight w:val="0"/>
              <w:marTop w:val="0"/>
              <w:marBottom w:val="0"/>
              <w:divBdr>
                <w:top w:val="none" w:sz="0" w:space="0" w:color="auto"/>
                <w:left w:val="none" w:sz="0" w:space="0" w:color="auto"/>
                <w:bottom w:val="none" w:sz="0" w:space="0" w:color="auto"/>
                <w:right w:val="none" w:sz="0" w:space="0" w:color="auto"/>
              </w:divBdr>
            </w:div>
            <w:div w:id="418526440">
              <w:marLeft w:val="0"/>
              <w:marRight w:val="0"/>
              <w:marTop w:val="0"/>
              <w:marBottom w:val="0"/>
              <w:divBdr>
                <w:top w:val="none" w:sz="0" w:space="0" w:color="auto"/>
                <w:left w:val="none" w:sz="0" w:space="0" w:color="auto"/>
                <w:bottom w:val="none" w:sz="0" w:space="0" w:color="auto"/>
                <w:right w:val="none" w:sz="0" w:space="0" w:color="auto"/>
              </w:divBdr>
            </w:div>
            <w:div w:id="819855903">
              <w:marLeft w:val="0"/>
              <w:marRight w:val="0"/>
              <w:marTop w:val="0"/>
              <w:marBottom w:val="0"/>
              <w:divBdr>
                <w:top w:val="none" w:sz="0" w:space="0" w:color="auto"/>
                <w:left w:val="none" w:sz="0" w:space="0" w:color="auto"/>
                <w:bottom w:val="none" w:sz="0" w:space="0" w:color="auto"/>
                <w:right w:val="none" w:sz="0" w:space="0" w:color="auto"/>
              </w:divBdr>
            </w:div>
            <w:div w:id="1971083689">
              <w:marLeft w:val="0"/>
              <w:marRight w:val="0"/>
              <w:marTop w:val="0"/>
              <w:marBottom w:val="0"/>
              <w:divBdr>
                <w:top w:val="none" w:sz="0" w:space="0" w:color="auto"/>
                <w:left w:val="none" w:sz="0" w:space="0" w:color="auto"/>
                <w:bottom w:val="none" w:sz="0" w:space="0" w:color="auto"/>
                <w:right w:val="none" w:sz="0" w:space="0" w:color="auto"/>
              </w:divBdr>
            </w:div>
            <w:div w:id="1529293204">
              <w:marLeft w:val="0"/>
              <w:marRight w:val="0"/>
              <w:marTop w:val="0"/>
              <w:marBottom w:val="0"/>
              <w:divBdr>
                <w:top w:val="none" w:sz="0" w:space="0" w:color="auto"/>
                <w:left w:val="none" w:sz="0" w:space="0" w:color="auto"/>
                <w:bottom w:val="none" w:sz="0" w:space="0" w:color="auto"/>
                <w:right w:val="none" w:sz="0" w:space="0" w:color="auto"/>
              </w:divBdr>
            </w:div>
            <w:div w:id="463932073">
              <w:marLeft w:val="0"/>
              <w:marRight w:val="0"/>
              <w:marTop w:val="0"/>
              <w:marBottom w:val="0"/>
              <w:divBdr>
                <w:top w:val="none" w:sz="0" w:space="0" w:color="auto"/>
                <w:left w:val="none" w:sz="0" w:space="0" w:color="auto"/>
                <w:bottom w:val="none" w:sz="0" w:space="0" w:color="auto"/>
                <w:right w:val="none" w:sz="0" w:space="0" w:color="auto"/>
              </w:divBdr>
            </w:div>
            <w:div w:id="162595191">
              <w:marLeft w:val="0"/>
              <w:marRight w:val="0"/>
              <w:marTop w:val="0"/>
              <w:marBottom w:val="0"/>
              <w:divBdr>
                <w:top w:val="none" w:sz="0" w:space="0" w:color="auto"/>
                <w:left w:val="none" w:sz="0" w:space="0" w:color="auto"/>
                <w:bottom w:val="none" w:sz="0" w:space="0" w:color="auto"/>
                <w:right w:val="none" w:sz="0" w:space="0" w:color="auto"/>
              </w:divBdr>
            </w:div>
            <w:div w:id="1225028816">
              <w:marLeft w:val="0"/>
              <w:marRight w:val="0"/>
              <w:marTop w:val="0"/>
              <w:marBottom w:val="0"/>
              <w:divBdr>
                <w:top w:val="none" w:sz="0" w:space="0" w:color="auto"/>
                <w:left w:val="none" w:sz="0" w:space="0" w:color="auto"/>
                <w:bottom w:val="none" w:sz="0" w:space="0" w:color="auto"/>
                <w:right w:val="none" w:sz="0" w:space="0" w:color="auto"/>
              </w:divBdr>
            </w:div>
            <w:div w:id="111899169">
              <w:marLeft w:val="0"/>
              <w:marRight w:val="0"/>
              <w:marTop w:val="0"/>
              <w:marBottom w:val="0"/>
              <w:divBdr>
                <w:top w:val="none" w:sz="0" w:space="0" w:color="auto"/>
                <w:left w:val="none" w:sz="0" w:space="0" w:color="auto"/>
                <w:bottom w:val="none" w:sz="0" w:space="0" w:color="auto"/>
                <w:right w:val="none" w:sz="0" w:space="0" w:color="auto"/>
              </w:divBdr>
            </w:div>
            <w:div w:id="323945533">
              <w:marLeft w:val="0"/>
              <w:marRight w:val="0"/>
              <w:marTop w:val="0"/>
              <w:marBottom w:val="0"/>
              <w:divBdr>
                <w:top w:val="none" w:sz="0" w:space="0" w:color="auto"/>
                <w:left w:val="none" w:sz="0" w:space="0" w:color="auto"/>
                <w:bottom w:val="none" w:sz="0" w:space="0" w:color="auto"/>
                <w:right w:val="none" w:sz="0" w:space="0" w:color="auto"/>
              </w:divBdr>
            </w:div>
            <w:div w:id="700740520">
              <w:marLeft w:val="0"/>
              <w:marRight w:val="0"/>
              <w:marTop w:val="0"/>
              <w:marBottom w:val="0"/>
              <w:divBdr>
                <w:top w:val="none" w:sz="0" w:space="0" w:color="auto"/>
                <w:left w:val="none" w:sz="0" w:space="0" w:color="auto"/>
                <w:bottom w:val="none" w:sz="0" w:space="0" w:color="auto"/>
                <w:right w:val="none" w:sz="0" w:space="0" w:color="auto"/>
              </w:divBdr>
            </w:div>
            <w:div w:id="752748489">
              <w:marLeft w:val="0"/>
              <w:marRight w:val="0"/>
              <w:marTop w:val="0"/>
              <w:marBottom w:val="0"/>
              <w:divBdr>
                <w:top w:val="none" w:sz="0" w:space="0" w:color="auto"/>
                <w:left w:val="none" w:sz="0" w:space="0" w:color="auto"/>
                <w:bottom w:val="none" w:sz="0" w:space="0" w:color="auto"/>
                <w:right w:val="none" w:sz="0" w:space="0" w:color="auto"/>
              </w:divBdr>
            </w:div>
            <w:div w:id="701977884">
              <w:marLeft w:val="0"/>
              <w:marRight w:val="0"/>
              <w:marTop w:val="0"/>
              <w:marBottom w:val="0"/>
              <w:divBdr>
                <w:top w:val="none" w:sz="0" w:space="0" w:color="auto"/>
                <w:left w:val="none" w:sz="0" w:space="0" w:color="auto"/>
                <w:bottom w:val="none" w:sz="0" w:space="0" w:color="auto"/>
                <w:right w:val="none" w:sz="0" w:space="0" w:color="auto"/>
              </w:divBdr>
            </w:div>
            <w:div w:id="999774292">
              <w:marLeft w:val="0"/>
              <w:marRight w:val="0"/>
              <w:marTop w:val="0"/>
              <w:marBottom w:val="0"/>
              <w:divBdr>
                <w:top w:val="none" w:sz="0" w:space="0" w:color="auto"/>
                <w:left w:val="none" w:sz="0" w:space="0" w:color="auto"/>
                <w:bottom w:val="none" w:sz="0" w:space="0" w:color="auto"/>
                <w:right w:val="none" w:sz="0" w:space="0" w:color="auto"/>
              </w:divBdr>
            </w:div>
            <w:div w:id="754204213">
              <w:marLeft w:val="0"/>
              <w:marRight w:val="0"/>
              <w:marTop w:val="0"/>
              <w:marBottom w:val="0"/>
              <w:divBdr>
                <w:top w:val="none" w:sz="0" w:space="0" w:color="auto"/>
                <w:left w:val="none" w:sz="0" w:space="0" w:color="auto"/>
                <w:bottom w:val="none" w:sz="0" w:space="0" w:color="auto"/>
                <w:right w:val="none" w:sz="0" w:space="0" w:color="auto"/>
              </w:divBdr>
            </w:div>
            <w:div w:id="170023165">
              <w:marLeft w:val="0"/>
              <w:marRight w:val="0"/>
              <w:marTop w:val="0"/>
              <w:marBottom w:val="0"/>
              <w:divBdr>
                <w:top w:val="none" w:sz="0" w:space="0" w:color="auto"/>
                <w:left w:val="none" w:sz="0" w:space="0" w:color="auto"/>
                <w:bottom w:val="none" w:sz="0" w:space="0" w:color="auto"/>
                <w:right w:val="none" w:sz="0" w:space="0" w:color="auto"/>
              </w:divBdr>
            </w:div>
            <w:div w:id="340741303">
              <w:marLeft w:val="0"/>
              <w:marRight w:val="0"/>
              <w:marTop w:val="0"/>
              <w:marBottom w:val="0"/>
              <w:divBdr>
                <w:top w:val="none" w:sz="0" w:space="0" w:color="auto"/>
                <w:left w:val="none" w:sz="0" w:space="0" w:color="auto"/>
                <w:bottom w:val="none" w:sz="0" w:space="0" w:color="auto"/>
                <w:right w:val="none" w:sz="0" w:space="0" w:color="auto"/>
              </w:divBdr>
            </w:div>
            <w:div w:id="873230723">
              <w:marLeft w:val="0"/>
              <w:marRight w:val="0"/>
              <w:marTop w:val="0"/>
              <w:marBottom w:val="0"/>
              <w:divBdr>
                <w:top w:val="none" w:sz="0" w:space="0" w:color="auto"/>
                <w:left w:val="none" w:sz="0" w:space="0" w:color="auto"/>
                <w:bottom w:val="none" w:sz="0" w:space="0" w:color="auto"/>
                <w:right w:val="none" w:sz="0" w:space="0" w:color="auto"/>
              </w:divBdr>
            </w:div>
            <w:div w:id="1406294245">
              <w:marLeft w:val="0"/>
              <w:marRight w:val="0"/>
              <w:marTop w:val="0"/>
              <w:marBottom w:val="0"/>
              <w:divBdr>
                <w:top w:val="none" w:sz="0" w:space="0" w:color="auto"/>
                <w:left w:val="none" w:sz="0" w:space="0" w:color="auto"/>
                <w:bottom w:val="none" w:sz="0" w:space="0" w:color="auto"/>
                <w:right w:val="none" w:sz="0" w:space="0" w:color="auto"/>
              </w:divBdr>
            </w:div>
            <w:div w:id="1630208977">
              <w:marLeft w:val="0"/>
              <w:marRight w:val="0"/>
              <w:marTop w:val="0"/>
              <w:marBottom w:val="0"/>
              <w:divBdr>
                <w:top w:val="none" w:sz="0" w:space="0" w:color="auto"/>
                <w:left w:val="none" w:sz="0" w:space="0" w:color="auto"/>
                <w:bottom w:val="none" w:sz="0" w:space="0" w:color="auto"/>
                <w:right w:val="none" w:sz="0" w:space="0" w:color="auto"/>
              </w:divBdr>
            </w:div>
            <w:div w:id="1879660273">
              <w:marLeft w:val="0"/>
              <w:marRight w:val="0"/>
              <w:marTop w:val="0"/>
              <w:marBottom w:val="0"/>
              <w:divBdr>
                <w:top w:val="none" w:sz="0" w:space="0" w:color="auto"/>
                <w:left w:val="none" w:sz="0" w:space="0" w:color="auto"/>
                <w:bottom w:val="none" w:sz="0" w:space="0" w:color="auto"/>
                <w:right w:val="none" w:sz="0" w:space="0" w:color="auto"/>
              </w:divBdr>
            </w:div>
            <w:div w:id="110324766">
              <w:marLeft w:val="0"/>
              <w:marRight w:val="0"/>
              <w:marTop w:val="0"/>
              <w:marBottom w:val="0"/>
              <w:divBdr>
                <w:top w:val="none" w:sz="0" w:space="0" w:color="auto"/>
                <w:left w:val="none" w:sz="0" w:space="0" w:color="auto"/>
                <w:bottom w:val="none" w:sz="0" w:space="0" w:color="auto"/>
                <w:right w:val="none" w:sz="0" w:space="0" w:color="auto"/>
              </w:divBdr>
            </w:div>
            <w:div w:id="1617902287">
              <w:marLeft w:val="0"/>
              <w:marRight w:val="0"/>
              <w:marTop w:val="0"/>
              <w:marBottom w:val="0"/>
              <w:divBdr>
                <w:top w:val="none" w:sz="0" w:space="0" w:color="auto"/>
                <w:left w:val="none" w:sz="0" w:space="0" w:color="auto"/>
                <w:bottom w:val="none" w:sz="0" w:space="0" w:color="auto"/>
                <w:right w:val="none" w:sz="0" w:space="0" w:color="auto"/>
              </w:divBdr>
            </w:div>
            <w:div w:id="822087709">
              <w:marLeft w:val="0"/>
              <w:marRight w:val="0"/>
              <w:marTop w:val="0"/>
              <w:marBottom w:val="0"/>
              <w:divBdr>
                <w:top w:val="none" w:sz="0" w:space="0" w:color="auto"/>
                <w:left w:val="none" w:sz="0" w:space="0" w:color="auto"/>
                <w:bottom w:val="none" w:sz="0" w:space="0" w:color="auto"/>
                <w:right w:val="none" w:sz="0" w:space="0" w:color="auto"/>
              </w:divBdr>
            </w:div>
            <w:div w:id="814645036">
              <w:marLeft w:val="0"/>
              <w:marRight w:val="0"/>
              <w:marTop w:val="0"/>
              <w:marBottom w:val="0"/>
              <w:divBdr>
                <w:top w:val="none" w:sz="0" w:space="0" w:color="auto"/>
                <w:left w:val="none" w:sz="0" w:space="0" w:color="auto"/>
                <w:bottom w:val="none" w:sz="0" w:space="0" w:color="auto"/>
                <w:right w:val="none" w:sz="0" w:space="0" w:color="auto"/>
              </w:divBdr>
            </w:div>
            <w:div w:id="1947497855">
              <w:marLeft w:val="0"/>
              <w:marRight w:val="0"/>
              <w:marTop w:val="0"/>
              <w:marBottom w:val="0"/>
              <w:divBdr>
                <w:top w:val="none" w:sz="0" w:space="0" w:color="auto"/>
                <w:left w:val="none" w:sz="0" w:space="0" w:color="auto"/>
                <w:bottom w:val="none" w:sz="0" w:space="0" w:color="auto"/>
                <w:right w:val="none" w:sz="0" w:space="0" w:color="auto"/>
              </w:divBdr>
            </w:div>
            <w:div w:id="848637567">
              <w:marLeft w:val="0"/>
              <w:marRight w:val="0"/>
              <w:marTop w:val="0"/>
              <w:marBottom w:val="0"/>
              <w:divBdr>
                <w:top w:val="none" w:sz="0" w:space="0" w:color="auto"/>
                <w:left w:val="none" w:sz="0" w:space="0" w:color="auto"/>
                <w:bottom w:val="none" w:sz="0" w:space="0" w:color="auto"/>
                <w:right w:val="none" w:sz="0" w:space="0" w:color="auto"/>
              </w:divBdr>
            </w:div>
            <w:div w:id="1407070395">
              <w:marLeft w:val="0"/>
              <w:marRight w:val="0"/>
              <w:marTop w:val="0"/>
              <w:marBottom w:val="0"/>
              <w:divBdr>
                <w:top w:val="none" w:sz="0" w:space="0" w:color="auto"/>
                <w:left w:val="none" w:sz="0" w:space="0" w:color="auto"/>
                <w:bottom w:val="none" w:sz="0" w:space="0" w:color="auto"/>
                <w:right w:val="none" w:sz="0" w:space="0" w:color="auto"/>
              </w:divBdr>
            </w:div>
            <w:div w:id="383062886">
              <w:marLeft w:val="0"/>
              <w:marRight w:val="0"/>
              <w:marTop w:val="0"/>
              <w:marBottom w:val="0"/>
              <w:divBdr>
                <w:top w:val="none" w:sz="0" w:space="0" w:color="auto"/>
                <w:left w:val="none" w:sz="0" w:space="0" w:color="auto"/>
                <w:bottom w:val="none" w:sz="0" w:space="0" w:color="auto"/>
                <w:right w:val="none" w:sz="0" w:space="0" w:color="auto"/>
              </w:divBdr>
            </w:div>
            <w:div w:id="937908454">
              <w:marLeft w:val="0"/>
              <w:marRight w:val="0"/>
              <w:marTop w:val="0"/>
              <w:marBottom w:val="0"/>
              <w:divBdr>
                <w:top w:val="none" w:sz="0" w:space="0" w:color="auto"/>
                <w:left w:val="none" w:sz="0" w:space="0" w:color="auto"/>
                <w:bottom w:val="none" w:sz="0" w:space="0" w:color="auto"/>
                <w:right w:val="none" w:sz="0" w:space="0" w:color="auto"/>
              </w:divBdr>
            </w:div>
            <w:div w:id="222563275">
              <w:marLeft w:val="0"/>
              <w:marRight w:val="0"/>
              <w:marTop w:val="0"/>
              <w:marBottom w:val="0"/>
              <w:divBdr>
                <w:top w:val="none" w:sz="0" w:space="0" w:color="auto"/>
                <w:left w:val="none" w:sz="0" w:space="0" w:color="auto"/>
                <w:bottom w:val="none" w:sz="0" w:space="0" w:color="auto"/>
                <w:right w:val="none" w:sz="0" w:space="0" w:color="auto"/>
              </w:divBdr>
            </w:div>
            <w:div w:id="2095591219">
              <w:marLeft w:val="0"/>
              <w:marRight w:val="0"/>
              <w:marTop w:val="0"/>
              <w:marBottom w:val="0"/>
              <w:divBdr>
                <w:top w:val="none" w:sz="0" w:space="0" w:color="auto"/>
                <w:left w:val="none" w:sz="0" w:space="0" w:color="auto"/>
                <w:bottom w:val="none" w:sz="0" w:space="0" w:color="auto"/>
                <w:right w:val="none" w:sz="0" w:space="0" w:color="auto"/>
              </w:divBdr>
            </w:div>
            <w:div w:id="1095707009">
              <w:marLeft w:val="0"/>
              <w:marRight w:val="0"/>
              <w:marTop w:val="0"/>
              <w:marBottom w:val="0"/>
              <w:divBdr>
                <w:top w:val="none" w:sz="0" w:space="0" w:color="auto"/>
                <w:left w:val="none" w:sz="0" w:space="0" w:color="auto"/>
                <w:bottom w:val="none" w:sz="0" w:space="0" w:color="auto"/>
                <w:right w:val="none" w:sz="0" w:space="0" w:color="auto"/>
              </w:divBdr>
            </w:div>
            <w:div w:id="1607620053">
              <w:marLeft w:val="0"/>
              <w:marRight w:val="0"/>
              <w:marTop w:val="0"/>
              <w:marBottom w:val="0"/>
              <w:divBdr>
                <w:top w:val="none" w:sz="0" w:space="0" w:color="auto"/>
                <w:left w:val="none" w:sz="0" w:space="0" w:color="auto"/>
                <w:bottom w:val="none" w:sz="0" w:space="0" w:color="auto"/>
                <w:right w:val="none" w:sz="0" w:space="0" w:color="auto"/>
              </w:divBdr>
            </w:div>
            <w:div w:id="1591965481">
              <w:marLeft w:val="0"/>
              <w:marRight w:val="0"/>
              <w:marTop w:val="0"/>
              <w:marBottom w:val="0"/>
              <w:divBdr>
                <w:top w:val="none" w:sz="0" w:space="0" w:color="auto"/>
                <w:left w:val="none" w:sz="0" w:space="0" w:color="auto"/>
                <w:bottom w:val="none" w:sz="0" w:space="0" w:color="auto"/>
                <w:right w:val="none" w:sz="0" w:space="0" w:color="auto"/>
              </w:divBdr>
            </w:div>
            <w:div w:id="482162721">
              <w:marLeft w:val="0"/>
              <w:marRight w:val="0"/>
              <w:marTop w:val="0"/>
              <w:marBottom w:val="0"/>
              <w:divBdr>
                <w:top w:val="none" w:sz="0" w:space="0" w:color="auto"/>
                <w:left w:val="none" w:sz="0" w:space="0" w:color="auto"/>
                <w:bottom w:val="none" w:sz="0" w:space="0" w:color="auto"/>
                <w:right w:val="none" w:sz="0" w:space="0" w:color="auto"/>
              </w:divBdr>
            </w:div>
            <w:div w:id="1797522939">
              <w:marLeft w:val="0"/>
              <w:marRight w:val="0"/>
              <w:marTop w:val="0"/>
              <w:marBottom w:val="0"/>
              <w:divBdr>
                <w:top w:val="none" w:sz="0" w:space="0" w:color="auto"/>
                <w:left w:val="none" w:sz="0" w:space="0" w:color="auto"/>
                <w:bottom w:val="none" w:sz="0" w:space="0" w:color="auto"/>
                <w:right w:val="none" w:sz="0" w:space="0" w:color="auto"/>
              </w:divBdr>
            </w:div>
            <w:div w:id="1971088057">
              <w:marLeft w:val="0"/>
              <w:marRight w:val="0"/>
              <w:marTop w:val="0"/>
              <w:marBottom w:val="0"/>
              <w:divBdr>
                <w:top w:val="none" w:sz="0" w:space="0" w:color="auto"/>
                <w:left w:val="none" w:sz="0" w:space="0" w:color="auto"/>
                <w:bottom w:val="none" w:sz="0" w:space="0" w:color="auto"/>
                <w:right w:val="none" w:sz="0" w:space="0" w:color="auto"/>
              </w:divBdr>
            </w:div>
            <w:div w:id="1384476934">
              <w:marLeft w:val="0"/>
              <w:marRight w:val="0"/>
              <w:marTop w:val="0"/>
              <w:marBottom w:val="0"/>
              <w:divBdr>
                <w:top w:val="none" w:sz="0" w:space="0" w:color="auto"/>
                <w:left w:val="none" w:sz="0" w:space="0" w:color="auto"/>
                <w:bottom w:val="none" w:sz="0" w:space="0" w:color="auto"/>
                <w:right w:val="none" w:sz="0" w:space="0" w:color="auto"/>
              </w:divBdr>
            </w:div>
            <w:div w:id="274868584">
              <w:marLeft w:val="0"/>
              <w:marRight w:val="0"/>
              <w:marTop w:val="0"/>
              <w:marBottom w:val="0"/>
              <w:divBdr>
                <w:top w:val="none" w:sz="0" w:space="0" w:color="auto"/>
                <w:left w:val="none" w:sz="0" w:space="0" w:color="auto"/>
                <w:bottom w:val="none" w:sz="0" w:space="0" w:color="auto"/>
                <w:right w:val="none" w:sz="0" w:space="0" w:color="auto"/>
              </w:divBdr>
            </w:div>
            <w:div w:id="157768813">
              <w:marLeft w:val="0"/>
              <w:marRight w:val="0"/>
              <w:marTop w:val="0"/>
              <w:marBottom w:val="0"/>
              <w:divBdr>
                <w:top w:val="none" w:sz="0" w:space="0" w:color="auto"/>
                <w:left w:val="none" w:sz="0" w:space="0" w:color="auto"/>
                <w:bottom w:val="none" w:sz="0" w:space="0" w:color="auto"/>
                <w:right w:val="none" w:sz="0" w:space="0" w:color="auto"/>
              </w:divBdr>
            </w:div>
            <w:div w:id="1568495366">
              <w:marLeft w:val="0"/>
              <w:marRight w:val="0"/>
              <w:marTop w:val="0"/>
              <w:marBottom w:val="0"/>
              <w:divBdr>
                <w:top w:val="none" w:sz="0" w:space="0" w:color="auto"/>
                <w:left w:val="none" w:sz="0" w:space="0" w:color="auto"/>
                <w:bottom w:val="none" w:sz="0" w:space="0" w:color="auto"/>
                <w:right w:val="none" w:sz="0" w:space="0" w:color="auto"/>
              </w:divBdr>
            </w:div>
            <w:div w:id="891306488">
              <w:marLeft w:val="0"/>
              <w:marRight w:val="0"/>
              <w:marTop w:val="0"/>
              <w:marBottom w:val="0"/>
              <w:divBdr>
                <w:top w:val="none" w:sz="0" w:space="0" w:color="auto"/>
                <w:left w:val="none" w:sz="0" w:space="0" w:color="auto"/>
                <w:bottom w:val="none" w:sz="0" w:space="0" w:color="auto"/>
                <w:right w:val="none" w:sz="0" w:space="0" w:color="auto"/>
              </w:divBdr>
            </w:div>
            <w:div w:id="1670211589">
              <w:marLeft w:val="0"/>
              <w:marRight w:val="0"/>
              <w:marTop w:val="0"/>
              <w:marBottom w:val="0"/>
              <w:divBdr>
                <w:top w:val="none" w:sz="0" w:space="0" w:color="auto"/>
                <w:left w:val="none" w:sz="0" w:space="0" w:color="auto"/>
                <w:bottom w:val="none" w:sz="0" w:space="0" w:color="auto"/>
                <w:right w:val="none" w:sz="0" w:space="0" w:color="auto"/>
              </w:divBdr>
            </w:div>
            <w:div w:id="589121243">
              <w:marLeft w:val="0"/>
              <w:marRight w:val="0"/>
              <w:marTop w:val="0"/>
              <w:marBottom w:val="0"/>
              <w:divBdr>
                <w:top w:val="none" w:sz="0" w:space="0" w:color="auto"/>
                <w:left w:val="none" w:sz="0" w:space="0" w:color="auto"/>
                <w:bottom w:val="none" w:sz="0" w:space="0" w:color="auto"/>
                <w:right w:val="none" w:sz="0" w:space="0" w:color="auto"/>
              </w:divBdr>
            </w:div>
            <w:div w:id="1827865811">
              <w:marLeft w:val="0"/>
              <w:marRight w:val="0"/>
              <w:marTop w:val="0"/>
              <w:marBottom w:val="0"/>
              <w:divBdr>
                <w:top w:val="none" w:sz="0" w:space="0" w:color="auto"/>
                <w:left w:val="none" w:sz="0" w:space="0" w:color="auto"/>
                <w:bottom w:val="none" w:sz="0" w:space="0" w:color="auto"/>
                <w:right w:val="none" w:sz="0" w:space="0" w:color="auto"/>
              </w:divBdr>
            </w:div>
            <w:div w:id="543561434">
              <w:marLeft w:val="0"/>
              <w:marRight w:val="0"/>
              <w:marTop w:val="0"/>
              <w:marBottom w:val="0"/>
              <w:divBdr>
                <w:top w:val="none" w:sz="0" w:space="0" w:color="auto"/>
                <w:left w:val="none" w:sz="0" w:space="0" w:color="auto"/>
                <w:bottom w:val="none" w:sz="0" w:space="0" w:color="auto"/>
                <w:right w:val="none" w:sz="0" w:space="0" w:color="auto"/>
              </w:divBdr>
            </w:div>
            <w:div w:id="990210695">
              <w:marLeft w:val="0"/>
              <w:marRight w:val="0"/>
              <w:marTop w:val="0"/>
              <w:marBottom w:val="0"/>
              <w:divBdr>
                <w:top w:val="none" w:sz="0" w:space="0" w:color="auto"/>
                <w:left w:val="none" w:sz="0" w:space="0" w:color="auto"/>
                <w:bottom w:val="none" w:sz="0" w:space="0" w:color="auto"/>
                <w:right w:val="none" w:sz="0" w:space="0" w:color="auto"/>
              </w:divBdr>
            </w:div>
            <w:div w:id="1442145389">
              <w:marLeft w:val="0"/>
              <w:marRight w:val="0"/>
              <w:marTop w:val="0"/>
              <w:marBottom w:val="0"/>
              <w:divBdr>
                <w:top w:val="none" w:sz="0" w:space="0" w:color="auto"/>
                <w:left w:val="none" w:sz="0" w:space="0" w:color="auto"/>
                <w:bottom w:val="none" w:sz="0" w:space="0" w:color="auto"/>
                <w:right w:val="none" w:sz="0" w:space="0" w:color="auto"/>
              </w:divBdr>
            </w:div>
            <w:div w:id="1319722657">
              <w:marLeft w:val="0"/>
              <w:marRight w:val="0"/>
              <w:marTop w:val="0"/>
              <w:marBottom w:val="0"/>
              <w:divBdr>
                <w:top w:val="none" w:sz="0" w:space="0" w:color="auto"/>
                <w:left w:val="none" w:sz="0" w:space="0" w:color="auto"/>
                <w:bottom w:val="none" w:sz="0" w:space="0" w:color="auto"/>
                <w:right w:val="none" w:sz="0" w:space="0" w:color="auto"/>
              </w:divBdr>
            </w:div>
            <w:div w:id="1770807925">
              <w:marLeft w:val="0"/>
              <w:marRight w:val="0"/>
              <w:marTop w:val="0"/>
              <w:marBottom w:val="0"/>
              <w:divBdr>
                <w:top w:val="none" w:sz="0" w:space="0" w:color="auto"/>
                <w:left w:val="none" w:sz="0" w:space="0" w:color="auto"/>
                <w:bottom w:val="none" w:sz="0" w:space="0" w:color="auto"/>
                <w:right w:val="none" w:sz="0" w:space="0" w:color="auto"/>
              </w:divBdr>
            </w:div>
            <w:div w:id="899633437">
              <w:marLeft w:val="0"/>
              <w:marRight w:val="0"/>
              <w:marTop w:val="0"/>
              <w:marBottom w:val="0"/>
              <w:divBdr>
                <w:top w:val="none" w:sz="0" w:space="0" w:color="auto"/>
                <w:left w:val="none" w:sz="0" w:space="0" w:color="auto"/>
                <w:bottom w:val="none" w:sz="0" w:space="0" w:color="auto"/>
                <w:right w:val="none" w:sz="0" w:space="0" w:color="auto"/>
              </w:divBdr>
            </w:div>
            <w:div w:id="2013676135">
              <w:marLeft w:val="0"/>
              <w:marRight w:val="0"/>
              <w:marTop w:val="0"/>
              <w:marBottom w:val="0"/>
              <w:divBdr>
                <w:top w:val="none" w:sz="0" w:space="0" w:color="auto"/>
                <w:left w:val="none" w:sz="0" w:space="0" w:color="auto"/>
                <w:bottom w:val="none" w:sz="0" w:space="0" w:color="auto"/>
                <w:right w:val="none" w:sz="0" w:space="0" w:color="auto"/>
              </w:divBdr>
            </w:div>
            <w:div w:id="1925458190">
              <w:marLeft w:val="0"/>
              <w:marRight w:val="0"/>
              <w:marTop w:val="0"/>
              <w:marBottom w:val="0"/>
              <w:divBdr>
                <w:top w:val="none" w:sz="0" w:space="0" w:color="auto"/>
                <w:left w:val="none" w:sz="0" w:space="0" w:color="auto"/>
                <w:bottom w:val="none" w:sz="0" w:space="0" w:color="auto"/>
                <w:right w:val="none" w:sz="0" w:space="0" w:color="auto"/>
              </w:divBdr>
            </w:div>
            <w:div w:id="568611278">
              <w:marLeft w:val="0"/>
              <w:marRight w:val="0"/>
              <w:marTop w:val="0"/>
              <w:marBottom w:val="0"/>
              <w:divBdr>
                <w:top w:val="none" w:sz="0" w:space="0" w:color="auto"/>
                <w:left w:val="none" w:sz="0" w:space="0" w:color="auto"/>
                <w:bottom w:val="none" w:sz="0" w:space="0" w:color="auto"/>
                <w:right w:val="none" w:sz="0" w:space="0" w:color="auto"/>
              </w:divBdr>
            </w:div>
            <w:div w:id="1717002753">
              <w:marLeft w:val="0"/>
              <w:marRight w:val="0"/>
              <w:marTop w:val="0"/>
              <w:marBottom w:val="0"/>
              <w:divBdr>
                <w:top w:val="none" w:sz="0" w:space="0" w:color="auto"/>
                <w:left w:val="none" w:sz="0" w:space="0" w:color="auto"/>
                <w:bottom w:val="none" w:sz="0" w:space="0" w:color="auto"/>
                <w:right w:val="none" w:sz="0" w:space="0" w:color="auto"/>
              </w:divBdr>
            </w:div>
            <w:div w:id="1451245058">
              <w:marLeft w:val="0"/>
              <w:marRight w:val="0"/>
              <w:marTop w:val="0"/>
              <w:marBottom w:val="0"/>
              <w:divBdr>
                <w:top w:val="none" w:sz="0" w:space="0" w:color="auto"/>
                <w:left w:val="none" w:sz="0" w:space="0" w:color="auto"/>
                <w:bottom w:val="none" w:sz="0" w:space="0" w:color="auto"/>
                <w:right w:val="none" w:sz="0" w:space="0" w:color="auto"/>
              </w:divBdr>
            </w:div>
            <w:div w:id="1819110855">
              <w:marLeft w:val="0"/>
              <w:marRight w:val="0"/>
              <w:marTop w:val="0"/>
              <w:marBottom w:val="0"/>
              <w:divBdr>
                <w:top w:val="none" w:sz="0" w:space="0" w:color="auto"/>
                <w:left w:val="none" w:sz="0" w:space="0" w:color="auto"/>
                <w:bottom w:val="none" w:sz="0" w:space="0" w:color="auto"/>
                <w:right w:val="none" w:sz="0" w:space="0" w:color="auto"/>
              </w:divBdr>
            </w:div>
            <w:div w:id="188183745">
              <w:marLeft w:val="0"/>
              <w:marRight w:val="0"/>
              <w:marTop w:val="0"/>
              <w:marBottom w:val="0"/>
              <w:divBdr>
                <w:top w:val="none" w:sz="0" w:space="0" w:color="auto"/>
                <w:left w:val="none" w:sz="0" w:space="0" w:color="auto"/>
                <w:bottom w:val="none" w:sz="0" w:space="0" w:color="auto"/>
                <w:right w:val="none" w:sz="0" w:space="0" w:color="auto"/>
              </w:divBdr>
            </w:div>
            <w:div w:id="727190286">
              <w:marLeft w:val="0"/>
              <w:marRight w:val="0"/>
              <w:marTop w:val="0"/>
              <w:marBottom w:val="0"/>
              <w:divBdr>
                <w:top w:val="none" w:sz="0" w:space="0" w:color="auto"/>
                <w:left w:val="none" w:sz="0" w:space="0" w:color="auto"/>
                <w:bottom w:val="none" w:sz="0" w:space="0" w:color="auto"/>
                <w:right w:val="none" w:sz="0" w:space="0" w:color="auto"/>
              </w:divBdr>
            </w:div>
            <w:div w:id="765466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4802315">
      <w:bodyDiv w:val="1"/>
      <w:marLeft w:val="0"/>
      <w:marRight w:val="0"/>
      <w:marTop w:val="0"/>
      <w:marBottom w:val="0"/>
      <w:divBdr>
        <w:top w:val="none" w:sz="0" w:space="0" w:color="auto"/>
        <w:left w:val="none" w:sz="0" w:space="0" w:color="auto"/>
        <w:bottom w:val="none" w:sz="0" w:space="0" w:color="auto"/>
        <w:right w:val="none" w:sz="0" w:space="0" w:color="auto"/>
      </w:divBdr>
    </w:div>
    <w:div w:id="1343973443">
      <w:bodyDiv w:val="1"/>
      <w:marLeft w:val="0"/>
      <w:marRight w:val="0"/>
      <w:marTop w:val="0"/>
      <w:marBottom w:val="0"/>
      <w:divBdr>
        <w:top w:val="none" w:sz="0" w:space="0" w:color="auto"/>
        <w:left w:val="none" w:sz="0" w:space="0" w:color="auto"/>
        <w:bottom w:val="none" w:sz="0" w:space="0" w:color="auto"/>
        <w:right w:val="none" w:sz="0" w:space="0" w:color="auto"/>
      </w:divBdr>
      <w:divsChild>
        <w:div w:id="1603683642">
          <w:marLeft w:val="480"/>
          <w:marRight w:val="0"/>
          <w:marTop w:val="0"/>
          <w:marBottom w:val="0"/>
          <w:divBdr>
            <w:top w:val="none" w:sz="0" w:space="0" w:color="auto"/>
            <w:left w:val="none" w:sz="0" w:space="0" w:color="auto"/>
            <w:bottom w:val="none" w:sz="0" w:space="0" w:color="auto"/>
            <w:right w:val="none" w:sz="0" w:space="0" w:color="auto"/>
          </w:divBdr>
          <w:divsChild>
            <w:div w:id="945847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993570">
      <w:bodyDiv w:val="1"/>
      <w:marLeft w:val="0"/>
      <w:marRight w:val="0"/>
      <w:marTop w:val="0"/>
      <w:marBottom w:val="0"/>
      <w:divBdr>
        <w:top w:val="none" w:sz="0" w:space="0" w:color="auto"/>
        <w:left w:val="none" w:sz="0" w:space="0" w:color="auto"/>
        <w:bottom w:val="none" w:sz="0" w:space="0" w:color="auto"/>
        <w:right w:val="none" w:sz="0" w:space="0" w:color="auto"/>
      </w:divBdr>
    </w:div>
    <w:div w:id="1423837536">
      <w:bodyDiv w:val="1"/>
      <w:marLeft w:val="0"/>
      <w:marRight w:val="0"/>
      <w:marTop w:val="0"/>
      <w:marBottom w:val="0"/>
      <w:divBdr>
        <w:top w:val="none" w:sz="0" w:space="0" w:color="auto"/>
        <w:left w:val="none" w:sz="0" w:space="0" w:color="auto"/>
        <w:bottom w:val="none" w:sz="0" w:space="0" w:color="auto"/>
        <w:right w:val="none" w:sz="0" w:space="0" w:color="auto"/>
      </w:divBdr>
    </w:div>
    <w:div w:id="1428037627">
      <w:bodyDiv w:val="1"/>
      <w:marLeft w:val="0"/>
      <w:marRight w:val="0"/>
      <w:marTop w:val="0"/>
      <w:marBottom w:val="0"/>
      <w:divBdr>
        <w:top w:val="none" w:sz="0" w:space="0" w:color="auto"/>
        <w:left w:val="none" w:sz="0" w:space="0" w:color="auto"/>
        <w:bottom w:val="none" w:sz="0" w:space="0" w:color="auto"/>
        <w:right w:val="none" w:sz="0" w:space="0" w:color="auto"/>
      </w:divBdr>
      <w:divsChild>
        <w:div w:id="1846941123">
          <w:marLeft w:val="480"/>
          <w:marRight w:val="0"/>
          <w:marTop w:val="0"/>
          <w:marBottom w:val="0"/>
          <w:divBdr>
            <w:top w:val="none" w:sz="0" w:space="0" w:color="auto"/>
            <w:left w:val="none" w:sz="0" w:space="0" w:color="auto"/>
            <w:bottom w:val="none" w:sz="0" w:space="0" w:color="auto"/>
            <w:right w:val="none" w:sz="0" w:space="0" w:color="auto"/>
          </w:divBdr>
          <w:divsChild>
            <w:div w:id="978419686">
              <w:marLeft w:val="0"/>
              <w:marRight w:val="0"/>
              <w:marTop w:val="0"/>
              <w:marBottom w:val="0"/>
              <w:divBdr>
                <w:top w:val="none" w:sz="0" w:space="0" w:color="auto"/>
                <w:left w:val="none" w:sz="0" w:space="0" w:color="auto"/>
                <w:bottom w:val="none" w:sz="0" w:space="0" w:color="auto"/>
                <w:right w:val="none" w:sz="0" w:space="0" w:color="auto"/>
              </w:divBdr>
            </w:div>
            <w:div w:id="1286279272">
              <w:marLeft w:val="0"/>
              <w:marRight w:val="0"/>
              <w:marTop w:val="0"/>
              <w:marBottom w:val="0"/>
              <w:divBdr>
                <w:top w:val="none" w:sz="0" w:space="0" w:color="auto"/>
                <w:left w:val="none" w:sz="0" w:space="0" w:color="auto"/>
                <w:bottom w:val="none" w:sz="0" w:space="0" w:color="auto"/>
                <w:right w:val="none" w:sz="0" w:space="0" w:color="auto"/>
              </w:divBdr>
            </w:div>
            <w:div w:id="2088724906">
              <w:marLeft w:val="0"/>
              <w:marRight w:val="0"/>
              <w:marTop w:val="0"/>
              <w:marBottom w:val="0"/>
              <w:divBdr>
                <w:top w:val="none" w:sz="0" w:space="0" w:color="auto"/>
                <w:left w:val="none" w:sz="0" w:space="0" w:color="auto"/>
                <w:bottom w:val="none" w:sz="0" w:space="0" w:color="auto"/>
                <w:right w:val="none" w:sz="0" w:space="0" w:color="auto"/>
              </w:divBdr>
            </w:div>
            <w:div w:id="1266964567">
              <w:marLeft w:val="0"/>
              <w:marRight w:val="0"/>
              <w:marTop w:val="0"/>
              <w:marBottom w:val="0"/>
              <w:divBdr>
                <w:top w:val="none" w:sz="0" w:space="0" w:color="auto"/>
                <w:left w:val="none" w:sz="0" w:space="0" w:color="auto"/>
                <w:bottom w:val="none" w:sz="0" w:space="0" w:color="auto"/>
                <w:right w:val="none" w:sz="0" w:space="0" w:color="auto"/>
              </w:divBdr>
            </w:div>
            <w:div w:id="790592527">
              <w:marLeft w:val="0"/>
              <w:marRight w:val="0"/>
              <w:marTop w:val="0"/>
              <w:marBottom w:val="0"/>
              <w:divBdr>
                <w:top w:val="none" w:sz="0" w:space="0" w:color="auto"/>
                <w:left w:val="none" w:sz="0" w:space="0" w:color="auto"/>
                <w:bottom w:val="none" w:sz="0" w:space="0" w:color="auto"/>
                <w:right w:val="none" w:sz="0" w:space="0" w:color="auto"/>
              </w:divBdr>
            </w:div>
            <w:div w:id="1719474545">
              <w:marLeft w:val="0"/>
              <w:marRight w:val="0"/>
              <w:marTop w:val="0"/>
              <w:marBottom w:val="0"/>
              <w:divBdr>
                <w:top w:val="none" w:sz="0" w:space="0" w:color="auto"/>
                <w:left w:val="none" w:sz="0" w:space="0" w:color="auto"/>
                <w:bottom w:val="none" w:sz="0" w:space="0" w:color="auto"/>
                <w:right w:val="none" w:sz="0" w:space="0" w:color="auto"/>
              </w:divBdr>
            </w:div>
            <w:div w:id="623121483">
              <w:marLeft w:val="0"/>
              <w:marRight w:val="0"/>
              <w:marTop w:val="0"/>
              <w:marBottom w:val="0"/>
              <w:divBdr>
                <w:top w:val="none" w:sz="0" w:space="0" w:color="auto"/>
                <w:left w:val="none" w:sz="0" w:space="0" w:color="auto"/>
                <w:bottom w:val="none" w:sz="0" w:space="0" w:color="auto"/>
                <w:right w:val="none" w:sz="0" w:space="0" w:color="auto"/>
              </w:divBdr>
            </w:div>
            <w:div w:id="163908961">
              <w:marLeft w:val="0"/>
              <w:marRight w:val="0"/>
              <w:marTop w:val="0"/>
              <w:marBottom w:val="0"/>
              <w:divBdr>
                <w:top w:val="none" w:sz="0" w:space="0" w:color="auto"/>
                <w:left w:val="none" w:sz="0" w:space="0" w:color="auto"/>
                <w:bottom w:val="none" w:sz="0" w:space="0" w:color="auto"/>
                <w:right w:val="none" w:sz="0" w:space="0" w:color="auto"/>
              </w:divBdr>
            </w:div>
            <w:div w:id="1465192121">
              <w:marLeft w:val="0"/>
              <w:marRight w:val="0"/>
              <w:marTop w:val="0"/>
              <w:marBottom w:val="0"/>
              <w:divBdr>
                <w:top w:val="none" w:sz="0" w:space="0" w:color="auto"/>
                <w:left w:val="none" w:sz="0" w:space="0" w:color="auto"/>
                <w:bottom w:val="none" w:sz="0" w:space="0" w:color="auto"/>
                <w:right w:val="none" w:sz="0" w:space="0" w:color="auto"/>
              </w:divBdr>
            </w:div>
            <w:div w:id="1705666280">
              <w:marLeft w:val="0"/>
              <w:marRight w:val="0"/>
              <w:marTop w:val="0"/>
              <w:marBottom w:val="0"/>
              <w:divBdr>
                <w:top w:val="none" w:sz="0" w:space="0" w:color="auto"/>
                <w:left w:val="none" w:sz="0" w:space="0" w:color="auto"/>
                <w:bottom w:val="none" w:sz="0" w:space="0" w:color="auto"/>
                <w:right w:val="none" w:sz="0" w:space="0" w:color="auto"/>
              </w:divBdr>
            </w:div>
            <w:div w:id="1846629803">
              <w:marLeft w:val="0"/>
              <w:marRight w:val="0"/>
              <w:marTop w:val="0"/>
              <w:marBottom w:val="0"/>
              <w:divBdr>
                <w:top w:val="none" w:sz="0" w:space="0" w:color="auto"/>
                <w:left w:val="none" w:sz="0" w:space="0" w:color="auto"/>
                <w:bottom w:val="none" w:sz="0" w:space="0" w:color="auto"/>
                <w:right w:val="none" w:sz="0" w:space="0" w:color="auto"/>
              </w:divBdr>
            </w:div>
            <w:div w:id="769547170">
              <w:marLeft w:val="0"/>
              <w:marRight w:val="0"/>
              <w:marTop w:val="0"/>
              <w:marBottom w:val="0"/>
              <w:divBdr>
                <w:top w:val="none" w:sz="0" w:space="0" w:color="auto"/>
                <w:left w:val="none" w:sz="0" w:space="0" w:color="auto"/>
                <w:bottom w:val="none" w:sz="0" w:space="0" w:color="auto"/>
                <w:right w:val="none" w:sz="0" w:space="0" w:color="auto"/>
              </w:divBdr>
            </w:div>
            <w:div w:id="1754087231">
              <w:marLeft w:val="0"/>
              <w:marRight w:val="0"/>
              <w:marTop w:val="0"/>
              <w:marBottom w:val="0"/>
              <w:divBdr>
                <w:top w:val="none" w:sz="0" w:space="0" w:color="auto"/>
                <w:left w:val="none" w:sz="0" w:space="0" w:color="auto"/>
                <w:bottom w:val="none" w:sz="0" w:space="0" w:color="auto"/>
                <w:right w:val="none" w:sz="0" w:space="0" w:color="auto"/>
              </w:divBdr>
            </w:div>
            <w:div w:id="2110616787">
              <w:marLeft w:val="0"/>
              <w:marRight w:val="0"/>
              <w:marTop w:val="0"/>
              <w:marBottom w:val="0"/>
              <w:divBdr>
                <w:top w:val="none" w:sz="0" w:space="0" w:color="auto"/>
                <w:left w:val="none" w:sz="0" w:space="0" w:color="auto"/>
                <w:bottom w:val="none" w:sz="0" w:space="0" w:color="auto"/>
                <w:right w:val="none" w:sz="0" w:space="0" w:color="auto"/>
              </w:divBdr>
            </w:div>
            <w:div w:id="2001690426">
              <w:marLeft w:val="0"/>
              <w:marRight w:val="0"/>
              <w:marTop w:val="0"/>
              <w:marBottom w:val="0"/>
              <w:divBdr>
                <w:top w:val="none" w:sz="0" w:space="0" w:color="auto"/>
                <w:left w:val="none" w:sz="0" w:space="0" w:color="auto"/>
                <w:bottom w:val="none" w:sz="0" w:space="0" w:color="auto"/>
                <w:right w:val="none" w:sz="0" w:space="0" w:color="auto"/>
              </w:divBdr>
            </w:div>
            <w:div w:id="1290629341">
              <w:marLeft w:val="0"/>
              <w:marRight w:val="0"/>
              <w:marTop w:val="0"/>
              <w:marBottom w:val="0"/>
              <w:divBdr>
                <w:top w:val="none" w:sz="0" w:space="0" w:color="auto"/>
                <w:left w:val="none" w:sz="0" w:space="0" w:color="auto"/>
                <w:bottom w:val="none" w:sz="0" w:space="0" w:color="auto"/>
                <w:right w:val="none" w:sz="0" w:space="0" w:color="auto"/>
              </w:divBdr>
            </w:div>
            <w:div w:id="73819613">
              <w:marLeft w:val="0"/>
              <w:marRight w:val="0"/>
              <w:marTop w:val="0"/>
              <w:marBottom w:val="0"/>
              <w:divBdr>
                <w:top w:val="none" w:sz="0" w:space="0" w:color="auto"/>
                <w:left w:val="none" w:sz="0" w:space="0" w:color="auto"/>
                <w:bottom w:val="none" w:sz="0" w:space="0" w:color="auto"/>
                <w:right w:val="none" w:sz="0" w:space="0" w:color="auto"/>
              </w:divBdr>
            </w:div>
            <w:div w:id="2137020661">
              <w:marLeft w:val="0"/>
              <w:marRight w:val="0"/>
              <w:marTop w:val="0"/>
              <w:marBottom w:val="0"/>
              <w:divBdr>
                <w:top w:val="none" w:sz="0" w:space="0" w:color="auto"/>
                <w:left w:val="none" w:sz="0" w:space="0" w:color="auto"/>
                <w:bottom w:val="none" w:sz="0" w:space="0" w:color="auto"/>
                <w:right w:val="none" w:sz="0" w:space="0" w:color="auto"/>
              </w:divBdr>
            </w:div>
            <w:div w:id="1407262702">
              <w:marLeft w:val="0"/>
              <w:marRight w:val="0"/>
              <w:marTop w:val="0"/>
              <w:marBottom w:val="0"/>
              <w:divBdr>
                <w:top w:val="none" w:sz="0" w:space="0" w:color="auto"/>
                <w:left w:val="none" w:sz="0" w:space="0" w:color="auto"/>
                <w:bottom w:val="none" w:sz="0" w:space="0" w:color="auto"/>
                <w:right w:val="none" w:sz="0" w:space="0" w:color="auto"/>
              </w:divBdr>
            </w:div>
            <w:div w:id="154806184">
              <w:marLeft w:val="0"/>
              <w:marRight w:val="0"/>
              <w:marTop w:val="0"/>
              <w:marBottom w:val="0"/>
              <w:divBdr>
                <w:top w:val="none" w:sz="0" w:space="0" w:color="auto"/>
                <w:left w:val="none" w:sz="0" w:space="0" w:color="auto"/>
                <w:bottom w:val="none" w:sz="0" w:space="0" w:color="auto"/>
                <w:right w:val="none" w:sz="0" w:space="0" w:color="auto"/>
              </w:divBdr>
            </w:div>
            <w:div w:id="1603687895">
              <w:marLeft w:val="0"/>
              <w:marRight w:val="0"/>
              <w:marTop w:val="0"/>
              <w:marBottom w:val="0"/>
              <w:divBdr>
                <w:top w:val="none" w:sz="0" w:space="0" w:color="auto"/>
                <w:left w:val="none" w:sz="0" w:space="0" w:color="auto"/>
                <w:bottom w:val="none" w:sz="0" w:space="0" w:color="auto"/>
                <w:right w:val="none" w:sz="0" w:space="0" w:color="auto"/>
              </w:divBdr>
            </w:div>
            <w:div w:id="744838969">
              <w:marLeft w:val="0"/>
              <w:marRight w:val="0"/>
              <w:marTop w:val="0"/>
              <w:marBottom w:val="0"/>
              <w:divBdr>
                <w:top w:val="none" w:sz="0" w:space="0" w:color="auto"/>
                <w:left w:val="none" w:sz="0" w:space="0" w:color="auto"/>
                <w:bottom w:val="none" w:sz="0" w:space="0" w:color="auto"/>
                <w:right w:val="none" w:sz="0" w:space="0" w:color="auto"/>
              </w:divBdr>
            </w:div>
            <w:div w:id="1143815487">
              <w:marLeft w:val="0"/>
              <w:marRight w:val="0"/>
              <w:marTop w:val="0"/>
              <w:marBottom w:val="0"/>
              <w:divBdr>
                <w:top w:val="none" w:sz="0" w:space="0" w:color="auto"/>
                <w:left w:val="none" w:sz="0" w:space="0" w:color="auto"/>
                <w:bottom w:val="none" w:sz="0" w:space="0" w:color="auto"/>
                <w:right w:val="none" w:sz="0" w:space="0" w:color="auto"/>
              </w:divBdr>
            </w:div>
            <w:div w:id="1025984613">
              <w:marLeft w:val="0"/>
              <w:marRight w:val="0"/>
              <w:marTop w:val="0"/>
              <w:marBottom w:val="0"/>
              <w:divBdr>
                <w:top w:val="none" w:sz="0" w:space="0" w:color="auto"/>
                <w:left w:val="none" w:sz="0" w:space="0" w:color="auto"/>
                <w:bottom w:val="none" w:sz="0" w:space="0" w:color="auto"/>
                <w:right w:val="none" w:sz="0" w:space="0" w:color="auto"/>
              </w:divBdr>
            </w:div>
            <w:div w:id="1454134439">
              <w:marLeft w:val="0"/>
              <w:marRight w:val="0"/>
              <w:marTop w:val="0"/>
              <w:marBottom w:val="0"/>
              <w:divBdr>
                <w:top w:val="none" w:sz="0" w:space="0" w:color="auto"/>
                <w:left w:val="none" w:sz="0" w:space="0" w:color="auto"/>
                <w:bottom w:val="none" w:sz="0" w:space="0" w:color="auto"/>
                <w:right w:val="none" w:sz="0" w:space="0" w:color="auto"/>
              </w:divBdr>
            </w:div>
            <w:div w:id="1027289686">
              <w:marLeft w:val="0"/>
              <w:marRight w:val="0"/>
              <w:marTop w:val="0"/>
              <w:marBottom w:val="0"/>
              <w:divBdr>
                <w:top w:val="none" w:sz="0" w:space="0" w:color="auto"/>
                <w:left w:val="none" w:sz="0" w:space="0" w:color="auto"/>
                <w:bottom w:val="none" w:sz="0" w:space="0" w:color="auto"/>
                <w:right w:val="none" w:sz="0" w:space="0" w:color="auto"/>
              </w:divBdr>
            </w:div>
            <w:div w:id="720330650">
              <w:marLeft w:val="0"/>
              <w:marRight w:val="0"/>
              <w:marTop w:val="0"/>
              <w:marBottom w:val="0"/>
              <w:divBdr>
                <w:top w:val="none" w:sz="0" w:space="0" w:color="auto"/>
                <w:left w:val="none" w:sz="0" w:space="0" w:color="auto"/>
                <w:bottom w:val="none" w:sz="0" w:space="0" w:color="auto"/>
                <w:right w:val="none" w:sz="0" w:space="0" w:color="auto"/>
              </w:divBdr>
            </w:div>
            <w:div w:id="1226647958">
              <w:marLeft w:val="0"/>
              <w:marRight w:val="0"/>
              <w:marTop w:val="0"/>
              <w:marBottom w:val="0"/>
              <w:divBdr>
                <w:top w:val="none" w:sz="0" w:space="0" w:color="auto"/>
                <w:left w:val="none" w:sz="0" w:space="0" w:color="auto"/>
                <w:bottom w:val="none" w:sz="0" w:space="0" w:color="auto"/>
                <w:right w:val="none" w:sz="0" w:space="0" w:color="auto"/>
              </w:divBdr>
            </w:div>
            <w:div w:id="1874420793">
              <w:marLeft w:val="0"/>
              <w:marRight w:val="0"/>
              <w:marTop w:val="0"/>
              <w:marBottom w:val="0"/>
              <w:divBdr>
                <w:top w:val="none" w:sz="0" w:space="0" w:color="auto"/>
                <w:left w:val="none" w:sz="0" w:space="0" w:color="auto"/>
                <w:bottom w:val="none" w:sz="0" w:space="0" w:color="auto"/>
                <w:right w:val="none" w:sz="0" w:space="0" w:color="auto"/>
              </w:divBdr>
            </w:div>
            <w:div w:id="137918916">
              <w:marLeft w:val="0"/>
              <w:marRight w:val="0"/>
              <w:marTop w:val="0"/>
              <w:marBottom w:val="0"/>
              <w:divBdr>
                <w:top w:val="none" w:sz="0" w:space="0" w:color="auto"/>
                <w:left w:val="none" w:sz="0" w:space="0" w:color="auto"/>
                <w:bottom w:val="none" w:sz="0" w:space="0" w:color="auto"/>
                <w:right w:val="none" w:sz="0" w:space="0" w:color="auto"/>
              </w:divBdr>
            </w:div>
            <w:div w:id="1964074593">
              <w:marLeft w:val="0"/>
              <w:marRight w:val="0"/>
              <w:marTop w:val="0"/>
              <w:marBottom w:val="0"/>
              <w:divBdr>
                <w:top w:val="none" w:sz="0" w:space="0" w:color="auto"/>
                <w:left w:val="none" w:sz="0" w:space="0" w:color="auto"/>
                <w:bottom w:val="none" w:sz="0" w:space="0" w:color="auto"/>
                <w:right w:val="none" w:sz="0" w:space="0" w:color="auto"/>
              </w:divBdr>
            </w:div>
            <w:div w:id="1027605480">
              <w:marLeft w:val="0"/>
              <w:marRight w:val="0"/>
              <w:marTop w:val="0"/>
              <w:marBottom w:val="0"/>
              <w:divBdr>
                <w:top w:val="none" w:sz="0" w:space="0" w:color="auto"/>
                <w:left w:val="none" w:sz="0" w:space="0" w:color="auto"/>
                <w:bottom w:val="none" w:sz="0" w:space="0" w:color="auto"/>
                <w:right w:val="none" w:sz="0" w:space="0" w:color="auto"/>
              </w:divBdr>
            </w:div>
            <w:div w:id="1594704685">
              <w:marLeft w:val="0"/>
              <w:marRight w:val="0"/>
              <w:marTop w:val="0"/>
              <w:marBottom w:val="0"/>
              <w:divBdr>
                <w:top w:val="none" w:sz="0" w:space="0" w:color="auto"/>
                <w:left w:val="none" w:sz="0" w:space="0" w:color="auto"/>
                <w:bottom w:val="none" w:sz="0" w:space="0" w:color="auto"/>
                <w:right w:val="none" w:sz="0" w:space="0" w:color="auto"/>
              </w:divBdr>
            </w:div>
            <w:div w:id="668675790">
              <w:marLeft w:val="0"/>
              <w:marRight w:val="0"/>
              <w:marTop w:val="0"/>
              <w:marBottom w:val="0"/>
              <w:divBdr>
                <w:top w:val="none" w:sz="0" w:space="0" w:color="auto"/>
                <w:left w:val="none" w:sz="0" w:space="0" w:color="auto"/>
                <w:bottom w:val="none" w:sz="0" w:space="0" w:color="auto"/>
                <w:right w:val="none" w:sz="0" w:space="0" w:color="auto"/>
              </w:divBdr>
            </w:div>
            <w:div w:id="527370919">
              <w:marLeft w:val="0"/>
              <w:marRight w:val="0"/>
              <w:marTop w:val="0"/>
              <w:marBottom w:val="0"/>
              <w:divBdr>
                <w:top w:val="none" w:sz="0" w:space="0" w:color="auto"/>
                <w:left w:val="none" w:sz="0" w:space="0" w:color="auto"/>
                <w:bottom w:val="none" w:sz="0" w:space="0" w:color="auto"/>
                <w:right w:val="none" w:sz="0" w:space="0" w:color="auto"/>
              </w:divBdr>
            </w:div>
            <w:div w:id="1163622444">
              <w:marLeft w:val="0"/>
              <w:marRight w:val="0"/>
              <w:marTop w:val="0"/>
              <w:marBottom w:val="0"/>
              <w:divBdr>
                <w:top w:val="none" w:sz="0" w:space="0" w:color="auto"/>
                <w:left w:val="none" w:sz="0" w:space="0" w:color="auto"/>
                <w:bottom w:val="none" w:sz="0" w:space="0" w:color="auto"/>
                <w:right w:val="none" w:sz="0" w:space="0" w:color="auto"/>
              </w:divBdr>
            </w:div>
            <w:div w:id="1466965034">
              <w:marLeft w:val="0"/>
              <w:marRight w:val="0"/>
              <w:marTop w:val="0"/>
              <w:marBottom w:val="0"/>
              <w:divBdr>
                <w:top w:val="none" w:sz="0" w:space="0" w:color="auto"/>
                <w:left w:val="none" w:sz="0" w:space="0" w:color="auto"/>
                <w:bottom w:val="none" w:sz="0" w:space="0" w:color="auto"/>
                <w:right w:val="none" w:sz="0" w:space="0" w:color="auto"/>
              </w:divBdr>
            </w:div>
            <w:div w:id="148979502">
              <w:marLeft w:val="0"/>
              <w:marRight w:val="0"/>
              <w:marTop w:val="0"/>
              <w:marBottom w:val="0"/>
              <w:divBdr>
                <w:top w:val="none" w:sz="0" w:space="0" w:color="auto"/>
                <w:left w:val="none" w:sz="0" w:space="0" w:color="auto"/>
                <w:bottom w:val="none" w:sz="0" w:space="0" w:color="auto"/>
                <w:right w:val="none" w:sz="0" w:space="0" w:color="auto"/>
              </w:divBdr>
            </w:div>
            <w:div w:id="1395006464">
              <w:marLeft w:val="0"/>
              <w:marRight w:val="0"/>
              <w:marTop w:val="0"/>
              <w:marBottom w:val="0"/>
              <w:divBdr>
                <w:top w:val="none" w:sz="0" w:space="0" w:color="auto"/>
                <w:left w:val="none" w:sz="0" w:space="0" w:color="auto"/>
                <w:bottom w:val="none" w:sz="0" w:space="0" w:color="auto"/>
                <w:right w:val="none" w:sz="0" w:space="0" w:color="auto"/>
              </w:divBdr>
            </w:div>
            <w:div w:id="1182356640">
              <w:marLeft w:val="0"/>
              <w:marRight w:val="0"/>
              <w:marTop w:val="0"/>
              <w:marBottom w:val="0"/>
              <w:divBdr>
                <w:top w:val="none" w:sz="0" w:space="0" w:color="auto"/>
                <w:left w:val="none" w:sz="0" w:space="0" w:color="auto"/>
                <w:bottom w:val="none" w:sz="0" w:space="0" w:color="auto"/>
                <w:right w:val="none" w:sz="0" w:space="0" w:color="auto"/>
              </w:divBdr>
            </w:div>
            <w:div w:id="623655389">
              <w:marLeft w:val="0"/>
              <w:marRight w:val="0"/>
              <w:marTop w:val="0"/>
              <w:marBottom w:val="0"/>
              <w:divBdr>
                <w:top w:val="none" w:sz="0" w:space="0" w:color="auto"/>
                <w:left w:val="none" w:sz="0" w:space="0" w:color="auto"/>
                <w:bottom w:val="none" w:sz="0" w:space="0" w:color="auto"/>
                <w:right w:val="none" w:sz="0" w:space="0" w:color="auto"/>
              </w:divBdr>
            </w:div>
            <w:div w:id="1834418827">
              <w:marLeft w:val="0"/>
              <w:marRight w:val="0"/>
              <w:marTop w:val="0"/>
              <w:marBottom w:val="0"/>
              <w:divBdr>
                <w:top w:val="none" w:sz="0" w:space="0" w:color="auto"/>
                <w:left w:val="none" w:sz="0" w:space="0" w:color="auto"/>
                <w:bottom w:val="none" w:sz="0" w:space="0" w:color="auto"/>
                <w:right w:val="none" w:sz="0" w:space="0" w:color="auto"/>
              </w:divBdr>
            </w:div>
            <w:div w:id="225576018">
              <w:marLeft w:val="0"/>
              <w:marRight w:val="0"/>
              <w:marTop w:val="0"/>
              <w:marBottom w:val="0"/>
              <w:divBdr>
                <w:top w:val="none" w:sz="0" w:space="0" w:color="auto"/>
                <w:left w:val="none" w:sz="0" w:space="0" w:color="auto"/>
                <w:bottom w:val="none" w:sz="0" w:space="0" w:color="auto"/>
                <w:right w:val="none" w:sz="0" w:space="0" w:color="auto"/>
              </w:divBdr>
            </w:div>
            <w:div w:id="1146125656">
              <w:marLeft w:val="0"/>
              <w:marRight w:val="0"/>
              <w:marTop w:val="0"/>
              <w:marBottom w:val="0"/>
              <w:divBdr>
                <w:top w:val="none" w:sz="0" w:space="0" w:color="auto"/>
                <w:left w:val="none" w:sz="0" w:space="0" w:color="auto"/>
                <w:bottom w:val="none" w:sz="0" w:space="0" w:color="auto"/>
                <w:right w:val="none" w:sz="0" w:space="0" w:color="auto"/>
              </w:divBdr>
            </w:div>
            <w:div w:id="955261135">
              <w:marLeft w:val="0"/>
              <w:marRight w:val="0"/>
              <w:marTop w:val="0"/>
              <w:marBottom w:val="0"/>
              <w:divBdr>
                <w:top w:val="none" w:sz="0" w:space="0" w:color="auto"/>
                <w:left w:val="none" w:sz="0" w:space="0" w:color="auto"/>
                <w:bottom w:val="none" w:sz="0" w:space="0" w:color="auto"/>
                <w:right w:val="none" w:sz="0" w:space="0" w:color="auto"/>
              </w:divBdr>
            </w:div>
            <w:div w:id="759104547">
              <w:marLeft w:val="0"/>
              <w:marRight w:val="0"/>
              <w:marTop w:val="0"/>
              <w:marBottom w:val="0"/>
              <w:divBdr>
                <w:top w:val="none" w:sz="0" w:space="0" w:color="auto"/>
                <w:left w:val="none" w:sz="0" w:space="0" w:color="auto"/>
                <w:bottom w:val="none" w:sz="0" w:space="0" w:color="auto"/>
                <w:right w:val="none" w:sz="0" w:space="0" w:color="auto"/>
              </w:divBdr>
            </w:div>
            <w:div w:id="855114754">
              <w:marLeft w:val="0"/>
              <w:marRight w:val="0"/>
              <w:marTop w:val="0"/>
              <w:marBottom w:val="0"/>
              <w:divBdr>
                <w:top w:val="none" w:sz="0" w:space="0" w:color="auto"/>
                <w:left w:val="none" w:sz="0" w:space="0" w:color="auto"/>
                <w:bottom w:val="none" w:sz="0" w:space="0" w:color="auto"/>
                <w:right w:val="none" w:sz="0" w:space="0" w:color="auto"/>
              </w:divBdr>
            </w:div>
            <w:div w:id="1460610754">
              <w:marLeft w:val="0"/>
              <w:marRight w:val="0"/>
              <w:marTop w:val="0"/>
              <w:marBottom w:val="0"/>
              <w:divBdr>
                <w:top w:val="none" w:sz="0" w:space="0" w:color="auto"/>
                <w:left w:val="none" w:sz="0" w:space="0" w:color="auto"/>
                <w:bottom w:val="none" w:sz="0" w:space="0" w:color="auto"/>
                <w:right w:val="none" w:sz="0" w:space="0" w:color="auto"/>
              </w:divBdr>
            </w:div>
            <w:div w:id="2087876298">
              <w:marLeft w:val="0"/>
              <w:marRight w:val="0"/>
              <w:marTop w:val="0"/>
              <w:marBottom w:val="0"/>
              <w:divBdr>
                <w:top w:val="none" w:sz="0" w:space="0" w:color="auto"/>
                <w:left w:val="none" w:sz="0" w:space="0" w:color="auto"/>
                <w:bottom w:val="none" w:sz="0" w:space="0" w:color="auto"/>
                <w:right w:val="none" w:sz="0" w:space="0" w:color="auto"/>
              </w:divBdr>
            </w:div>
            <w:div w:id="1533224293">
              <w:marLeft w:val="0"/>
              <w:marRight w:val="0"/>
              <w:marTop w:val="0"/>
              <w:marBottom w:val="0"/>
              <w:divBdr>
                <w:top w:val="none" w:sz="0" w:space="0" w:color="auto"/>
                <w:left w:val="none" w:sz="0" w:space="0" w:color="auto"/>
                <w:bottom w:val="none" w:sz="0" w:space="0" w:color="auto"/>
                <w:right w:val="none" w:sz="0" w:space="0" w:color="auto"/>
              </w:divBdr>
            </w:div>
            <w:div w:id="690306548">
              <w:marLeft w:val="0"/>
              <w:marRight w:val="0"/>
              <w:marTop w:val="0"/>
              <w:marBottom w:val="0"/>
              <w:divBdr>
                <w:top w:val="none" w:sz="0" w:space="0" w:color="auto"/>
                <w:left w:val="none" w:sz="0" w:space="0" w:color="auto"/>
                <w:bottom w:val="none" w:sz="0" w:space="0" w:color="auto"/>
                <w:right w:val="none" w:sz="0" w:space="0" w:color="auto"/>
              </w:divBdr>
            </w:div>
            <w:div w:id="1304308361">
              <w:marLeft w:val="0"/>
              <w:marRight w:val="0"/>
              <w:marTop w:val="0"/>
              <w:marBottom w:val="0"/>
              <w:divBdr>
                <w:top w:val="none" w:sz="0" w:space="0" w:color="auto"/>
                <w:left w:val="none" w:sz="0" w:space="0" w:color="auto"/>
                <w:bottom w:val="none" w:sz="0" w:space="0" w:color="auto"/>
                <w:right w:val="none" w:sz="0" w:space="0" w:color="auto"/>
              </w:divBdr>
            </w:div>
            <w:div w:id="1503550753">
              <w:marLeft w:val="0"/>
              <w:marRight w:val="0"/>
              <w:marTop w:val="0"/>
              <w:marBottom w:val="0"/>
              <w:divBdr>
                <w:top w:val="none" w:sz="0" w:space="0" w:color="auto"/>
                <w:left w:val="none" w:sz="0" w:space="0" w:color="auto"/>
                <w:bottom w:val="none" w:sz="0" w:space="0" w:color="auto"/>
                <w:right w:val="none" w:sz="0" w:space="0" w:color="auto"/>
              </w:divBdr>
            </w:div>
            <w:div w:id="1782873790">
              <w:marLeft w:val="0"/>
              <w:marRight w:val="0"/>
              <w:marTop w:val="0"/>
              <w:marBottom w:val="0"/>
              <w:divBdr>
                <w:top w:val="none" w:sz="0" w:space="0" w:color="auto"/>
                <w:left w:val="none" w:sz="0" w:space="0" w:color="auto"/>
                <w:bottom w:val="none" w:sz="0" w:space="0" w:color="auto"/>
                <w:right w:val="none" w:sz="0" w:space="0" w:color="auto"/>
              </w:divBdr>
            </w:div>
            <w:div w:id="1884441273">
              <w:marLeft w:val="0"/>
              <w:marRight w:val="0"/>
              <w:marTop w:val="0"/>
              <w:marBottom w:val="0"/>
              <w:divBdr>
                <w:top w:val="none" w:sz="0" w:space="0" w:color="auto"/>
                <w:left w:val="none" w:sz="0" w:space="0" w:color="auto"/>
                <w:bottom w:val="none" w:sz="0" w:space="0" w:color="auto"/>
                <w:right w:val="none" w:sz="0" w:space="0" w:color="auto"/>
              </w:divBdr>
            </w:div>
            <w:div w:id="762841032">
              <w:marLeft w:val="0"/>
              <w:marRight w:val="0"/>
              <w:marTop w:val="0"/>
              <w:marBottom w:val="0"/>
              <w:divBdr>
                <w:top w:val="none" w:sz="0" w:space="0" w:color="auto"/>
                <w:left w:val="none" w:sz="0" w:space="0" w:color="auto"/>
                <w:bottom w:val="none" w:sz="0" w:space="0" w:color="auto"/>
                <w:right w:val="none" w:sz="0" w:space="0" w:color="auto"/>
              </w:divBdr>
            </w:div>
            <w:div w:id="203951723">
              <w:marLeft w:val="0"/>
              <w:marRight w:val="0"/>
              <w:marTop w:val="0"/>
              <w:marBottom w:val="0"/>
              <w:divBdr>
                <w:top w:val="none" w:sz="0" w:space="0" w:color="auto"/>
                <w:left w:val="none" w:sz="0" w:space="0" w:color="auto"/>
                <w:bottom w:val="none" w:sz="0" w:space="0" w:color="auto"/>
                <w:right w:val="none" w:sz="0" w:space="0" w:color="auto"/>
              </w:divBdr>
            </w:div>
            <w:div w:id="648243347">
              <w:marLeft w:val="0"/>
              <w:marRight w:val="0"/>
              <w:marTop w:val="0"/>
              <w:marBottom w:val="0"/>
              <w:divBdr>
                <w:top w:val="none" w:sz="0" w:space="0" w:color="auto"/>
                <w:left w:val="none" w:sz="0" w:space="0" w:color="auto"/>
                <w:bottom w:val="none" w:sz="0" w:space="0" w:color="auto"/>
                <w:right w:val="none" w:sz="0" w:space="0" w:color="auto"/>
              </w:divBdr>
            </w:div>
            <w:div w:id="1803961942">
              <w:marLeft w:val="0"/>
              <w:marRight w:val="0"/>
              <w:marTop w:val="0"/>
              <w:marBottom w:val="0"/>
              <w:divBdr>
                <w:top w:val="none" w:sz="0" w:space="0" w:color="auto"/>
                <w:left w:val="none" w:sz="0" w:space="0" w:color="auto"/>
                <w:bottom w:val="none" w:sz="0" w:space="0" w:color="auto"/>
                <w:right w:val="none" w:sz="0" w:space="0" w:color="auto"/>
              </w:divBdr>
            </w:div>
            <w:div w:id="1777172388">
              <w:marLeft w:val="0"/>
              <w:marRight w:val="0"/>
              <w:marTop w:val="0"/>
              <w:marBottom w:val="0"/>
              <w:divBdr>
                <w:top w:val="none" w:sz="0" w:space="0" w:color="auto"/>
                <w:left w:val="none" w:sz="0" w:space="0" w:color="auto"/>
                <w:bottom w:val="none" w:sz="0" w:space="0" w:color="auto"/>
                <w:right w:val="none" w:sz="0" w:space="0" w:color="auto"/>
              </w:divBdr>
            </w:div>
            <w:div w:id="1620065217">
              <w:marLeft w:val="0"/>
              <w:marRight w:val="0"/>
              <w:marTop w:val="0"/>
              <w:marBottom w:val="0"/>
              <w:divBdr>
                <w:top w:val="none" w:sz="0" w:space="0" w:color="auto"/>
                <w:left w:val="none" w:sz="0" w:space="0" w:color="auto"/>
                <w:bottom w:val="none" w:sz="0" w:space="0" w:color="auto"/>
                <w:right w:val="none" w:sz="0" w:space="0" w:color="auto"/>
              </w:divBdr>
            </w:div>
            <w:div w:id="83305839">
              <w:marLeft w:val="0"/>
              <w:marRight w:val="0"/>
              <w:marTop w:val="0"/>
              <w:marBottom w:val="0"/>
              <w:divBdr>
                <w:top w:val="none" w:sz="0" w:space="0" w:color="auto"/>
                <w:left w:val="none" w:sz="0" w:space="0" w:color="auto"/>
                <w:bottom w:val="none" w:sz="0" w:space="0" w:color="auto"/>
                <w:right w:val="none" w:sz="0" w:space="0" w:color="auto"/>
              </w:divBdr>
            </w:div>
            <w:div w:id="361323249">
              <w:marLeft w:val="0"/>
              <w:marRight w:val="0"/>
              <w:marTop w:val="0"/>
              <w:marBottom w:val="0"/>
              <w:divBdr>
                <w:top w:val="none" w:sz="0" w:space="0" w:color="auto"/>
                <w:left w:val="none" w:sz="0" w:space="0" w:color="auto"/>
                <w:bottom w:val="none" w:sz="0" w:space="0" w:color="auto"/>
                <w:right w:val="none" w:sz="0" w:space="0" w:color="auto"/>
              </w:divBdr>
            </w:div>
            <w:div w:id="1982686336">
              <w:marLeft w:val="0"/>
              <w:marRight w:val="0"/>
              <w:marTop w:val="0"/>
              <w:marBottom w:val="0"/>
              <w:divBdr>
                <w:top w:val="none" w:sz="0" w:space="0" w:color="auto"/>
                <w:left w:val="none" w:sz="0" w:space="0" w:color="auto"/>
                <w:bottom w:val="none" w:sz="0" w:space="0" w:color="auto"/>
                <w:right w:val="none" w:sz="0" w:space="0" w:color="auto"/>
              </w:divBdr>
            </w:div>
            <w:div w:id="711075653">
              <w:marLeft w:val="0"/>
              <w:marRight w:val="0"/>
              <w:marTop w:val="0"/>
              <w:marBottom w:val="0"/>
              <w:divBdr>
                <w:top w:val="none" w:sz="0" w:space="0" w:color="auto"/>
                <w:left w:val="none" w:sz="0" w:space="0" w:color="auto"/>
                <w:bottom w:val="none" w:sz="0" w:space="0" w:color="auto"/>
                <w:right w:val="none" w:sz="0" w:space="0" w:color="auto"/>
              </w:divBdr>
            </w:div>
            <w:div w:id="501820476">
              <w:marLeft w:val="0"/>
              <w:marRight w:val="0"/>
              <w:marTop w:val="0"/>
              <w:marBottom w:val="0"/>
              <w:divBdr>
                <w:top w:val="none" w:sz="0" w:space="0" w:color="auto"/>
                <w:left w:val="none" w:sz="0" w:space="0" w:color="auto"/>
                <w:bottom w:val="none" w:sz="0" w:space="0" w:color="auto"/>
                <w:right w:val="none" w:sz="0" w:space="0" w:color="auto"/>
              </w:divBdr>
            </w:div>
            <w:div w:id="450704529">
              <w:marLeft w:val="0"/>
              <w:marRight w:val="0"/>
              <w:marTop w:val="0"/>
              <w:marBottom w:val="0"/>
              <w:divBdr>
                <w:top w:val="none" w:sz="0" w:space="0" w:color="auto"/>
                <w:left w:val="none" w:sz="0" w:space="0" w:color="auto"/>
                <w:bottom w:val="none" w:sz="0" w:space="0" w:color="auto"/>
                <w:right w:val="none" w:sz="0" w:space="0" w:color="auto"/>
              </w:divBdr>
            </w:div>
            <w:div w:id="1074476998">
              <w:marLeft w:val="0"/>
              <w:marRight w:val="0"/>
              <w:marTop w:val="0"/>
              <w:marBottom w:val="0"/>
              <w:divBdr>
                <w:top w:val="none" w:sz="0" w:space="0" w:color="auto"/>
                <w:left w:val="none" w:sz="0" w:space="0" w:color="auto"/>
                <w:bottom w:val="none" w:sz="0" w:space="0" w:color="auto"/>
                <w:right w:val="none" w:sz="0" w:space="0" w:color="auto"/>
              </w:divBdr>
            </w:div>
            <w:div w:id="1085224269">
              <w:marLeft w:val="0"/>
              <w:marRight w:val="0"/>
              <w:marTop w:val="0"/>
              <w:marBottom w:val="0"/>
              <w:divBdr>
                <w:top w:val="none" w:sz="0" w:space="0" w:color="auto"/>
                <w:left w:val="none" w:sz="0" w:space="0" w:color="auto"/>
                <w:bottom w:val="none" w:sz="0" w:space="0" w:color="auto"/>
                <w:right w:val="none" w:sz="0" w:space="0" w:color="auto"/>
              </w:divBdr>
            </w:div>
            <w:div w:id="1501313261">
              <w:marLeft w:val="0"/>
              <w:marRight w:val="0"/>
              <w:marTop w:val="0"/>
              <w:marBottom w:val="0"/>
              <w:divBdr>
                <w:top w:val="none" w:sz="0" w:space="0" w:color="auto"/>
                <w:left w:val="none" w:sz="0" w:space="0" w:color="auto"/>
                <w:bottom w:val="none" w:sz="0" w:space="0" w:color="auto"/>
                <w:right w:val="none" w:sz="0" w:space="0" w:color="auto"/>
              </w:divBdr>
            </w:div>
            <w:div w:id="1983533409">
              <w:marLeft w:val="0"/>
              <w:marRight w:val="0"/>
              <w:marTop w:val="0"/>
              <w:marBottom w:val="0"/>
              <w:divBdr>
                <w:top w:val="none" w:sz="0" w:space="0" w:color="auto"/>
                <w:left w:val="none" w:sz="0" w:space="0" w:color="auto"/>
                <w:bottom w:val="none" w:sz="0" w:space="0" w:color="auto"/>
                <w:right w:val="none" w:sz="0" w:space="0" w:color="auto"/>
              </w:divBdr>
            </w:div>
            <w:div w:id="406848536">
              <w:marLeft w:val="0"/>
              <w:marRight w:val="0"/>
              <w:marTop w:val="0"/>
              <w:marBottom w:val="0"/>
              <w:divBdr>
                <w:top w:val="none" w:sz="0" w:space="0" w:color="auto"/>
                <w:left w:val="none" w:sz="0" w:space="0" w:color="auto"/>
                <w:bottom w:val="none" w:sz="0" w:space="0" w:color="auto"/>
                <w:right w:val="none" w:sz="0" w:space="0" w:color="auto"/>
              </w:divBdr>
            </w:div>
            <w:div w:id="170949332">
              <w:marLeft w:val="0"/>
              <w:marRight w:val="0"/>
              <w:marTop w:val="0"/>
              <w:marBottom w:val="0"/>
              <w:divBdr>
                <w:top w:val="none" w:sz="0" w:space="0" w:color="auto"/>
                <w:left w:val="none" w:sz="0" w:space="0" w:color="auto"/>
                <w:bottom w:val="none" w:sz="0" w:space="0" w:color="auto"/>
                <w:right w:val="none" w:sz="0" w:space="0" w:color="auto"/>
              </w:divBdr>
            </w:div>
            <w:div w:id="1013873182">
              <w:marLeft w:val="0"/>
              <w:marRight w:val="0"/>
              <w:marTop w:val="0"/>
              <w:marBottom w:val="0"/>
              <w:divBdr>
                <w:top w:val="none" w:sz="0" w:space="0" w:color="auto"/>
                <w:left w:val="none" w:sz="0" w:space="0" w:color="auto"/>
                <w:bottom w:val="none" w:sz="0" w:space="0" w:color="auto"/>
                <w:right w:val="none" w:sz="0" w:space="0" w:color="auto"/>
              </w:divBdr>
            </w:div>
            <w:div w:id="2137916860">
              <w:marLeft w:val="0"/>
              <w:marRight w:val="0"/>
              <w:marTop w:val="0"/>
              <w:marBottom w:val="0"/>
              <w:divBdr>
                <w:top w:val="none" w:sz="0" w:space="0" w:color="auto"/>
                <w:left w:val="none" w:sz="0" w:space="0" w:color="auto"/>
                <w:bottom w:val="none" w:sz="0" w:space="0" w:color="auto"/>
                <w:right w:val="none" w:sz="0" w:space="0" w:color="auto"/>
              </w:divBdr>
            </w:div>
            <w:div w:id="275256826">
              <w:marLeft w:val="0"/>
              <w:marRight w:val="0"/>
              <w:marTop w:val="0"/>
              <w:marBottom w:val="0"/>
              <w:divBdr>
                <w:top w:val="none" w:sz="0" w:space="0" w:color="auto"/>
                <w:left w:val="none" w:sz="0" w:space="0" w:color="auto"/>
                <w:bottom w:val="none" w:sz="0" w:space="0" w:color="auto"/>
                <w:right w:val="none" w:sz="0" w:space="0" w:color="auto"/>
              </w:divBdr>
            </w:div>
            <w:div w:id="924263582">
              <w:marLeft w:val="0"/>
              <w:marRight w:val="0"/>
              <w:marTop w:val="0"/>
              <w:marBottom w:val="0"/>
              <w:divBdr>
                <w:top w:val="none" w:sz="0" w:space="0" w:color="auto"/>
                <w:left w:val="none" w:sz="0" w:space="0" w:color="auto"/>
                <w:bottom w:val="none" w:sz="0" w:space="0" w:color="auto"/>
                <w:right w:val="none" w:sz="0" w:space="0" w:color="auto"/>
              </w:divBdr>
            </w:div>
            <w:div w:id="1241256161">
              <w:marLeft w:val="0"/>
              <w:marRight w:val="0"/>
              <w:marTop w:val="0"/>
              <w:marBottom w:val="0"/>
              <w:divBdr>
                <w:top w:val="none" w:sz="0" w:space="0" w:color="auto"/>
                <w:left w:val="none" w:sz="0" w:space="0" w:color="auto"/>
                <w:bottom w:val="none" w:sz="0" w:space="0" w:color="auto"/>
                <w:right w:val="none" w:sz="0" w:space="0" w:color="auto"/>
              </w:divBdr>
            </w:div>
            <w:div w:id="168911032">
              <w:marLeft w:val="0"/>
              <w:marRight w:val="0"/>
              <w:marTop w:val="0"/>
              <w:marBottom w:val="0"/>
              <w:divBdr>
                <w:top w:val="none" w:sz="0" w:space="0" w:color="auto"/>
                <w:left w:val="none" w:sz="0" w:space="0" w:color="auto"/>
                <w:bottom w:val="none" w:sz="0" w:space="0" w:color="auto"/>
                <w:right w:val="none" w:sz="0" w:space="0" w:color="auto"/>
              </w:divBdr>
            </w:div>
            <w:div w:id="316958704">
              <w:marLeft w:val="0"/>
              <w:marRight w:val="0"/>
              <w:marTop w:val="0"/>
              <w:marBottom w:val="0"/>
              <w:divBdr>
                <w:top w:val="none" w:sz="0" w:space="0" w:color="auto"/>
                <w:left w:val="none" w:sz="0" w:space="0" w:color="auto"/>
                <w:bottom w:val="none" w:sz="0" w:space="0" w:color="auto"/>
                <w:right w:val="none" w:sz="0" w:space="0" w:color="auto"/>
              </w:divBdr>
            </w:div>
            <w:div w:id="264116803">
              <w:marLeft w:val="0"/>
              <w:marRight w:val="0"/>
              <w:marTop w:val="0"/>
              <w:marBottom w:val="0"/>
              <w:divBdr>
                <w:top w:val="none" w:sz="0" w:space="0" w:color="auto"/>
                <w:left w:val="none" w:sz="0" w:space="0" w:color="auto"/>
                <w:bottom w:val="none" w:sz="0" w:space="0" w:color="auto"/>
                <w:right w:val="none" w:sz="0" w:space="0" w:color="auto"/>
              </w:divBdr>
            </w:div>
            <w:div w:id="366564056">
              <w:marLeft w:val="0"/>
              <w:marRight w:val="0"/>
              <w:marTop w:val="0"/>
              <w:marBottom w:val="0"/>
              <w:divBdr>
                <w:top w:val="none" w:sz="0" w:space="0" w:color="auto"/>
                <w:left w:val="none" w:sz="0" w:space="0" w:color="auto"/>
                <w:bottom w:val="none" w:sz="0" w:space="0" w:color="auto"/>
                <w:right w:val="none" w:sz="0" w:space="0" w:color="auto"/>
              </w:divBdr>
            </w:div>
            <w:div w:id="1501461732">
              <w:marLeft w:val="0"/>
              <w:marRight w:val="0"/>
              <w:marTop w:val="0"/>
              <w:marBottom w:val="0"/>
              <w:divBdr>
                <w:top w:val="none" w:sz="0" w:space="0" w:color="auto"/>
                <w:left w:val="none" w:sz="0" w:space="0" w:color="auto"/>
                <w:bottom w:val="none" w:sz="0" w:space="0" w:color="auto"/>
                <w:right w:val="none" w:sz="0" w:space="0" w:color="auto"/>
              </w:divBdr>
            </w:div>
            <w:div w:id="1825126009">
              <w:marLeft w:val="0"/>
              <w:marRight w:val="0"/>
              <w:marTop w:val="0"/>
              <w:marBottom w:val="0"/>
              <w:divBdr>
                <w:top w:val="none" w:sz="0" w:space="0" w:color="auto"/>
                <w:left w:val="none" w:sz="0" w:space="0" w:color="auto"/>
                <w:bottom w:val="none" w:sz="0" w:space="0" w:color="auto"/>
                <w:right w:val="none" w:sz="0" w:space="0" w:color="auto"/>
              </w:divBdr>
            </w:div>
            <w:div w:id="1243638460">
              <w:marLeft w:val="0"/>
              <w:marRight w:val="0"/>
              <w:marTop w:val="0"/>
              <w:marBottom w:val="0"/>
              <w:divBdr>
                <w:top w:val="none" w:sz="0" w:space="0" w:color="auto"/>
                <w:left w:val="none" w:sz="0" w:space="0" w:color="auto"/>
                <w:bottom w:val="none" w:sz="0" w:space="0" w:color="auto"/>
                <w:right w:val="none" w:sz="0" w:space="0" w:color="auto"/>
              </w:divBdr>
            </w:div>
            <w:div w:id="1444379103">
              <w:marLeft w:val="0"/>
              <w:marRight w:val="0"/>
              <w:marTop w:val="0"/>
              <w:marBottom w:val="0"/>
              <w:divBdr>
                <w:top w:val="none" w:sz="0" w:space="0" w:color="auto"/>
                <w:left w:val="none" w:sz="0" w:space="0" w:color="auto"/>
                <w:bottom w:val="none" w:sz="0" w:space="0" w:color="auto"/>
                <w:right w:val="none" w:sz="0" w:space="0" w:color="auto"/>
              </w:divBdr>
            </w:div>
            <w:div w:id="287591183">
              <w:marLeft w:val="0"/>
              <w:marRight w:val="0"/>
              <w:marTop w:val="0"/>
              <w:marBottom w:val="0"/>
              <w:divBdr>
                <w:top w:val="none" w:sz="0" w:space="0" w:color="auto"/>
                <w:left w:val="none" w:sz="0" w:space="0" w:color="auto"/>
                <w:bottom w:val="none" w:sz="0" w:space="0" w:color="auto"/>
                <w:right w:val="none" w:sz="0" w:space="0" w:color="auto"/>
              </w:divBdr>
            </w:div>
            <w:div w:id="389886644">
              <w:marLeft w:val="0"/>
              <w:marRight w:val="0"/>
              <w:marTop w:val="0"/>
              <w:marBottom w:val="0"/>
              <w:divBdr>
                <w:top w:val="none" w:sz="0" w:space="0" w:color="auto"/>
                <w:left w:val="none" w:sz="0" w:space="0" w:color="auto"/>
                <w:bottom w:val="none" w:sz="0" w:space="0" w:color="auto"/>
                <w:right w:val="none" w:sz="0" w:space="0" w:color="auto"/>
              </w:divBdr>
            </w:div>
            <w:div w:id="1039356066">
              <w:marLeft w:val="0"/>
              <w:marRight w:val="0"/>
              <w:marTop w:val="0"/>
              <w:marBottom w:val="0"/>
              <w:divBdr>
                <w:top w:val="none" w:sz="0" w:space="0" w:color="auto"/>
                <w:left w:val="none" w:sz="0" w:space="0" w:color="auto"/>
                <w:bottom w:val="none" w:sz="0" w:space="0" w:color="auto"/>
                <w:right w:val="none" w:sz="0" w:space="0" w:color="auto"/>
              </w:divBdr>
            </w:div>
            <w:div w:id="33696090">
              <w:marLeft w:val="0"/>
              <w:marRight w:val="0"/>
              <w:marTop w:val="0"/>
              <w:marBottom w:val="0"/>
              <w:divBdr>
                <w:top w:val="none" w:sz="0" w:space="0" w:color="auto"/>
                <w:left w:val="none" w:sz="0" w:space="0" w:color="auto"/>
                <w:bottom w:val="none" w:sz="0" w:space="0" w:color="auto"/>
                <w:right w:val="none" w:sz="0" w:space="0" w:color="auto"/>
              </w:divBdr>
            </w:div>
            <w:div w:id="1847283549">
              <w:marLeft w:val="0"/>
              <w:marRight w:val="0"/>
              <w:marTop w:val="0"/>
              <w:marBottom w:val="0"/>
              <w:divBdr>
                <w:top w:val="none" w:sz="0" w:space="0" w:color="auto"/>
                <w:left w:val="none" w:sz="0" w:space="0" w:color="auto"/>
                <w:bottom w:val="none" w:sz="0" w:space="0" w:color="auto"/>
                <w:right w:val="none" w:sz="0" w:space="0" w:color="auto"/>
              </w:divBdr>
            </w:div>
            <w:div w:id="931857061">
              <w:marLeft w:val="0"/>
              <w:marRight w:val="0"/>
              <w:marTop w:val="0"/>
              <w:marBottom w:val="0"/>
              <w:divBdr>
                <w:top w:val="none" w:sz="0" w:space="0" w:color="auto"/>
                <w:left w:val="none" w:sz="0" w:space="0" w:color="auto"/>
                <w:bottom w:val="none" w:sz="0" w:space="0" w:color="auto"/>
                <w:right w:val="none" w:sz="0" w:space="0" w:color="auto"/>
              </w:divBdr>
            </w:div>
            <w:div w:id="1824422603">
              <w:marLeft w:val="0"/>
              <w:marRight w:val="0"/>
              <w:marTop w:val="0"/>
              <w:marBottom w:val="0"/>
              <w:divBdr>
                <w:top w:val="none" w:sz="0" w:space="0" w:color="auto"/>
                <w:left w:val="none" w:sz="0" w:space="0" w:color="auto"/>
                <w:bottom w:val="none" w:sz="0" w:space="0" w:color="auto"/>
                <w:right w:val="none" w:sz="0" w:space="0" w:color="auto"/>
              </w:divBdr>
            </w:div>
            <w:div w:id="1469014848">
              <w:marLeft w:val="0"/>
              <w:marRight w:val="0"/>
              <w:marTop w:val="0"/>
              <w:marBottom w:val="0"/>
              <w:divBdr>
                <w:top w:val="none" w:sz="0" w:space="0" w:color="auto"/>
                <w:left w:val="none" w:sz="0" w:space="0" w:color="auto"/>
                <w:bottom w:val="none" w:sz="0" w:space="0" w:color="auto"/>
                <w:right w:val="none" w:sz="0" w:space="0" w:color="auto"/>
              </w:divBdr>
            </w:div>
            <w:div w:id="633681477">
              <w:marLeft w:val="0"/>
              <w:marRight w:val="0"/>
              <w:marTop w:val="0"/>
              <w:marBottom w:val="0"/>
              <w:divBdr>
                <w:top w:val="none" w:sz="0" w:space="0" w:color="auto"/>
                <w:left w:val="none" w:sz="0" w:space="0" w:color="auto"/>
                <w:bottom w:val="none" w:sz="0" w:space="0" w:color="auto"/>
                <w:right w:val="none" w:sz="0" w:space="0" w:color="auto"/>
              </w:divBdr>
            </w:div>
            <w:div w:id="520440593">
              <w:marLeft w:val="0"/>
              <w:marRight w:val="0"/>
              <w:marTop w:val="0"/>
              <w:marBottom w:val="0"/>
              <w:divBdr>
                <w:top w:val="none" w:sz="0" w:space="0" w:color="auto"/>
                <w:left w:val="none" w:sz="0" w:space="0" w:color="auto"/>
                <w:bottom w:val="none" w:sz="0" w:space="0" w:color="auto"/>
                <w:right w:val="none" w:sz="0" w:space="0" w:color="auto"/>
              </w:divBdr>
            </w:div>
            <w:div w:id="1574855200">
              <w:marLeft w:val="0"/>
              <w:marRight w:val="0"/>
              <w:marTop w:val="0"/>
              <w:marBottom w:val="0"/>
              <w:divBdr>
                <w:top w:val="none" w:sz="0" w:space="0" w:color="auto"/>
                <w:left w:val="none" w:sz="0" w:space="0" w:color="auto"/>
                <w:bottom w:val="none" w:sz="0" w:space="0" w:color="auto"/>
                <w:right w:val="none" w:sz="0" w:space="0" w:color="auto"/>
              </w:divBdr>
            </w:div>
            <w:div w:id="194201703">
              <w:marLeft w:val="0"/>
              <w:marRight w:val="0"/>
              <w:marTop w:val="0"/>
              <w:marBottom w:val="0"/>
              <w:divBdr>
                <w:top w:val="none" w:sz="0" w:space="0" w:color="auto"/>
                <w:left w:val="none" w:sz="0" w:space="0" w:color="auto"/>
                <w:bottom w:val="none" w:sz="0" w:space="0" w:color="auto"/>
                <w:right w:val="none" w:sz="0" w:space="0" w:color="auto"/>
              </w:divBdr>
            </w:div>
            <w:div w:id="659191915">
              <w:marLeft w:val="0"/>
              <w:marRight w:val="0"/>
              <w:marTop w:val="0"/>
              <w:marBottom w:val="0"/>
              <w:divBdr>
                <w:top w:val="none" w:sz="0" w:space="0" w:color="auto"/>
                <w:left w:val="none" w:sz="0" w:space="0" w:color="auto"/>
                <w:bottom w:val="none" w:sz="0" w:space="0" w:color="auto"/>
                <w:right w:val="none" w:sz="0" w:space="0" w:color="auto"/>
              </w:divBdr>
            </w:div>
            <w:div w:id="1198277873">
              <w:marLeft w:val="0"/>
              <w:marRight w:val="0"/>
              <w:marTop w:val="0"/>
              <w:marBottom w:val="0"/>
              <w:divBdr>
                <w:top w:val="none" w:sz="0" w:space="0" w:color="auto"/>
                <w:left w:val="none" w:sz="0" w:space="0" w:color="auto"/>
                <w:bottom w:val="none" w:sz="0" w:space="0" w:color="auto"/>
                <w:right w:val="none" w:sz="0" w:space="0" w:color="auto"/>
              </w:divBdr>
            </w:div>
            <w:div w:id="1830709874">
              <w:marLeft w:val="0"/>
              <w:marRight w:val="0"/>
              <w:marTop w:val="0"/>
              <w:marBottom w:val="0"/>
              <w:divBdr>
                <w:top w:val="none" w:sz="0" w:space="0" w:color="auto"/>
                <w:left w:val="none" w:sz="0" w:space="0" w:color="auto"/>
                <w:bottom w:val="none" w:sz="0" w:space="0" w:color="auto"/>
                <w:right w:val="none" w:sz="0" w:space="0" w:color="auto"/>
              </w:divBdr>
            </w:div>
            <w:div w:id="788478386">
              <w:marLeft w:val="0"/>
              <w:marRight w:val="0"/>
              <w:marTop w:val="0"/>
              <w:marBottom w:val="0"/>
              <w:divBdr>
                <w:top w:val="none" w:sz="0" w:space="0" w:color="auto"/>
                <w:left w:val="none" w:sz="0" w:space="0" w:color="auto"/>
                <w:bottom w:val="none" w:sz="0" w:space="0" w:color="auto"/>
                <w:right w:val="none" w:sz="0" w:space="0" w:color="auto"/>
              </w:divBdr>
            </w:div>
            <w:div w:id="135880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942711">
      <w:bodyDiv w:val="1"/>
      <w:marLeft w:val="0"/>
      <w:marRight w:val="0"/>
      <w:marTop w:val="0"/>
      <w:marBottom w:val="0"/>
      <w:divBdr>
        <w:top w:val="none" w:sz="0" w:space="0" w:color="auto"/>
        <w:left w:val="none" w:sz="0" w:space="0" w:color="auto"/>
        <w:bottom w:val="none" w:sz="0" w:space="0" w:color="auto"/>
        <w:right w:val="none" w:sz="0" w:space="0" w:color="auto"/>
      </w:divBdr>
    </w:div>
    <w:div w:id="1666278195">
      <w:bodyDiv w:val="1"/>
      <w:marLeft w:val="0"/>
      <w:marRight w:val="0"/>
      <w:marTop w:val="0"/>
      <w:marBottom w:val="0"/>
      <w:divBdr>
        <w:top w:val="none" w:sz="0" w:space="0" w:color="auto"/>
        <w:left w:val="none" w:sz="0" w:space="0" w:color="auto"/>
        <w:bottom w:val="none" w:sz="0" w:space="0" w:color="auto"/>
        <w:right w:val="none" w:sz="0" w:space="0" w:color="auto"/>
      </w:divBdr>
      <w:divsChild>
        <w:div w:id="1096293407">
          <w:marLeft w:val="480"/>
          <w:marRight w:val="0"/>
          <w:marTop w:val="0"/>
          <w:marBottom w:val="0"/>
          <w:divBdr>
            <w:top w:val="none" w:sz="0" w:space="0" w:color="auto"/>
            <w:left w:val="none" w:sz="0" w:space="0" w:color="auto"/>
            <w:bottom w:val="none" w:sz="0" w:space="0" w:color="auto"/>
            <w:right w:val="none" w:sz="0" w:space="0" w:color="auto"/>
          </w:divBdr>
          <w:divsChild>
            <w:div w:id="871725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4911265">
      <w:bodyDiv w:val="1"/>
      <w:marLeft w:val="0"/>
      <w:marRight w:val="0"/>
      <w:marTop w:val="0"/>
      <w:marBottom w:val="0"/>
      <w:divBdr>
        <w:top w:val="none" w:sz="0" w:space="0" w:color="auto"/>
        <w:left w:val="none" w:sz="0" w:space="0" w:color="auto"/>
        <w:bottom w:val="none" w:sz="0" w:space="0" w:color="auto"/>
        <w:right w:val="none" w:sz="0" w:space="0" w:color="auto"/>
      </w:divBdr>
      <w:divsChild>
        <w:div w:id="281494599">
          <w:marLeft w:val="480"/>
          <w:marRight w:val="0"/>
          <w:marTop w:val="0"/>
          <w:marBottom w:val="0"/>
          <w:divBdr>
            <w:top w:val="none" w:sz="0" w:space="0" w:color="auto"/>
            <w:left w:val="none" w:sz="0" w:space="0" w:color="auto"/>
            <w:bottom w:val="none" w:sz="0" w:space="0" w:color="auto"/>
            <w:right w:val="none" w:sz="0" w:space="0" w:color="auto"/>
          </w:divBdr>
          <w:divsChild>
            <w:div w:id="1711374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2332719">
      <w:bodyDiv w:val="1"/>
      <w:marLeft w:val="0"/>
      <w:marRight w:val="0"/>
      <w:marTop w:val="0"/>
      <w:marBottom w:val="0"/>
      <w:divBdr>
        <w:top w:val="none" w:sz="0" w:space="0" w:color="auto"/>
        <w:left w:val="none" w:sz="0" w:space="0" w:color="auto"/>
        <w:bottom w:val="none" w:sz="0" w:space="0" w:color="auto"/>
        <w:right w:val="none" w:sz="0" w:space="0" w:color="auto"/>
      </w:divBdr>
    </w:div>
    <w:div w:id="1956715318">
      <w:bodyDiv w:val="1"/>
      <w:marLeft w:val="0"/>
      <w:marRight w:val="0"/>
      <w:marTop w:val="0"/>
      <w:marBottom w:val="0"/>
      <w:divBdr>
        <w:top w:val="none" w:sz="0" w:space="0" w:color="auto"/>
        <w:left w:val="none" w:sz="0" w:space="0" w:color="auto"/>
        <w:bottom w:val="none" w:sz="0" w:space="0" w:color="auto"/>
        <w:right w:val="none" w:sz="0" w:space="0" w:color="auto"/>
      </w:divBdr>
      <w:divsChild>
        <w:div w:id="540436804">
          <w:marLeft w:val="480"/>
          <w:marRight w:val="0"/>
          <w:marTop w:val="0"/>
          <w:marBottom w:val="0"/>
          <w:divBdr>
            <w:top w:val="none" w:sz="0" w:space="0" w:color="auto"/>
            <w:left w:val="none" w:sz="0" w:space="0" w:color="auto"/>
            <w:bottom w:val="none" w:sz="0" w:space="0" w:color="auto"/>
            <w:right w:val="none" w:sz="0" w:space="0" w:color="auto"/>
          </w:divBdr>
          <w:divsChild>
            <w:div w:id="1016880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8459969">
      <w:bodyDiv w:val="1"/>
      <w:marLeft w:val="0"/>
      <w:marRight w:val="0"/>
      <w:marTop w:val="0"/>
      <w:marBottom w:val="0"/>
      <w:divBdr>
        <w:top w:val="none" w:sz="0" w:space="0" w:color="auto"/>
        <w:left w:val="none" w:sz="0" w:space="0" w:color="auto"/>
        <w:bottom w:val="none" w:sz="0" w:space="0" w:color="auto"/>
        <w:right w:val="none" w:sz="0" w:space="0" w:color="auto"/>
      </w:divBdr>
    </w:div>
    <w:div w:id="2056005961">
      <w:bodyDiv w:val="1"/>
      <w:marLeft w:val="0"/>
      <w:marRight w:val="0"/>
      <w:marTop w:val="0"/>
      <w:marBottom w:val="0"/>
      <w:divBdr>
        <w:top w:val="none" w:sz="0" w:space="0" w:color="auto"/>
        <w:left w:val="none" w:sz="0" w:space="0" w:color="auto"/>
        <w:bottom w:val="none" w:sz="0" w:space="0" w:color="auto"/>
        <w:right w:val="none" w:sz="0" w:space="0" w:color="auto"/>
      </w:divBdr>
    </w:div>
    <w:div w:id="2058505653">
      <w:bodyDiv w:val="1"/>
      <w:marLeft w:val="0"/>
      <w:marRight w:val="0"/>
      <w:marTop w:val="0"/>
      <w:marBottom w:val="0"/>
      <w:divBdr>
        <w:top w:val="none" w:sz="0" w:space="0" w:color="auto"/>
        <w:left w:val="none" w:sz="0" w:space="0" w:color="auto"/>
        <w:bottom w:val="none" w:sz="0" w:space="0" w:color="auto"/>
        <w:right w:val="none" w:sz="0" w:space="0" w:color="auto"/>
      </w:divBdr>
      <w:divsChild>
        <w:div w:id="803742939">
          <w:marLeft w:val="480"/>
          <w:marRight w:val="0"/>
          <w:marTop w:val="0"/>
          <w:marBottom w:val="0"/>
          <w:divBdr>
            <w:top w:val="none" w:sz="0" w:space="0" w:color="auto"/>
            <w:left w:val="none" w:sz="0" w:space="0" w:color="auto"/>
            <w:bottom w:val="none" w:sz="0" w:space="0" w:color="auto"/>
            <w:right w:val="none" w:sz="0" w:space="0" w:color="auto"/>
          </w:divBdr>
          <w:divsChild>
            <w:div w:id="652107608">
              <w:marLeft w:val="0"/>
              <w:marRight w:val="0"/>
              <w:marTop w:val="0"/>
              <w:marBottom w:val="0"/>
              <w:divBdr>
                <w:top w:val="none" w:sz="0" w:space="0" w:color="auto"/>
                <w:left w:val="none" w:sz="0" w:space="0" w:color="auto"/>
                <w:bottom w:val="none" w:sz="0" w:space="0" w:color="auto"/>
                <w:right w:val="none" w:sz="0" w:space="0" w:color="auto"/>
              </w:divBdr>
            </w:div>
            <w:div w:id="1611619362">
              <w:marLeft w:val="0"/>
              <w:marRight w:val="0"/>
              <w:marTop w:val="0"/>
              <w:marBottom w:val="0"/>
              <w:divBdr>
                <w:top w:val="none" w:sz="0" w:space="0" w:color="auto"/>
                <w:left w:val="none" w:sz="0" w:space="0" w:color="auto"/>
                <w:bottom w:val="none" w:sz="0" w:space="0" w:color="auto"/>
                <w:right w:val="none" w:sz="0" w:space="0" w:color="auto"/>
              </w:divBdr>
            </w:div>
            <w:div w:id="416365463">
              <w:marLeft w:val="0"/>
              <w:marRight w:val="0"/>
              <w:marTop w:val="0"/>
              <w:marBottom w:val="0"/>
              <w:divBdr>
                <w:top w:val="none" w:sz="0" w:space="0" w:color="auto"/>
                <w:left w:val="none" w:sz="0" w:space="0" w:color="auto"/>
                <w:bottom w:val="none" w:sz="0" w:space="0" w:color="auto"/>
                <w:right w:val="none" w:sz="0" w:space="0" w:color="auto"/>
              </w:divBdr>
            </w:div>
            <w:div w:id="558052851">
              <w:marLeft w:val="0"/>
              <w:marRight w:val="0"/>
              <w:marTop w:val="0"/>
              <w:marBottom w:val="0"/>
              <w:divBdr>
                <w:top w:val="none" w:sz="0" w:space="0" w:color="auto"/>
                <w:left w:val="none" w:sz="0" w:space="0" w:color="auto"/>
                <w:bottom w:val="none" w:sz="0" w:space="0" w:color="auto"/>
                <w:right w:val="none" w:sz="0" w:space="0" w:color="auto"/>
              </w:divBdr>
            </w:div>
            <w:div w:id="1237981973">
              <w:marLeft w:val="0"/>
              <w:marRight w:val="0"/>
              <w:marTop w:val="0"/>
              <w:marBottom w:val="0"/>
              <w:divBdr>
                <w:top w:val="none" w:sz="0" w:space="0" w:color="auto"/>
                <w:left w:val="none" w:sz="0" w:space="0" w:color="auto"/>
                <w:bottom w:val="none" w:sz="0" w:space="0" w:color="auto"/>
                <w:right w:val="none" w:sz="0" w:space="0" w:color="auto"/>
              </w:divBdr>
            </w:div>
            <w:div w:id="739971">
              <w:marLeft w:val="0"/>
              <w:marRight w:val="0"/>
              <w:marTop w:val="0"/>
              <w:marBottom w:val="0"/>
              <w:divBdr>
                <w:top w:val="none" w:sz="0" w:space="0" w:color="auto"/>
                <w:left w:val="none" w:sz="0" w:space="0" w:color="auto"/>
                <w:bottom w:val="none" w:sz="0" w:space="0" w:color="auto"/>
                <w:right w:val="none" w:sz="0" w:space="0" w:color="auto"/>
              </w:divBdr>
            </w:div>
            <w:div w:id="334725064">
              <w:marLeft w:val="0"/>
              <w:marRight w:val="0"/>
              <w:marTop w:val="0"/>
              <w:marBottom w:val="0"/>
              <w:divBdr>
                <w:top w:val="none" w:sz="0" w:space="0" w:color="auto"/>
                <w:left w:val="none" w:sz="0" w:space="0" w:color="auto"/>
                <w:bottom w:val="none" w:sz="0" w:space="0" w:color="auto"/>
                <w:right w:val="none" w:sz="0" w:space="0" w:color="auto"/>
              </w:divBdr>
            </w:div>
            <w:div w:id="1538853188">
              <w:marLeft w:val="0"/>
              <w:marRight w:val="0"/>
              <w:marTop w:val="0"/>
              <w:marBottom w:val="0"/>
              <w:divBdr>
                <w:top w:val="none" w:sz="0" w:space="0" w:color="auto"/>
                <w:left w:val="none" w:sz="0" w:space="0" w:color="auto"/>
                <w:bottom w:val="none" w:sz="0" w:space="0" w:color="auto"/>
                <w:right w:val="none" w:sz="0" w:space="0" w:color="auto"/>
              </w:divBdr>
            </w:div>
            <w:div w:id="2104720170">
              <w:marLeft w:val="0"/>
              <w:marRight w:val="0"/>
              <w:marTop w:val="0"/>
              <w:marBottom w:val="0"/>
              <w:divBdr>
                <w:top w:val="none" w:sz="0" w:space="0" w:color="auto"/>
                <w:left w:val="none" w:sz="0" w:space="0" w:color="auto"/>
                <w:bottom w:val="none" w:sz="0" w:space="0" w:color="auto"/>
                <w:right w:val="none" w:sz="0" w:space="0" w:color="auto"/>
              </w:divBdr>
            </w:div>
            <w:div w:id="638803542">
              <w:marLeft w:val="0"/>
              <w:marRight w:val="0"/>
              <w:marTop w:val="0"/>
              <w:marBottom w:val="0"/>
              <w:divBdr>
                <w:top w:val="none" w:sz="0" w:space="0" w:color="auto"/>
                <w:left w:val="none" w:sz="0" w:space="0" w:color="auto"/>
                <w:bottom w:val="none" w:sz="0" w:space="0" w:color="auto"/>
                <w:right w:val="none" w:sz="0" w:space="0" w:color="auto"/>
              </w:divBdr>
            </w:div>
            <w:div w:id="1004168212">
              <w:marLeft w:val="0"/>
              <w:marRight w:val="0"/>
              <w:marTop w:val="0"/>
              <w:marBottom w:val="0"/>
              <w:divBdr>
                <w:top w:val="none" w:sz="0" w:space="0" w:color="auto"/>
                <w:left w:val="none" w:sz="0" w:space="0" w:color="auto"/>
                <w:bottom w:val="none" w:sz="0" w:space="0" w:color="auto"/>
                <w:right w:val="none" w:sz="0" w:space="0" w:color="auto"/>
              </w:divBdr>
            </w:div>
            <w:div w:id="2110154743">
              <w:marLeft w:val="0"/>
              <w:marRight w:val="0"/>
              <w:marTop w:val="0"/>
              <w:marBottom w:val="0"/>
              <w:divBdr>
                <w:top w:val="none" w:sz="0" w:space="0" w:color="auto"/>
                <w:left w:val="none" w:sz="0" w:space="0" w:color="auto"/>
                <w:bottom w:val="none" w:sz="0" w:space="0" w:color="auto"/>
                <w:right w:val="none" w:sz="0" w:space="0" w:color="auto"/>
              </w:divBdr>
            </w:div>
            <w:div w:id="457265747">
              <w:marLeft w:val="0"/>
              <w:marRight w:val="0"/>
              <w:marTop w:val="0"/>
              <w:marBottom w:val="0"/>
              <w:divBdr>
                <w:top w:val="none" w:sz="0" w:space="0" w:color="auto"/>
                <w:left w:val="none" w:sz="0" w:space="0" w:color="auto"/>
                <w:bottom w:val="none" w:sz="0" w:space="0" w:color="auto"/>
                <w:right w:val="none" w:sz="0" w:space="0" w:color="auto"/>
              </w:divBdr>
            </w:div>
            <w:div w:id="1472212183">
              <w:marLeft w:val="0"/>
              <w:marRight w:val="0"/>
              <w:marTop w:val="0"/>
              <w:marBottom w:val="0"/>
              <w:divBdr>
                <w:top w:val="none" w:sz="0" w:space="0" w:color="auto"/>
                <w:left w:val="none" w:sz="0" w:space="0" w:color="auto"/>
                <w:bottom w:val="none" w:sz="0" w:space="0" w:color="auto"/>
                <w:right w:val="none" w:sz="0" w:space="0" w:color="auto"/>
              </w:divBdr>
            </w:div>
            <w:div w:id="1043292198">
              <w:marLeft w:val="0"/>
              <w:marRight w:val="0"/>
              <w:marTop w:val="0"/>
              <w:marBottom w:val="0"/>
              <w:divBdr>
                <w:top w:val="none" w:sz="0" w:space="0" w:color="auto"/>
                <w:left w:val="none" w:sz="0" w:space="0" w:color="auto"/>
                <w:bottom w:val="none" w:sz="0" w:space="0" w:color="auto"/>
                <w:right w:val="none" w:sz="0" w:space="0" w:color="auto"/>
              </w:divBdr>
            </w:div>
            <w:div w:id="734472288">
              <w:marLeft w:val="0"/>
              <w:marRight w:val="0"/>
              <w:marTop w:val="0"/>
              <w:marBottom w:val="0"/>
              <w:divBdr>
                <w:top w:val="none" w:sz="0" w:space="0" w:color="auto"/>
                <w:left w:val="none" w:sz="0" w:space="0" w:color="auto"/>
                <w:bottom w:val="none" w:sz="0" w:space="0" w:color="auto"/>
                <w:right w:val="none" w:sz="0" w:space="0" w:color="auto"/>
              </w:divBdr>
            </w:div>
            <w:div w:id="2070833953">
              <w:marLeft w:val="0"/>
              <w:marRight w:val="0"/>
              <w:marTop w:val="0"/>
              <w:marBottom w:val="0"/>
              <w:divBdr>
                <w:top w:val="none" w:sz="0" w:space="0" w:color="auto"/>
                <w:left w:val="none" w:sz="0" w:space="0" w:color="auto"/>
                <w:bottom w:val="none" w:sz="0" w:space="0" w:color="auto"/>
                <w:right w:val="none" w:sz="0" w:space="0" w:color="auto"/>
              </w:divBdr>
            </w:div>
            <w:div w:id="2097170882">
              <w:marLeft w:val="0"/>
              <w:marRight w:val="0"/>
              <w:marTop w:val="0"/>
              <w:marBottom w:val="0"/>
              <w:divBdr>
                <w:top w:val="none" w:sz="0" w:space="0" w:color="auto"/>
                <w:left w:val="none" w:sz="0" w:space="0" w:color="auto"/>
                <w:bottom w:val="none" w:sz="0" w:space="0" w:color="auto"/>
                <w:right w:val="none" w:sz="0" w:space="0" w:color="auto"/>
              </w:divBdr>
            </w:div>
            <w:div w:id="658074871">
              <w:marLeft w:val="0"/>
              <w:marRight w:val="0"/>
              <w:marTop w:val="0"/>
              <w:marBottom w:val="0"/>
              <w:divBdr>
                <w:top w:val="none" w:sz="0" w:space="0" w:color="auto"/>
                <w:left w:val="none" w:sz="0" w:space="0" w:color="auto"/>
                <w:bottom w:val="none" w:sz="0" w:space="0" w:color="auto"/>
                <w:right w:val="none" w:sz="0" w:space="0" w:color="auto"/>
              </w:divBdr>
            </w:div>
            <w:div w:id="1442072543">
              <w:marLeft w:val="0"/>
              <w:marRight w:val="0"/>
              <w:marTop w:val="0"/>
              <w:marBottom w:val="0"/>
              <w:divBdr>
                <w:top w:val="none" w:sz="0" w:space="0" w:color="auto"/>
                <w:left w:val="none" w:sz="0" w:space="0" w:color="auto"/>
                <w:bottom w:val="none" w:sz="0" w:space="0" w:color="auto"/>
                <w:right w:val="none" w:sz="0" w:space="0" w:color="auto"/>
              </w:divBdr>
            </w:div>
            <w:div w:id="1701516028">
              <w:marLeft w:val="0"/>
              <w:marRight w:val="0"/>
              <w:marTop w:val="0"/>
              <w:marBottom w:val="0"/>
              <w:divBdr>
                <w:top w:val="none" w:sz="0" w:space="0" w:color="auto"/>
                <w:left w:val="none" w:sz="0" w:space="0" w:color="auto"/>
                <w:bottom w:val="none" w:sz="0" w:space="0" w:color="auto"/>
                <w:right w:val="none" w:sz="0" w:space="0" w:color="auto"/>
              </w:divBdr>
            </w:div>
            <w:div w:id="1776709342">
              <w:marLeft w:val="0"/>
              <w:marRight w:val="0"/>
              <w:marTop w:val="0"/>
              <w:marBottom w:val="0"/>
              <w:divBdr>
                <w:top w:val="none" w:sz="0" w:space="0" w:color="auto"/>
                <w:left w:val="none" w:sz="0" w:space="0" w:color="auto"/>
                <w:bottom w:val="none" w:sz="0" w:space="0" w:color="auto"/>
                <w:right w:val="none" w:sz="0" w:space="0" w:color="auto"/>
              </w:divBdr>
            </w:div>
            <w:div w:id="1756395233">
              <w:marLeft w:val="0"/>
              <w:marRight w:val="0"/>
              <w:marTop w:val="0"/>
              <w:marBottom w:val="0"/>
              <w:divBdr>
                <w:top w:val="none" w:sz="0" w:space="0" w:color="auto"/>
                <w:left w:val="none" w:sz="0" w:space="0" w:color="auto"/>
                <w:bottom w:val="none" w:sz="0" w:space="0" w:color="auto"/>
                <w:right w:val="none" w:sz="0" w:space="0" w:color="auto"/>
              </w:divBdr>
            </w:div>
            <w:div w:id="876435060">
              <w:marLeft w:val="0"/>
              <w:marRight w:val="0"/>
              <w:marTop w:val="0"/>
              <w:marBottom w:val="0"/>
              <w:divBdr>
                <w:top w:val="none" w:sz="0" w:space="0" w:color="auto"/>
                <w:left w:val="none" w:sz="0" w:space="0" w:color="auto"/>
                <w:bottom w:val="none" w:sz="0" w:space="0" w:color="auto"/>
                <w:right w:val="none" w:sz="0" w:space="0" w:color="auto"/>
              </w:divBdr>
            </w:div>
            <w:div w:id="915282960">
              <w:marLeft w:val="0"/>
              <w:marRight w:val="0"/>
              <w:marTop w:val="0"/>
              <w:marBottom w:val="0"/>
              <w:divBdr>
                <w:top w:val="none" w:sz="0" w:space="0" w:color="auto"/>
                <w:left w:val="none" w:sz="0" w:space="0" w:color="auto"/>
                <w:bottom w:val="none" w:sz="0" w:space="0" w:color="auto"/>
                <w:right w:val="none" w:sz="0" w:space="0" w:color="auto"/>
              </w:divBdr>
            </w:div>
            <w:div w:id="276721753">
              <w:marLeft w:val="0"/>
              <w:marRight w:val="0"/>
              <w:marTop w:val="0"/>
              <w:marBottom w:val="0"/>
              <w:divBdr>
                <w:top w:val="none" w:sz="0" w:space="0" w:color="auto"/>
                <w:left w:val="none" w:sz="0" w:space="0" w:color="auto"/>
                <w:bottom w:val="none" w:sz="0" w:space="0" w:color="auto"/>
                <w:right w:val="none" w:sz="0" w:space="0" w:color="auto"/>
              </w:divBdr>
            </w:div>
            <w:div w:id="1070734928">
              <w:marLeft w:val="0"/>
              <w:marRight w:val="0"/>
              <w:marTop w:val="0"/>
              <w:marBottom w:val="0"/>
              <w:divBdr>
                <w:top w:val="none" w:sz="0" w:space="0" w:color="auto"/>
                <w:left w:val="none" w:sz="0" w:space="0" w:color="auto"/>
                <w:bottom w:val="none" w:sz="0" w:space="0" w:color="auto"/>
                <w:right w:val="none" w:sz="0" w:space="0" w:color="auto"/>
              </w:divBdr>
            </w:div>
            <w:div w:id="1784105187">
              <w:marLeft w:val="0"/>
              <w:marRight w:val="0"/>
              <w:marTop w:val="0"/>
              <w:marBottom w:val="0"/>
              <w:divBdr>
                <w:top w:val="none" w:sz="0" w:space="0" w:color="auto"/>
                <w:left w:val="none" w:sz="0" w:space="0" w:color="auto"/>
                <w:bottom w:val="none" w:sz="0" w:space="0" w:color="auto"/>
                <w:right w:val="none" w:sz="0" w:space="0" w:color="auto"/>
              </w:divBdr>
            </w:div>
            <w:div w:id="1319571572">
              <w:marLeft w:val="0"/>
              <w:marRight w:val="0"/>
              <w:marTop w:val="0"/>
              <w:marBottom w:val="0"/>
              <w:divBdr>
                <w:top w:val="none" w:sz="0" w:space="0" w:color="auto"/>
                <w:left w:val="none" w:sz="0" w:space="0" w:color="auto"/>
                <w:bottom w:val="none" w:sz="0" w:space="0" w:color="auto"/>
                <w:right w:val="none" w:sz="0" w:space="0" w:color="auto"/>
              </w:divBdr>
            </w:div>
            <w:div w:id="1283220668">
              <w:marLeft w:val="0"/>
              <w:marRight w:val="0"/>
              <w:marTop w:val="0"/>
              <w:marBottom w:val="0"/>
              <w:divBdr>
                <w:top w:val="none" w:sz="0" w:space="0" w:color="auto"/>
                <w:left w:val="none" w:sz="0" w:space="0" w:color="auto"/>
                <w:bottom w:val="none" w:sz="0" w:space="0" w:color="auto"/>
                <w:right w:val="none" w:sz="0" w:space="0" w:color="auto"/>
              </w:divBdr>
            </w:div>
            <w:div w:id="802844620">
              <w:marLeft w:val="0"/>
              <w:marRight w:val="0"/>
              <w:marTop w:val="0"/>
              <w:marBottom w:val="0"/>
              <w:divBdr>
                <w:top w:val="none" w:sz="0" w:space="0" w:color="auto"/>
                <w:left w:val="none" w:sz="0" w:space="0" w:color="auto"/>
                <w:bottom w:val="none" w:sz="0" w:space="0" w:color="auto"/>
                <w:right w:val="none" w:sz="0" w:space="0" w:color="auto"/>
              </w:divBdr>
            </w:div>
            <w:div w:id="146749376">
              <w:marLeft w:val="0"/>
              <w:marRight w:val="0"/>
              <w:marTop w:val="0"/>
              <w:marBottom w:val="0"/>
              <w:divBdr>
                <w:top w:val="none" w:sz="0" w:space="0" w:color="auto"/>
                <w:left w:val="none" w:sz="0" w:space="0" w:color="auto"/>
                <w:bottom w:val="none" w:sz="0" w:space="0" w:color="auto"/>
                <w:right w:val="none" w:sz="0" w:space="0" w:color="auto"/>
              </w:divBdr>
            </w:div>
            <w:div w:id="1567034727">
              <w:marLeft w:val="0"/>
              <w:marRight w:val="0"/>
              <w:marTop w:val="0"/>
              <w:marBottom w:val="0"/>
              <w:divBdr>
                <w:top w:val="none" w:sz="0" w:space="0" w:color="auto"/>
                <w:left w:val="none" w:sz="0" w:space="0" w:color="auto"/>
                <w:bottom w:val="none" w:sz="0" w:space="0" w:color="auto"/>
                <w:right w:val="none" w:sz="0" w:space="0" w:color="auto"/>
              </w:divBdr>
            </w:div>
            <w:div w:id="1114714388">
              <w:marLeft w:val="0"/>
              <w:marRight w:val="0"/>
              <w:marTop w:val="0"/>
              <w:marBottom w:val="0"/>
              <w:divBdr>
                <w:top w:val="none" w:sz="0" w:space="0" w:color="auto"/>
                <w:left w:val="none" w:sz="0" w:space="0" w:color="auto"/>
                <w:bottom w:val="none" w:sz="0" w:space="0" w:color="auto"/>
                <w:right w:val="none" w:sz="0" w:space="0" w:color="auto"/>
              </w:divBdr>
            </w:div>
            <w:div w:id="1669672291">
              <w:marLeft w:val="0"/>
              <w:marRight w:val="0"/>
              <w:marTop w:val="0"/>
              <w:marBottom w:val="0"/>
              <w:divBdr>
                <w:top w:val="none" w:sz="0" w:space="0" w:color="auto"/>
                <w:left w:val="none" w:sz="0" w:space="0" w:color="auto"/>
                <w:bottom w:val="none" w:sz="0" w:space="0" w:color="auto"/>
                <w:right w:val="none" w:sz="0" w:space="0" w:color="auto"/>
              </w:divBdr>
            </w:div>
            <w:div w:id="842667580">
              <w:marLeft w:val="0"/>
              <w:marRight w:val="0"/>
              <w:marTop w:val="0"/>
              <w:marBottom w:val="0"/>
              <w:divBdr>
                <w:top w:val="none" w:sz="0" w:space="0" w:color="auto"/>
                <w:left w:val="none" w:sz="0" w:space="0" w:color="auto"/>
                <w:bottom w:val="none" w:sz="0" w:space="0" w:color="auto"/>
                <w:right w:val="none" w:sz="0" w:space="0" w:color="auto"/>
              </w:divBdr>
            </w:div>
            <w:div w:id="2115395495">
              <w:marLeft w:val="0"/>
              <w:marRight w:val="0"/>
              <w:marTop w:val="0"/>
              <w:marBottom w:val="0"/>
              <w:divBdr>
                <w:top w:val="none" w:sz="0" w:space="0" w:color="auto"/>
                <w:left w:val="none" w:sz="0" w:space="0" w:color="auto"/>
                <w:bottom w:val="none" w:sz="0" w:space="0" w:color="auto"/>
                <w:right w:val="none" w:sz="0" w:space="0" w:color="auto"/>
              </w:divBdr>
            </w:div>
            <w:div w:id="645092943">
              <w:marLeft w:val="0"/>
              <w:marRight w:val="0"/>
              <w:marTop w:val="0"/>
              <w:marBottom w:val="0"/>
              <w:divBdr>
                <w:top w:val="none" w:sz="0" w:space="0" w:color="auto"/>
                <w:left w:val="none" w:sz="0" w:space="0" w:color="auto"/>
                <w:bottom w:val="none" w:sz="0" w:space="0" w:color="auto"/>
                <w:right w:val="none" w:sz="0" w:space="0" w:color="auto"/>
              </w:divBdr>
            </w:div>
            <w:div w:id="814420030">
              <w:marLeft w:val="0"/>
              <w:marRight w:val="0"/>
              <w:marTop w:val="0"/>
              <w:marBottom w:val="0"/>
              <w:divBdr>
                <w:top w:val="none" w:sz="0" w:space="0" w:color="auto"/>
                <w:left w:val="none" w:sz="0" w:space="0" w:color="auto"/>
                <w:bottom w:val="none" w:sz="0" w:space="0" w:color="auto"/>
                <w:right w:val="none" w:sz="0" w:space="0" w:color="auto"/>
              </w:divBdr>
            </w:div>
            <w:div w:id="927734858">
              <w:marLeft w:val="0"/>
              <w:marRight w:val="0"/>
              <w:marTop w:val="0"/>
              <w:marBottom w:val="0"/>
              <w:divBdr>
                <w:top w:val="none" w:sz="0" w:space="0" w:color="auto"/>
                <w:left w:val="none" w:sz="0" w:space="0" w:color="auto"/>
                <w:bottom w:val="none" w:sz="0" w:space="0" w:color="auto"/>
                <w:right w:val="none" w:sz="0" w:space="0" w:color="auto"/>
              </w:divBdr>
            </w:div>
            <w:div w:id="1344891194">
              <w:marLeft w:val="0"/>
              <w:marRight w:val="0"/>
              <w:marTop w:val="0"/>
              <w:marBottom w:val="0"/>
              <w:divBdr>
                <w:top w:val="none" w:sz="0" w:space="0" w:color="auto"/>
                <w:left w:val="none" w:sz="0" w:space="0" w:color="auto"/>
                <w:bottom w:val="none" w:sz="0" w:space="0" w:color="auto"/>
                <w:right w:val="none" w:sz="0" w:space="0" w:color="auto"/>
              </w:divBdr>
            </w:div>
            <w:div w:id="1791586573">
              <w:marLeft w:val="0"/>
              <w:marRight w:val="0"/>
              <w:marTop w:val="0"/>
              <w:marBottom w:val="0"/>
              <w:divBdr>
                <w:top w:val="none" w:sz="0" w:space="0" w:color="auto"/>
                <w:left w:val="none" w:sz="0" w:space="0" w:color="auto"/>
                <w:bottom w:val="none" w:sz="0" w:space="0" w:color="auto"/>
                <w:right w:val="none" w:sz="0" w:space="0" w:color="auto"/>
              </w:divBdr>
            </w:div>
            <w:div w:id="477264071">
              <w:marLeft w:val="0"/>
              <w:marRight w:val="0"/>
              <w:marTop w:val="0"/>
              <w:marBottom w:val="0"/>
              <w:divBdr>
                <w:top w:val="none" w:sz="0" w:space="0" w:color="auto"/>
                <w:left w:val="none" w:sz="0" w:space="0" w:color="auto"/>
                <w:bottom w:val="none" w:sz="0" w:space="0" w:color="auto"/>
                <w:right w:val="none" w:sz="0" w:space="0" w:color="auto"/>
              </w:divBdr>
            </w:div>
            <w:div w:id="484324252">
              <w:marLeft w:val="0"/>
              <w:marRight w:val="0"/>
              <w:marTop w:val="0"/>
              <w:marBottom w:val="0"/>
              <w:divBdr>
                <w:top w:val="none" w:sz="0" w:space="0" w:color="auto"/>
                <w:left w:val="none" w:sz="0" w:space="0" w:color="auto"/>
                <w:bottom w:val="none" w:sz="0" w:space="0" w:color="auto"/>
                <w:right w:val="none" w:sz="0" w:space="0" w:color="auto"/>
              </w:divBdr>
            </w:div>
            <w:div w:id="45103515">
              <w:marLeft w:val="0"/>
              <w:marRight w:val="0"/>
              <w:marTop w:val="0"/>
              <w:marBottom w:val="0"/>
              <w:divBdr>
                <w:top w:val="none" w:sz="0" w:space="0" w:color="auto"/>
                <w:left w:val="none" w:sz="0" w:space="0" w:color="auto"/>
                <w:bottom w:val="none" w:sz="0" w:space="0" w:color="auto"/>
                <w:right w:val="none" w:sz="0" w:space="0" w:color="auto"/>
              </w:divBdr>
            </w:div>
            <w:div w:id="2040734514">
              <w:marLeft w:val="0"/>
              <w:marRight w:val="0"/>
              <w:marTop w:val="0"/>
              <w:marBottom w:val="0"/>
              <w:divBdr>
                <w:top w:val="none" w:sz="0" w:space="0" w:color="auto"/>
                <w:left w:val="none" w:sz="0" w:space="0" w:color="auto"/>
                <w:bottom w:val="none" w:sz="0" w:space="0" w:color="auto"/>
                <w:right w:val="none" w:sz="0" w:space="0" w:color="auto"/>
              </w:divBdr>
            </w:div>
            <w:div w:id="932058271">
              <w:marLeft w:val="0"/>
              <w:marRight w:val="0"/>
              <w:marTop w:val="0"/>
              <w:marBottom w:val="0"/>
              <w:divBdr>
                <w:top w:val="none" w:sz="0" w:space="0" w:color="auto"/>
                <w:left w:val="none" w:sz="0" w:space="0" w:color="auto"/>
                <w:bottom w:val="none" w:sz="0" w:space="0" w:color="auto"/>
                <w:right w:val="none" w:sz="0" w:space="0" w:color="auto"/>
              </w:divBdr>
            </w:div>
            <w:div w:id="432625870">
              <w:marLeft w:val="0"/>
              <w:marRight w:val="0"/>
              <w:marTop w:val="0"/>
              <w:marBottom w:val="0"/>
              <w:divBdr>
                <w:top w:val="none" w:sz="0" w:space="0" w:color="auto"/>
                <w:left w:val="none" w:sz="0" w:space="0" w:color="auto"/>
                <w:bottom w:val="none" w:sz="0" w:space="0" w:color="auto"/>
                <w:right w:val="none" w:sz="0" w:space="0" w:color="auto"/>
              </w:divBdr>
            </w:div>
            <w:div w:id="5787916">
              <w:marLeft w:val="0"/>
              <w:marRight w:val="0"/>
              <w:marTop w:val="0"/>
              <w:marBottom w:val="0"/>
              <w:divBdr>
                <w:top w:val="none" w:sz="0" w:space="0" w:color="auto"/>
                <w:left w:val="none" w:sz="0" w:space="0" w:color="auto"/>
                <w:bottom w:val="none" w:sz="0" w:space="0" w:color="auto"/>
                <w:right w:val="none" w:sz="0" w:space="0" w:color="auto"/>
              </w:divBdr>
            </w:div>
            <w:div w:id="1373067471">
              <w:marLeft w:val="0"/>
              <w:marRight w:val="0"/>
              <w:marTop w:val="0"/>
              <w:marBottom w:val="0"/>
              <w:divBdr>
                <w:top w:val="none" w:sz="0" w:space="0" w:color="auto"/>
                <w:left w:val="none" w:sz="0" w:space="0" w:color="auto"/>
                <w:bottom w:val="none" w:sz="0" w:space="0" w:color="auto"/>
                <w:right w:val="none" w:sz="0" w:space="0" w:color="auto"/>
              </w:divBdr>
            </w:div>
            <w:div w:id="738136327">
              <w:marLeft w:val="0"/>
              <w:marRight w:val="0"/>
              <w:marTop w:val="0"/>
              <w:marBottom w:val="0"/>
              <w:divBdr>
                <w:top w:val="none" w:sz="0" w:space="0" w:color="auto"/>
                <w:left w:val="none" w:sz="0" w:space="0" w:color="auto"/>
                <w:bottom w:val="none" w:sz="0" w:space="0" w:color="auto"/>
                <w:right w:val="none" w:sz="0" w:space="0" w:color="auto"/>
              </w:divBdr>
            </w:div>
            <w:div w:id="937564944">
              <w:marLeft w:val="0"/>
              <w:marRight w:val="0"/>
              <w:marTop w:val="0"/>
              <w:marBottom w:val="0"/>
              <w:divBdr>
                <w:top w:val="none" w:sz="0" w:space="0" w:color="auto"/>
                <w:left w:val="none" w:sz="0" w:space="0" w:color="auto"/>
                <w:bottom w:val="none" w:sz="0" w:space="0" w:color="auto"/>
                <w:right w:val="none" w:sz="0" w:space="0" w:color="auto"/>
              </w:divBdr>
            </w:div>
            <w:div w:id="1132554652">
              <w:marLeft w:val="0"/>
              <w:marRight w:val="0"/>
              <w:marTop w:val="0"/>
              <w:marBottom w:val="0"/>
              <w:divBdr>
                <w:top w:val="none" w:sz="0" w:space="0" w:color="auto"/>
                <w:left w:val="none" w:sz="0" w:space="0" w:color="auto"/>
                <w:bottom w:val="none" w:sz="0" w:space="0" w:color="auto"/>
                <w:right w:val="none" w:sz="0" w:space="0" w:color="auto"/>
              </w:divBdr>
            </w:div>
            <w:div w:id="935753748">
              <w:marLeft w:val="0"/>
              <w:marRight w:val="0"/>
              <w:marTop w:val="0"/>
              <w:marBottom w:val="0"/>
              <w:divBdr>
                <w:top w:val="none" w:sz="0" w:space="0" w:color="auto"/>
                <w:left w:val="none" w:sz="0" w:space="0" w:color="auto"/>
                <w:bottom w:val="none" w:sz="0" w:space="0" w:color="auto"/>
                <w:right w:val="none" w:sz="0" w:space="0" w:color="auto"/>
              </w:divBdr>
            </w:div>
            <w:div w:id="1056927493">
              <w:marLeft w:val="0"/>
              <w:marRight w:val="0"/>
              <w:marTop w:val="0"/>
              <w:marBottom w:val="0"/>
              <w:divBdr>
                <w:top w:val="none" w:sz="0" w:space="0" w:color="auto"/>
                <w:left w:val="none" w:sz="0" w:space="0" w:color="auto"/>
                <w:bottom w:val="none" w:sz="0" w:space="0" w:color="auto"/>
                <w:right w:val="none" w:sz="0" w:space="0" w:color="auto"/>
              </w:divBdr>
            </w:div>
            <w:div w:id="758330938">
              <w:marLeft w:val="0"/>
              <w:marRight w:val="0"/>
              <w:marTop w:val="0"/>
              <w:marBottom w:val="0"/>
              <w:divBdr>
                <w:top w:val="none" w:sz="0" w:space="0" w:color="auto"/>
                <w:left w:val="none" w:sz="0" w:space="0" w:color="auto"/>
                <w:bottom w:val="none" w:sz="0" w:space="0" w:color="auto"/>
                <w:right w:val="none" w:sz="0" w:space="0" w:color="auto"/>
              </w:divBdr>
            </w:div>
            <w:div w:id="1490633094">
              <w:marLeft w:val="0"/>
              <w:marRight w:val="0"/>
              <w:marTop w:val="0"/>
              <w:marBottom w:val="0"/>
              <w:divBdr>
                <w:top w:val="none" w:sz="0" w:space="0" w:color="auto"/>
                <w:left w:val="none" w:sz="0" w:space="0" w:color="auto"/>
                <w:bottom w:val="none" w:sz="0" w:space="0" w:color="auto"/>
                <w:right w:val="none" w:sz="0" w:space="0" w:color="auto"/>
              </w:divBdr>
            </w:div>
            <w:div w:id="1104376632">
              <w:marLeft w:val="0"/>
              <w:marRight w:val="0"/>
              <w:marTop w:val="0"/>
              <w:marBottom w:val="0"/>
              <w:divBdr>
                <w:top w:val="none" w:sz="0" w:space="0" w:color="auto"/>
                <w:left w:val="none" w:sz="0" w:space="0" w:color="auto"/>
                <w:bottom w:val="none" w:sz="0" w:space="0" w:color="auto"/>
                <w:right w:val="none" w:sz="0" w:space="0" w:color="auto"/>
              </w:divBdr>
            </w:div>
            <w:div w:id="1621064596">
              <w:marLeft w:val="0"/>
              <w:marRight w:val="0"/>
              <w:marTop w:val="0"/>
              <w:marBottom w:val="0"/>
              <w:divBdr>
                <w:top w:val="none" w:sz="0" w:space="0" w:color="auto"/>
                <w:left w:val="none" w:sz="0" w:space="0" w:color="auto"/>
                <w:bottom w:val="none" w:sz="0" w:space="0" w:color="auto"/>
                <w:right w:val="none" w:sz="0" w:space="0" w:color="auto"/>
              </w:divBdr>
            </w:div>
            <w:div w:id="114839307">
              <w:marLeft w:val="0"/>
              <w:marRight w:val="0"/>
              <w:marTop w:val="0"/>
              <w:marBottom w:val="0"/>
              <w:divBdr>
                <w:top w:val="none" w:sz="0" w:space="0" w:color="auto"/>
                <w:left w:val="none" w:sz="0" w:space="0" w:color="auto"/>
                <w:bottom w:val="none" w:sz="0" w:space="0" w:color="auto"/>
                <w:right w:val="none" w:sz="0" w:space="0" w:color="auto"/>
              </w:divBdr>
            </w:div>
            <w:div w:id="157426707">
              <w:marLeft w:val="0"/>
              <w:marRight w:val="0"/>
              <w:marTop w:val="0"/>
              <w:marBottom w:val="0"/>
              <w:divBdr>
                <w:top w:val="none" w:sz="0" w:space="0" w:color="auto"/>
                <w:left w:val="none" w:sz="0" w:space="0" w:color="auto"/>
                <w:bottom w:val="none" w:sz="0" w:space="0" w:color="auto"/>
                <w:right w:val="none" w:sz="0" w:space="0" w:color="auto"/>
              </w:divBdr>
            </w:div>
            <w:div w:id="1915775445">
              <w:marLeft w:val="0"/>
              <w:marRight w:val="0"/>
              <w:marTop w:val="0"/>
              <w:marBottom w:val="0"/>
              <w:divBdr>
                <w:top w:val="none" w:sz="0" w:space="0" w:color="auto"/>
                <w:left w:val="none" w:sz="0" w:space="0" w:color="auto"/>
                <w:bottom w:val="none" w:sz="0" w:space="0" w:color="auto"/>
                <w:right w:val="none" w:sz="0" w:space="0" w:color="auto"/>
              </w:divBdr>
            </w:div>
            <w:div w:id="1001280242">
              <w:marLeft w:val="0"/>
              <w:marRight w:val="0"/>
              <w:marTop w:val="0"/>
              <w:marBottom w:val="0"/>
              <w:divBdr>
                <w:top w:val="none" w:sz="0" w:space="0" w:color="auto"/>
                <w:left w:val="none" w:sz="0" w:space="0" w:color="auto"/>
                <w:bottom w:val="none" w:sz="0" w:space="0" w:color="auto"/>
                <w:right w:val="none" w:sz="0" w:space="0" w:color="auto"/>
              </w:divBdr>
            </w:div>
            <w:div w:id="1045720615">
              <w:marLeft w:val="0"/>
              <w:marRight w:val="0"/>
              <w:marTop w:val="0"/>
              <w:marBottom w:val="0"/>
              <w:divBdr>
                <w:top w:val="none" w:sz="0" w:space="0" w:color="auto"/>
                <w:left w:val="none" w:sz="0" w:space="0" w:color="auto"/>
                <w:bottom w:val="none" w:sz="0" w:space="0" w:color="auto"/>
                <w:right w:val="none" w:sz="0" w:space="0" w:color="auto"/>
              </w:divBdr>
            </w:div>
            <w:div w:id="1725717470">
              <w:marLeft w:val="0"/>
              <w:marRight w:val="0"/>
              <w:marTop w:val="0"/>
              <w:marBottom w:val="0"/>
              <w:divBdr>
                <w:top w:val="none" w:sz="0" w:space="0" w:color="auto"/>
                <w:left w:val="none" w:sz="0" w:space="0" w:color="auto"/>
                <w:bottom w:val="none" w:sz="0" w:space="0" w:color="auto"/>
                <w:right w:val="none" w:sz="0" w:space="0" w:color="auto"/>
              </w:divBdr>
            </w:div>
            <w:div w:id="8723397">
              <w:marLeft w:val="0"/>
              <w:marRight w:val="0"/>
              <w:marTop w:val="0"/>
              <w:marBottom w:val="0"/>
              <w:divBdr>
                <w:top w:val="none" w:sz="0" w:space="0" w:color="auto"/>
                <w:left w:val="none" w:sz="0" w:space="0" w:color="auto"/>
                <w:bottom w:val="none" w:sz="0" w:space="0" w:color="auto"/>
                <w:right w:val="none" w:sz="0" w:space="0" w:color="auto"/>
              </w:divBdr>
            </w:div>
            <w:div w:id="1820616070">
              <w:marLeft w:val="0"/>
              <w:marRight w:val="0"/>
              <w:marTop w:val="0"/>
              <w:marBottom w:val="0"/>
              <w:divBdr>
                <w:top w:val="none" w:sz="0" w:space="0" w:color="auto"/>
                <w:left w:val="none" w:sz="0" w:space="0" w:color="auto"/>
                <w:bottom w:val="none" w:sz="0" w:space="0" w:color="auto"/>
                <w:right w:val="none" w:sz="0" w:space="0" w:color="auto"/>
              </w:divBdr>
            </w:div>
            <w:div w:id="1494369339">
              <w:marLeft w:val="0"/>
              <w:marRight w:val="0"/>
              <w:marTop w:val="0"/>
              <w:marBottom w:val="0"/>
              <w:divBdr>
                <w:top w:val="none" w:sz="0" w:space="0" w:color="auto"/>
                <w:left w:val="none" w:sz="0" w:space="0" w:color="auto"/>
                <w:bottom w:val="none" w:sz="0" w:space="0" w:color="auto"/>
                <w:right w:val="none" w:sz="0" w:space="0" w:color="auto"/>
              </w:divBdr>
            </w:div>
            <w:div w:id="501623073">
              <w:marLeft w:val="0"/>
              <w:marRight w:val="0"/>
              <w:marTop w:val="0"/>
              <w:marBottom w:val="0"/>
              <w:divBdr>
                <w:top w:val="none" w:sz="0" w:space="0" w:color="auto"/>
                <w:left w:val="none" w:sz="0" w:space="0" w:color="auto"/>
                <w:bottom w:val="none" w:sz="0" w:space="0" w:color="auto"/>
                <w:right w:val="none" w:sz="0" w:space="0" w:color="auto"/>
              </w:divBdr>
            </w:div>
            <w:div w:id="1586381049">
              <w:marLeft w:val="0"/>
              <w:marRight w:val="0"/>
              <w:marTop w:val="0"/>
              <w:marBottom w:val="0"/>
              <w:divBdr>
                <w:top w:val="none" w:sz="0" w:space="0" w:color="auto"/>
                <w:left w:val="none" w:sz="0" w:space="0" w:color="auto"/>
                <w:bottom w:val="none" w:sz="0" w:space="0" w:color="auto"/>
                <w:right w:val="none" w:sz="0" w:space="0" w:color="auto"/>
              </w:divBdr>
            </w:div>
            <w:div w:id="628823491">
              <w:marLeft w:val="0"/>
              <w:marRight w:val="0"/>
              <w:marTop w:val="0"/>
              <w:marBottom w:val="0"/>
              <w:divBdr>
                <w:top w:val="none" w:sz="0" w:space="0" w:color="auto"/>
                <w:left w:val="none" w:sz="0" w:space="0" w:color="auto"/>
                <w:bottom w:val="none" w:sz="0" w:space="0" w:color="auto"/>
                <w:right w:val="none" w:sz="0" w:space="0" w:color="auto"/>
              </w:divBdr>
            </w:div>
            <w:div w:id="1869447155">
              <w:marLeft w:val="0"/>
              <w:marRight w:val="0"/>
              <w:marTop w:val="0"/>
              <w:marBottom w:val="0"/>
              <w:divBdr>
                <w:top w:val="none" w:sz="0" w:space="0" w:color="auto"/>
                <w:left w:val="none" w:sz="0" w:space="0" w:color="auto"/>
                <w:bottom w:val="none" w:sz="0" w:space="0" w:color="auto"/>
                <w:right w:val="none" w:sz="0" w:space="0" w:color="auto"/>
              </w:divBdr>
            </w:div>
            <w:div w:id="1041634837">
              <w:marLeft w:val="0"/>
              <w:marRight w:val="0"/>
              <w:marTop w:val="0"/>
              <w:marBottom w:val="0"/>
              <w:divBdr>
                <w:top w:val="none" w:sz="0" w:space="0" w:color="auto"/>
                <w:left w:val="none" w:sz="0" w:space="0" w:color="auto"/>
                <w:bottom w:val="none" w:sz="0" w:space="0" w:color="auto"/>
                <w:right w:val="none" w:sz="0" w:space="0" w:color="auto"/>
              </w:divBdr>
            </w:div>
            <w:div w:id="712315954">
              <w:marLeft w:val="0"/>
              <w:marRight w:val="0"/>
              <w:marTop w:val="0"/>
              <w:marBottom w:val="0"/>
              <w:divBdr>
                <w:top w:val="none" w:sz="0" w:space="0" w:color="auto"/>
                <w:left w:val="none" w:sz="0" w:space="0" w:color="auto"/>
                <w:bottom w:val="none" w:sz="0" w:space="0" w:color="auto"/>
                <w:right w:val="none" w:sz="0" w:space="0" w:color="auto"/>
              </w:divBdr>
            </w:div>
            <w:div w:id="1317563132">
              <w:marLeft w:val="0"/>
              <w:marRight w:val="0"/>
              <w:marTop w:val="0"/>
              <w:marBottom w:val="0"/>
              <w:divBdr>
                <w:top w:val="none" w:sz="0" w:space="0" w:color="auto"/>
                <w:left w:val="none" w:sz="0" w:space="0" w:color="auto"/>
                <w:bottom w:val="none" w:sz="0" w:space="0" w:color="auto"/>
                <w:right w:val="none" w:sz="0" w:space="0" w:color="auto"/>
              </w:divBdr>
            </w:div>
            <w:div w:id="1556769170">
              <w:marLeft w:val="0"/>
              <w:marRight w:val="0"/>
              <w:marTop w:val="0"/>
              <w:marBottom w:val="0"/>
              <w:divBdr>
                <w:top w:val="none" w:sz="0" w:space="0" w:color="auto"/>
                <w:left w:val="none" w:sz="0" w:space="0" w:color="auto"/>
                <w:bottom w:val="none" w:sz="0" w:space="0" w:color="auto"/>
                <w:right w:val="none" w:sz="0" w:space="0" w:color="auto"/>
              </w:divBdr>
            </w:div>
            <w:div w:id="730811434">
              <w:marLeft w:val="0"/>
              <w:marRight w:val="0"/>
              <w:marTop w:val="0"/>
              <w:marBottom w:val="0"/>
              <w:divBdr>
                <w:top w:val="none" w:sz="0" w:space="0" w:color="auto"/>
                <w:left w:val="none" w:sz="0" w:space="0" w:color="auto"/>
                <w:bottom w:val="none" w:sz="0" w:space="0" w:color="auto"/>
                <w:right w:val="none" w:sz="0" w:space="0" w:color="auto"/>
              </w:divBdr>
            </w:div>
            <w:div w:id="2318664">
              <w:marLeft w:val="0"/>
              <w:marRight w:val="0"/>
              <w:marTop w:val="0"/>
              <w:marBottom w:val="0"/>
              <w:divBdr>
                <w:top w:val="none" w:sz="0" w:space="0" w:color="auto"/>
                <w:left w:val="none" w:sz="0" w:space="0" w:color="auto"/>
                <w:bottom w:val="none" w:sz="0" w:space="0" w:color="auto"/>
                <w:right w:val="none" w:sz="0" w:space="0" w:color="auto"/>
              </w:divBdr>
            </w:div>
            <w:div w:id="768965926">
              <w:marLeft w:val="0"/>
              <w:marRight w:val="0"/>
              <w:marTop w:val="0"/>
              <w:marBottom w:val="0"/>
              <w:divBdr>
                <w:top w:val="none" w:sz="0" w:space="0" w:color="auto"/>
                <w:left w:val="none" w:sz="0" w:space="0" w:color="auto"/>
                <w:bottom w:val="none" w:sz="0" w:space="0" w:color="auto"/>
                <w:right w:val="none" w:sz="0" w:space="0" w:color="auto"/>
              </w:divBdr>
            </w:div>
            <w:div w:id="1479416847">
              <w:marLeft w:val="0"/>
              <w:marRight w:val="0"/>
              <w:marTop w:val="0"/>
              <w:marBottom w:val="0"/>
              <w:divBdr>
                <w:top w:val="none" w:sz="0" w:space="0" w:color="auto"/>
                <w:left w:val="none" w:sz="0" w:space="0" w:color="auto"/>
                <w:bottom w:val="none" w:sz="0" w:space="0" w:color="auto"/>
                <w:right w:val="none" w:sz="0" w:space="0" w:color="auto"/>
              </w:divBdr>
            </w:div>
            <w:div w:id="1956596518">
              <w:marLeft w:val="0"/>
              <w:marRight w:val="0"/>
              <w:marTop w:val="0"/>
              <w:marBottom w:val="0"/>
              <w:divBdr>
                <w:top w:val="none" w:sz="0" w:space="0" w:color="auto"/>
                <w:left w:val="none" w:sz="0" w:space="0" w:color="auto"/>
                <w:bottom w:val="none" w:sz="0" w:space="0" w:color="auto"/>
                <w:right w:val="none" w:sz="0" w:space="0" w:color="auto"/>
              </w:divBdr>
            </w:div>
            <w:div w:id="574557764">
              <w:marLeft w:val="0"/>
              <w:marRight w:val="0"/>
              <w:marTop w:val="0"/>
              <w:marBottom w:val="0"/>
              <w:divBdr>
                <w:top w:val="none" w:sz="0" w:space="0" w:color="auto"/>
                <w:left w:val="none" w:sz="0" w:space="0" w:color="auto"/>
                <w:bottom w:val="none" w:sz="0" w:space="0" w:color="auto"/>
                <w:right w:val="none" w:sz="0" w:space="0" w:color="auto"/>
              </w:divBdr>
            </w:div>
            <w:div w:id="1410495790">
              <w:marLeft w:val="0"/>
              <w:marRight w:val="0"/>
              <w:marTop w:val="0"/>
              <w:marBottom w:val="0"/>
              <w:divBdr>
                <w:top w:val="none" w:sz="0" w:space="0" w:color="auto"/>
                <w:left w:val="none" w:sz="0" w:space="0" w:color="auto"/>
                <w:bottom w:val="none" w:sz="0" w:space="0" w:color="auto"/>
                <w:right w:val="none" w:sz="0" w:space="0" w:color="auto"/>
              </w:divBdr>
            </w:div>
            <w:div w:id="124275458">
              <w:marLeft w:val="0"/>
              <w:marRight w:val="0"/>
              <w:marTop w:val="0"/>
              <w:marBottom w:val="0"/>
              <w:divBdr>
                <w:top w:val="none" w:sz="0" w:space="0" w:color="auto"/>
                <w:left w:val="none" w:sz="0" w:space="0" w:color="auto"/>
                <w:bottom w:val="none" w:sz="0" w:space="0" w:color="auto"/>
                <w:right w:val="none" w:sz="0" w:space="0" w:color="auto"/>
              </w:divBdr>
            </w:div>
            <w:div w:id="497620330">
              <w:marLeft w:val="0"/>
              <w:marRight w:val="0"/>
              <w:marTop w:val="0"/>
              <w:marBottom w:val="0"/>
              <w:divBdr>
                <w:top w:val="none" w:sz="0" w:space="0" w:color="auto"/>
                <w:left w:val="none" w:sz="0" w:space="0" w:color="auto"/>
                <w:bottom w:val="none" w:sz="0" w:space="0" w:color="auto"/>
                <w:right w:val="none" w:sz="0" w:space="0" w:color="auto"/>
              </w:divBdr>
            </w:div>
            <w:div w:id="26341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ctionary.apa.org/"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B4B75DD-873D-468F-93F4-0C536AFEEF1C}">
  <we:reference id="wa200000368" version="1.0.0.0" store="en-US" storeType="OMEX"/>
  <we:alternateReferences>
    <we:reference id="wa200000368" version="1.0.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33524E-DBE2-4D0D-B5B9-CC242CD331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11880</Words>
  <Characters>67721</Characters>
  <Application>Microsoft Office Word</Application>
  <DocSecurity>0</DocSecurity>
  <Lines>564</Lines>
  <Paragraphs>158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Chawki Belhadi</dc:creator>
  <cp:keywords/>
  <dc:description/>
  <cp:lastModifiedBy>Ann Soley Eberwein</cp:lastModifiedBy>
  <cp:revision>2</cp:revision>
  <cp:lastPrinted>2022-06-26T03:43:00Z</cp:lastPrinted>
  <dcterms:created xsi:type="dcterms:W3CDTF">2024-02-17T22:33:00Z</dcterms:created>
  <dcterms:modified xsi:type="dcterms:W3CDTF">2024-02-17T22:33:00Z</dcterms:modified>
</cp:coreProperties>
</file>