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2006F" w:rsidRDefault="00D2006F" w:rsidP="00D2006F">
      <w:pPr>
        <w:jc w:val="center"/>
        <w:rPr>
          <w:rFonts w:ascii="Times New Roman" w:hAnsi="Times New Roman"/>
          <w:sz w:val="36"/>
        </w:rPr>
      </w:pPr>
    </w:p>
    <w:p w:rsidR="00D2006F" w:rsidRDefault="00D2006F" w:rsidP="00D2006F">
      <w:pPr>
        <w:jc w:val="center"/>
        <w:rPr>
          <w:rFonts w:ascii="Times New Roman" w:hAnsi="Times New Roman"/>
          <w:sz w:val="36"/>
        </w:rPr>
      </w:pPr>
    </w:p>
    <w:p w:rsidR="00D2006F" w:rsidRDefault="00D2006F" w:rsidP="00D2006F">
      <w:pPr>
        <w:jc w:val="center"/>
        <w:rPr>
          <w:rFonts w:ascii="Times New Roman" w:hAnsi="Times New Roman"/>
          <w:sz w:val="36"/>
        </w:rPr>
      </w:pPr>
    </w:p>
    <w:p w:rsidR="00D2006F" w:rsidRDefault="00D2006F" w:rsidP="00D2006F">
      <w:pPr>
        <w:jc w:val="center"/>
        <w:rPr>
          <w:rFonts w:ascii="Times New Roman" w:hAnsi="Times New Roman"/>
          <w:sz w:val="36"/>
        </w:rPr>
      </w:pPr>
    </w:p>
    <w:p w:rsidR="00D2006F" w:rsidRDefault="00D2006F" w:rsidP="00D2006F">
      <w:pPr>
        <w:jc w:val="center"/>
        <w:rPr>
          <w:rFonts w:ascii="Times New Roman" w:hAnsi="Times New Roman"/>
          <w:sz w:val="36"/>
        </w:rPr>
      </w:pPr>
    </w:p>
    <w:p w:rsidR="00D2006F" w:rsidRDefault="00D2006F" w:rsidP="00D2006F">
      <w:pPr>
        <w:jc w:val="center"/>
        <w:rPr>
          <w:rFonts w:ascii="Times New Roman" w:hAnsi="Times New Roman"/>
          <w:sz w:val="36"/>
        </w:rPr>
      </w:pPr>
    </w:p>
    <w:p w:rsidR="00D2006F" w:rsidRPr="00657B5C" w:rsidRDefault="00D2006F" w:rsidP="00D2006F">
      <w:pPr>
        <w:jc w:val="center"/>
        <w:rPr>
          <w:rFonts w:ascii="Times New Roman" w:hAnsi="Times New Roman"/>
          <w:sz w:val="36"/>
        </w:rPr>
      </w:pPr>
      <w:r w:rsidRPr="00657B5C">
        <w:rPr>
          <w:rFonts w:ascii="Times New Roman" w:hAnsi="Times New Roman"/>
          <w:sz w:val="36"/>
        </w:rPr>
        <w:t>Gendered Justice:</w:t>
      </w:r>
    </w:p>
    <w:p w:rsidR="00D2006F" w:rsidRPr="00657B5C" w:rsidRDefault="00D2006F" w:rsidP="00D2006F">
      <w:pPr>
        <w:jc w:val="center"/>
        <w:rPr>
          <w:rFonts w:ascii="Times New Roman" w:hAnsi="Times New Roman"/>
          <w:sz w:val="36"/>
        </w:rPr>
      </w:pPr>
      <w:r w:rsidRPr="00657B5C">
        <w:rPr>
          <w:rFonts w:ascii="Times New Roman" w:hAnsi="Times New Roman"/>
          <w:sz w:val="36"/>
        </w:rPr>
        <w:t>Women on Trial During the French Revolution</w:t>
      </w:r>
    </w:p>
    <w:p w:rsidR="00D2006F" w:rsidRDefault="00D2006F" w:rsidP="00D2006F">
      <w:pPr>
        <w:rPr>
          <w:rFonts w:ascii="Times New Roman" w:hAnsi="Times New Roman"/>
        </w:rPr>
      </w:pPr>
    </w:p>
    <w:p w:rsidR="00D2006F" w:rsidRDefault="00D2006F" w:rsidP="00D2006F">
      <w:pPr>
        <w:rPr>
          <w:rFonts w:ascii="Times New Roman" w:hAnsi="Times New Roman"/>
        </w:rPr>
      </w:pPr>
    </w:p>
    <w:p w:rsidR="00D2006F" w:rsidRDefault="00D2006F" w:rsidP="00D2006F">
      <w:pPr>
        <w:rPr>
          <w:rFonts w:ascii="Times New Roman" w:hAnsi="Times New Roman"/>
        </w:rPr>
      </w:pPr>
    </w:p>
    <w:p w:rsidR="00D2006F" w:rsidRDefault="00D2006F" w:rsidP="00D2006F">
      <w:pPr>
        <w:rPr>
          <w:rFonts w:ascii="Times New Roman" w:hAnsi="Times New Roman"/>
        </w:rPr>
      </w:pPr>
    </w:p>
    <w:p w:rsidR="00D2006F" w:rsidRDefault="00D2006F" w:rsidP="00D2006F">
      <w:pPr>
        <w:rPr>
          <w:rFonts w:ascii="Times New Roman" w:hAnsi="Times New Roman"/>
        </w:rPr>
      </w:pPr>
    </w:p>
    <w:p w:rsidR="00D2006F" w:rsidRDefault="00D2006F" w:rsidP="00D2006F">
      <w:pPr>
        <w:rPr>
          <w:rFonts w:ascii="Times New Roman" w:hAnsi="Times New Roman"/>
        </w:rPr>
      </w:pPr>
    </w:p>
    <w:p w:rsidR="00D2006F" w:rsidRDefault="00D2006F" w:rsidP="00D2006F">
      <w:pPr>
        <w:rPr>
          <w:rFonts w:ascii="Times New Roman" w:hAnsi="Times New Roman"/>
        </w:rPr>
      </w:pPr>
    </w:p>
    <w:p w:rsidR="00D2006F" w:rsidRDefault="00D2006F" w:rsidP="00D2006F">
      <w:pPr>
        <w:rPr>
          <w:rFonts w:ascii="Times New Roman" w:hAnsi="Times New Roman"/>
        </w:rPr>
      </w:pPr>
    </w:p>
    <w:p w:rsidR="00D2006F" w:rsidRDefault="00D2006F" w:rsidP="00D2006F">
      <w:pPr>
        <w:jc w:val="center"/>
        <w:rPr>
          <w:rFonts w:ascii="Times New Roman" w:hAnsi="Times New Roman"/>
        </w:rPr>
      </w:pPr>
      <w:r>
        <w:rPr>
          <w:rFonts w:ascii="Times New Roman" w:hAnsi="Times New Roman"/>
        </w:rPr>
        <w:t>Robin L. Bates</w:t>
      </w:r>
    </w:p>
    <w:p w:rsidR="00D2006F" w:rsidRDefault="00D2006F" w:rsidP="00D2006F">
      <w:pPr>
        <w:jc w:val="center"/>
        <w:rPr>
          <w:rFonts w:ascii="Times New Roman" w:hAnsi="Times New Roman"/>
        </w:rPr>
      </w:pPr>
      <w:r>
        <w:rPr>
          <w:rFonts w:ascii="Times New Roman" w:hAnsi="Times New Roman"/>
        </w:rPr>
        <w:t>Honors Senior Thesis</w:t>
      </w:r>
    </w:p>
    <w:p w:rsidR="00D2006F" w:rsidRDefault="00D2006F" w:rsidP="00D2006F">
      <w:pPr>
        <w:jc w:val="center"/>
        <w:rPr>
          <w:rFonts w:ascii="Times New Roman" w:hAnsi="Times New Roman"/>
        </w:rPr>
      </w:pPr>
      <w:r>
        <w:rPr>
          <w:rFonts w:ascii="Times New Roman" w:hAnsi="Times New Roman"/>
        </w:rPr>
        <w:t>Advised by Suzanne Desan</w:t>
      </w:r>
    </w:p>
    <w:p w:rsidR="00D2006F" w:rsidRDefault="00D2006F" w:rsidP="00D2006F">
      <w:pPr>
        <w:jc w:val="center"/>
        <w:rPr>
          <w:rFonts w:ascii="Times New Roman" w:hAnsi="Times New Roman"/>
        </w:rPr>
      </w:pPr>
      <w:r>
        <w:rPr>
          <w:rFonts w:ascii="Times New Roman" w:hAnsi="Times New Roman"/>
        </w:rPr>
        <w:t>December 2010</w:t>
      </w:r>
    </w:p>
    <w:p w:rsidR="00D2006F" w:rsidRDefault="00D2006F" w:rsidP="00D2006F">
      <w:pPr>
        <w:rPr>
          <w:rFonts w:ascii="Times New Roman" w:hAnsi="Times New Roman"/>
        </w:rPr>
      </w:pPr>
    </w:p>
    <w:p w:rsidR="00D2006F" w:rsidRPr="00657B5C" w:rsidRDefault="00D2006F" w:rsidP="00D2006F">
      <w:pPr>
        <w:rPr>
          <w:rFonts w:ascii="Times New Roman" w:hAnsi="Times New Roman"/>
        </w:rPr>
      </w:pPr>
    </w:p>
    <w:p w:rsidR="00D2006F" w:rsidRDefault="00D2006F" w:rsidP="00E41716">
      <w:pPr>
        <w:contextualSpacing/>
        <w:rPr>
          <w:rFonts w:ascii="Times New Roman" w:hAnsi="Times New Roman"/>
          <w:sz w:val="36"/>
        </w:rPr>
      </w:pPr>
    </w:p>
    <w:p w:rsidR="00D2006F" w:rsidRDefault="00D2006F" w:rsidP="00E41716">
      <w:pPr>
        <w:contextualSpacing/>
        <w:rPr>
          <w:rFonts w:ascii="Times New Roman" w:hAnsi="Times New Roman"/>
          <w:sz w:val="36"/>
        </w:rPr>
      </w:pPr>
    </w:p>
    <w:p w:rsidR="00D2006F" w:rsidRDefault="00D2006F" w:rsidP="00E41716">
      <w:pPr>
        <w:contextualSpacing/>
        <w:rPr>
          <w:rFonts w:ascii="Times New Roman" w:hAnsi="Times New Roman"/>
          <w:sz w:val="36"/>
        </w:rPr>
      </w:pPr>
    </w:p>
    <w:p w:rsidR="001C5440" w:rsidRPr="00717C20" w:rsidRDefault="001C5440" w:rsidP="00E41716">
      <w:pPr>
        <w:contextualSpacing/>
        <w:rPr>
          <w:rFonts w:ascii="Times New Roman" w:hAnsi="Times New Roman"/>
          <w:sz w:val="28"/>
        </w:rPr>
      </w:pPr>
      <w:r w:rsidRPr="00EF5359">
        <w:rPr>
          <w:rFonts w:ascii="Times New Roman" w:hAnsi="Times New Roman"/>
          <w:sz w:val="36"/>
        </w:rPr>
        <w:lastRenderedPageBreak/>
        <w:t>I</w:t>
      </w:r>
      <w:r w:rsidRPr="00717C20">
        <w:rPr>
          <w:rFonts w:ascii="Times New Roman" w:hAnsi="Times New Roman"/>
          <w:sz w:val="28"/>
        </w:rPr>
        <w:t>ntroduction</w:t>
      </w:r>
    </w:p>
    <w:p w:rsidR="001C5440" w:rsidRPr="00717C20" w:rsidRDefault="001C5440" w:rsidP="00E41716">
      <w:pPr>
        <w:contextualSpacing/>
        <w:rPr>
          <w:rFonts w:ascii="Times New Roman" w:hAnsi="Times New Roman"/>
        </w:rPr>
      </w:pPr>
    </w:p>
    <w:p w:rsidR="001C5440" w:rsidRPr="00717C20" w:rsidRDefault="001C5440" w:rsidP="00E41716">
      <w:pPr>
        <w:spacing w:line="480" w:lineRule="auto"/>
        <w:ind w:firstLine="720"/>
        <w:contextualSpacing/>
        <w:rPr>
          <w:rFonts w:ascii="Times New Roman" w:hAnsi="Times New Roman"/>
        </w:rPr>
      </w:pPr>
      <w:r w:rsidRPr="00717C20">
        <w:rPr>
          <w:rFonts w:ascii="Times New Roman" w:hAnsi="Times New Roman"/>
        </w:rPr>
        <w:t>On a late night in January 1794, Marie-Thérèse Gouffé, a simple laundress of silk stockings, walked into her community’s public square and at the top of her lungs yelled “Vive le Roi!”</w:t>
      </w:r>
      <w:r w:rsidRPr="00717C20">
        <w:rPr>
          <w:rStyle w:val="FootnoteReference"/>
          <w:rFonts w:ascii="Times New Roman" w:hAnsi="Times New Roman"/>
        </w:rPr>
        <w:footnoteReference w:id="1"/>
      </w:r>
      <w:r w:rsidRPr="00717C20">
        <w:rPr>
          <w:rFonts w:ascii="Times New Roman" w:hAnsi="Times New Roman"/>
        </w:rPr>
        <w:t xml:space="preserve"> She was immediately arrested</w:t>
      </w:r>
      <w:r>
        <w:rPr>
          <w:rFonts w:ascii="Times New Roman" w:hAnsi="Times New Roman"/>
        </w:rPr>
        <w:t xml:space="preserve">, at which point she </w:t>
      </w:r>
      <w:r w:rsidRPr="00717C20">
        <w:rPr>
          <w:rFonts w:ascii="Times New Roman" w:hAnsi="Times New Roman"/>
        </w:rPr>
        <w:t xml:space="preserve">demanded to be sent </w:t>
      </w:r>
      <w:r>
        <w:rPr>
          <w:rFonts w:ascii="Times New Roman" w:hAnsi="Times New Roman"/>
        </w:rPr>
        <w:t xml:space="preserve">instantly </w:t>
      </w:r>
      <w:r w:rsidRPr="00717C20">
        <w:rPr>
          <w:rFonts w:ascii="Times New Roman" w:hAnsi="Times New Roman"/>
        </w:rPr>
        <w:t xml:space="preserve">to the Conciergerie, the prison used to hold suspects awaiting trial at the Revolutionary Tribunal. The </w:t>
      </w:r>
      <w:r w:rsidRPr="00717C20">
        <w:rPr>
          <w:rFonts w:ascii="Times New Roman" w:hAnsi="Times New Roman"/>
          <w:i/>
        </w:rPr>
        <w:t xml:space="preserve">maire </w:t>
      </w:r>
      <w:r>
        <w:rPr>
          <w:rFonts w:ascii="Times New Roman" w:hAnsi="Times New Roman"/>
        </w:rPr>
        <w:t>refused</w:t>
      </w:r>
      <w:r w:rsidRPr="00717C20">
        <w:rPr>
          <w:rFonts w:ascii="Times New Roman" w:hAnsi="Times New Roman"/>
        </w:rPr>
        <w:t xml:space="preserve"> her request, citing the late hour of the evening. The next morning, while the</w:t>
      </w:r>
      <w:r w:rsidRPr="00717C20">
        <w:rPr>
          <w:rFonts w:ascii="Times New Roman" w:hAnsi="Times New Roman"/>
          <w:i/>
        </w:rPr>
        <w:t xml:space="preserve"> maire</w:t>
      </w:r>
      <w:r w:rsidRPr="00717C20">
        <w:rPr>
          <w:rFonts w:ascii="Times New Roman" w:hAnsi="Times New Roman"/>
        </w:rPr>
        <w:t xml:space="preserve"> undertook the necessary procedures to transfer Gouffé to the Revolutionary Tribunal, her story suddenly changed. Gouffé denied having made any counterrevolutionary statement</w:t>
      </w:r>
      <w:r>
        <w:rPr>
          <w:rFonts w:ascii="Times New Roman" w:hAnsi="Times New Roman"/>
        </w:rPr>
        <w:t xml:space="preserve">. When confronted with dozens of witnesses, </w:t>
      </w:r>
      <w:r w:rsidRPr="00717C20">
        <w:rPr>
          <w:rFonts w:ascii="Times New Roman" w:hAnsi="Times New Roman"/>
        </w:rPr>
        <w:t>she changed her tune, instead claiming that she suffered from “</w:t>
      </w:r>
      <w:r w:rsidRPr="00717C20">
        <w:rPr>
          <w:rFonts w:ascii="Times New Roman" w:hAnsi="Times New Roman"/>
          <w:i/>
        </w:rPr>
        <w:t>des absences de l’esprit</w:t>
      </w:r>
      <w:r>
        <w:rPr>
          <w:rFonts w:ascii="Times New Roman" w:hAnsi="Times New Roman"/>
        </w:rPr>
        <w:t xml:space="preserve">” and </w:t>
      </w:r>
      <w:r w:rsidRPr="00717C20">
        <w:rPr>
          <w:rFonts w:ascii="Times New Roman" w:hAnsi="Times New Roman"/>
        </w:rPr>
        <w:t xml:space="preserve">could not be held accountable for her actions. </w:t>
      </w:r>
      <w:r>
        <w:rPr>
          <w:rFonts w:ascii="Times New Roman" w:hAnsi="Times New Roman"/>
        </w:rPr>
        <w:t>H</w:t>
      </w:r>
      <w:r w:rsidRPr="00717C20">
        <w:rPr>
          <w:rFonts w:ascii="Times New Roman" w:hAnsi="Times New Roman"/>
        </w:rPr>
        <w:t>er case</w:t>
      </w:r>
      <w:r>
        <w:rPr>
          <w:rFonts w:ascii="Times New Roman" w:hAnsi="Times New Roman"/>
        </w:rPr>
        <w:t xml:space="preserve"> nonetheless</w:t>
      </w:r>
      <w:r w:rsidRPr="00717C20">
        <w:rPr>
          <w:rFonts w:ascii="Times New Roman" w:hAnsi="Times New Roman"/>
        </w:rPr>
        <w:t xml:space="preserve"> appeared before the Revolutionary Tribunal a month later. The Tribunal, unlike her local </w:t>
      </w:r>
      <w:r w:rsidRPr="00717C20">
        <w:rPr>
          <w:rFonts w:ascii="Times New Roman" w:hAnsi="Times New Roman"/>
          <w:i/>
        </w:rPr>
        <w:t>maire</w:t>
      </w:r>
      <w:r w:rsidRPr="00717C20">
        <w:rPr>
          <w:rFonts w:ascii="Times New Roman" w:hAnsi="Times New Roman"/>
        </w:rPr>
        <w:t xml:space="preserve">, not only believed Gouffé’s account, </w:t>
      </w:r>
      <w:r w:rsidR="00AD0377" w:rsidRPr="00717C20">
        <w:rPr>
          <w:rFonts w:ascii="Times New Roman" w:hAnsi="Times New Roman"/>
        </w:rPr>
        <w:t>but also</w:t>
      </w:r>
      <w:r w:rsidRPr="00717C20">
        <w:rPr>
          <w:rFonts w:ascii="Times New Roman" w:hAnsi="Times New Roman"/>
        </w:rPr>
        <w:t xml:space="preserve"> acquitted her of all charges because the alleged crime was committed “in a state of furor and folly.”</w:t>
      </w:r>
      <w:r w:rsidRPr="00717C20">
        <w:rPr>
          <w:rStyle w:val="FootnoteReference"/>
          <w:rFonts w:ascii="Times New Roman" w:hAnsi="Times New Roman"/>
        </w:rPr>
        <w:footnoteReference w:id="2"/>
      </w:r>
      <w:r w:rsidRPr="00717C20">
        <w:rPr>
          <w:rFonts w:ascii="Times New Roman" w:hAnsi="Times New Roman"/>
        </w:rPr>
        <w:t xml:space="preserve"> </w:t>
      </w:r>
    </w:p>
    <w:p w:rsidR="001C5440" w:rsidRPr="00717C20" w:rsidRDefault="001C5440" w:rsidP="00E41716">
      <w:pPr>
        <w:spacing w:line="480" w:lineRule="auto"/>
        <w:ind w:firstLine="720"/>
        <w:contextualSpacing/>
        <w:rPr>
          <w:rFonts w:ascii="Times New Roman" w:hAnsi="Times New Roman"/>
        </w:rPr>
      </w:pPr>
      <w:r w:rsidRPr="00717C20">
        <w:rPr>
          <w:rFonts w:ascii="Times New Roman" w:hAnsi="Times New Roman"/>
        </w:rPr>
        <w:t>Gouffé</w:t>
      </w:r>
      <w:r>
        <w:rPr>
          <w:rFonts w:ascii="Times New Roman" w:hAnsi="Times New Roman"/>
        </w:rPr>
        <w:t>’s narrative and eventual acquittal underlines many of the factors that the Tribunal considered when formulating its verdict. First and foremost, Gouffé</w:t>
      </w:r>
      <w:r w:rsidRPr="00717C20">
        <w:rPr>
          <w:rFonts w:ascii="Times New Roman" w:hAnsi="Times New Roman"/>
        </w:rPr>
        <w:t xml:space="preserve"> was a typical workingwoman</w:t>
      </w:r>
      <w:r>
        <w:rPr>
          <w:rFonts w:ascii="Times New Roman" w:hAnsi="Times New Roman"/>
        </w:rPr>
        <w:t xml:space="preserve"> who</w:t>
      </w:r>
      <w:r w:rsidRPr="00717C20">
        <w:rPr>
          <w:rFonts w:ascii="Times New Roman" w:hAnsi="Times New Roman"/>
        </w:rPr>
        <w:t xml:space="preserve"> laundered</w:t>
      </w:r>
      <w:r>
        <w:rPr>
          <w:rFonts w:ascii="Times New Roman" w:hAnsi="Times New Roman"/>
        </w:rPr>
        <w:t xml:space="preserve"> silk stockings. Her class, along with the unspoken political affiliations it implied, immediately lessened the implication of her crime. However, Gouff</w:t>
      </w:r>
      <w:r w:rsidRPr="00717C20">
        <w:rPr>
          <w:rFonts w:ascii="Times New Roman" w:hAnsi="Times New Roman"/>
        </w:rPr>
        <w:t>é’s proactive self-defense before the Tribunal</w:t>
      </w:r>
      <w:r>
        <w:rPr>
          <w:rFonts w:ascii="Times New Roman" w:hAnsi="Times New Roman"/>
        </w:rPr>
        <w:t xml:space="preserve"> further reduced her potential culpability. Through her</w:t>
      </w:r>
      <w:r w:rsidRPr="00717C20">
        <w:rPr>
          <w:rFonts w:ascii="Times New Roman" w:hAnsi="Times New Roman"/>
        </w:rPr>
        <w:t xml:space="preserve"> interrog</w:t>
      </w:r>
      <w:r>
        <w:rPr>
          <w:rFonts w:ascii="Times New Roman" w:hAnsi="Times New Roman"/>
        </w:rPr>
        <w:t>ation and letter of defense, Gouffé</w:t>
      </w:r>
      <w:r w:rsidRPr="00717C20">
        <w:rPr>
          <w:rFonts w:ascii="Times New Roman" w:hAnsi="Times New Roman"/>
        </w:rPr>
        <w:t xml:space="preserve"> </w:t>
      </w:r>
      <w:r>
        <w:rPr>
          <w:rFonts w:ascii="Times New Roman" w:hAnsi="Times New Roman"/>
        </w:rPr>
        <w:t>persuaded the</w:t>
      </w:r>
      <w:r w:rsidRPr="00717C20">
        <w:rPr>
          <w:rFonts w:ascii="Times New Roman" w:hAnsi="Times New Roman"/>
        </w:rPr>
        <w:t xml:space="preserve"> Tribunal that her </w:t>
      </w:r>
      <w:r>
        <w:rPr>
          <w:rFonts w:ascii="Times New Roman" w:hAnsi="Times New Roman"/>
        </w:rPr>
        <w:t>outburst</w:t>
      </w:r>
      <w:r w:rsidRPr="00717C20">
        <w:rPr>
          <w:rFonts w:ascii="Times New Roman" w:hAnsi="Times New Roman"/>
        </w:rPr>
        <w:t xml:space="preserve"> had occurred in a state of madness</w:t>
      </w:r>
      <w:r>
        <w:rPr>
          <w:rFonts w:ascii="Times New Roman" w:hAnsi="Times New Roman"/>
        </w:rPr>
        <w:t xml:space="preserve">. The Tribunal’s acquittal </w:t>
      </w:r>
      <w:r w:rsidRPr="00717C20">
        <w:rPr>
          <w:rFonts w:ascii="Times New Roman" w:hAnsi="Times New Roman"/>
        </w:rPr>
        <w:t>of Gouffé</w:t>
      </w:r>
      <w:r>
        <w:rPr>
          <w:rFonts w:ascii="Times New Roman" w:hAnsi="Times New Roman"/>
        </w:rPr>
        <w:t>, despite the unimpeachable evidence of her outburst,</w:t>
      </w:r>
      <w:r w:rsidRPr="00717C20">
        <w:rPr>
          <w:rFonts w:ascii="Times New Roman" w:hAnsi="Times New Roman"/>
        </w:rPr>
        <w:t xml:space="preserve"> should not be seen as an example of </w:t>
      </w:r>
      <w:r w:rsidRPr="00717C20">
        <w:rPr>
          <w:rFonts w:ascii="Times New Roman" w:hAnsi="Times New Roman"/>
        </w:rPr>
        <w:lastRenderedPageBreak/>
        <w:t xml:space="preserve">the Tribunal’s </w:t>
      </w:r>
      <w:r>
        <w:rPr>
          <w:rFonts w:ascii="Times New Roman" w:hAnsi="Times New Roman"/>
        </w:rPr>
        <w:t>mercy</w:t>
      </w:r>
      <w:r w:rsidRPr="00717C20">
        <w:rPr>
          <w:rFonts w:ascii="Times New Roman" w:hAnsi="Times New Roman"/>
        </w:rPr>
        <w:t xml:space="preserve">, but instead as a case study of </w:t>
      </w:r>
      <w:r>
        <w:rPr>
          <w:rFonts w:ascii="Times New Roman" w:hAnsi="Times New Roman"/>
        </w:rPr>
        <w:t>the myriad factors which informed revolutionary</w:t>
      </w:r>
      <w:r w:rsidRPr="00717C20">
        <w:rPr>
          <w:rFonts w:ascii="Times New Roman" w:hAnsi="Times New Roman"/>
        </w:rPr>
        <w:t xml:space="preserve"> justice.</w:t>
      </w:r>
    </w:p>
    <w:p w:rsidR="001C5440" w:rsidRPr="00717C20" w:rsidRDefault="001C5440" w:rsidP="00E41716">
      <w:pPr>
        <w:spacing w:line="480" w:lineRule="auto"/>
        <w:ind w:firstLine="720"/>
        <w:contextualSpacing/>
        <w:rPr>
          <w:rFonts w:ascii="Times New Roman" w:hAnsi="Times New Roman"/>
        </w:rPr>
      </w:pPr>
      <w:r w:rsidRPr="00717C20">
        <w:rPr>
          <w:rFonts w:ascii="Times New Roman" w:hAnsi="Times New Roman"/>
        </w:rPr>
        <w:t>In just over a year, the Revolutionary Tribunal, Fra</w:t>
      </w:r>
      <w:r>
        <w:rPr>
          <w:rFonts w:ascii="Times New Roman" w:hAnsi="Times New Roman"/>
        </w:rPr>
        <w:t>nce’s highest court for counter</w:t>
      </w:r>
      <w:r w:rsidRPr="00717C20">
        <w:rPr>
          <w:rFonts w:ascii="Times New Roman" w:hAnsi="Times New Roman"/>
        </w:rPr>
        <w:t>revolutionary crimes, tried 4,115 prisoners and condemned 2,684 to death. Of the 579 women tried, 387 were condemned to the guillotine.</w:t>
      </w:r>
      <w:r w:rsidRPr="00717C20">
        <w:rPr>
          <w:rStyle w:val="FootnoteReference"/>
          <w:rFonts w:ascii="Times New Roman" w:hAnsi="Times New Roman"/>
        </w:rPr>
        <w:footnoteReference w:id="3"/>
      </w:r>
      <w:r w:rsidRPr="00717C20">
        <w:rPr>
          <w:rFonts w:ascii="Times New Roman" w:hAnsi="Times New Roman"/>
        </w:rPr>
        <w:t xml:space="preserve"> An integral aspect of the Terror, the Tribunal functioned as the highest court in France for political crimes. Men and women from throughout France were referred to the Revolutionary T</w:t>
      </w:r>
      <w:r>
        <w:rPr>
          <w:rFonts w:ascii="Times New Roman" w:hAnsi="Times New Roman"/>
        </w:rPr>
        <w:t>ribunal for crimes against the R</w:t>
      </w:r>
      <w:r w:rsidRPr="00717C20">
        <w:rPr>
          <w:rFonts w:ascii="Times New Roman" w:hAnsi="Times New Roman"/>
        </w:rPr>
        <w:t>evolution ranging from the destruction of a liberty tree to documented aiding of the enemy.</w:t>
      </w:r>
      <w:r w:rsidRPr="00717C20">
        <w:rPr>
          <w:rStyle w:val="FootnoteReference"/>
          <w:rFonts w:ascii="Times New Roman" w:hAnsi="Times New Roman"/>
        </w:rPr>
        <w:footnoteReference w:id="4"/>
      </w:r>
      <w:r w:rsidRPr="00717C20">
        <w:rPr>
          <w:rFonts w:ascii="Times New Roman" w:hAnsi="Times New Roman"/>
        </w:rPr>
        <w:t xml:space="preserve"> Although the Tribunal was active from April 1793 to July 1794, almost three quarters of the prisoners were condemned in the last three months of its existence, mirroring the increasing radicalization of the Terror in the spring and summer of 1794.</w:t>
      </w:r>
    </w:p>
    <w:p w:rsidR="001C5440" w:rsidRPr="00717C20" w:rsidRDefault="001C5440" w:rsidP="00E41716">
      <w:pPr>
        <w:spacing w:line="480" w:lineRule="auto"/>
        <w:ind w:firstLine="720"/>
        <w:contextualSpacing/>
        <w:rPr>
          <w:rFonts w:ascii="Times New Roman" w:hAnsi="Times New Roman"/>
        </w:rPr>
      </w:pPr>
      <w:r w:rsidRPr="00717C20">
        <w:rPr>
          <w:rFonts w:ascii="Times New Roman" w:hAnsi="Times New Roman"/>
        </w:rPr>
        <w:t>Much scholarly attention has been focused on famous trials</w:t>
      </w:r>
      <w:r w:rsidRPr="00717C20">
        <w:rPr>
          <w:rStyle w:val="FootnoteReference"/>
          <w:rFonts w:ascii="Times New Roman" w:hAnsi="Times New Roman"/>
        </w:rPr>
        <w:footnoteReference w:id="5"/>
      </w:r>
      <w:r w:rsidRPr="00717C20">
        <w:rPr>
          <w:rFonts w:ascii="Times New Roman" w:hAnsi="Times New Roman"/>
        </w:rPr>
        <w:t xml:space="preserve"> of the Revolutionary Tribunal, as well as the outcome of all cases in statistical aggregate.</w:t>
      </w:r>
      <w:r w:rsidRPr="00717C20">
        <w:rPr>
          <w:rStyle w:val="FootnoteReference"/>
          <w:rFonts w:ascii="Times New Roman" w:hAnsi="Times New Roman"/>
        </w:rPr>
        <w:footnoteReference w:id="6"/>
      </w:r>
      <w:r w:rsidRPr="00717C20">
        <w:rPr>
          <w:rFonts w:ascii="Times New Roman" w:hAnsi="Times New Roman"/>
        </w:rPr>
        <w:t xml:space="preserve"> However, very little attention has been paid to the Revolutio</w:t>
      </w:r>
      <w:r>
        <w:rPr>
          <w:rFonts w:ascii="Times New Roman" w:hAnsi="Times New Roman"/>
        </w:rPr>
        <w:t>nary Tribunal’s treatment of its</w:t>
      </w:r>
      <w:r w:rsidRPr="00717C20">
        <w:rPr>
          <w:rFonts w:ascii="Times New Roman" w:hAnsi="Times New Roman"/>
        </w:rPr>
        <w:t xml:space="preserve"> many f</w:t>
      </w:r>
      <w:r>
        <w:rPr>
          <w:rFonts w:ascii="Times New Roman" w:hAnsi="Times New Roman"/>
        </w:rPr>
        <w:t>emale defendants</w:t>
      </w:r>
      <w:r w:rsidRPr="00717C20">
        <w:rPr>
          <w:rFonts w:ascii="Times New Roman" w:hAnsi="Times New Roman"/>
        </w:rPr>
        <w:t xml:space="preserve">. Max Billard’s 1911 book, </w:t>
      </w:r>
      <w:r w:rsidRPr="00717C20">
        <w:rPr>
          <w:rFonts w:ascii="Times New Roman" w:hAnsi="Times New Roman"/>
          <w:i/>
        </w:rPr>
        <w:t xml:space="preserve">Les femmes enceintes devant le tribunal révolutionnaire, </w:t>
      </w:r>
      <w:r w:rsidRPr="00717C20">
        <w:rPr>
          <w:rFonts w:ascii="Times New Roman" w:hAnsi="Times New Roman"/>
        </w:rPr>
        <w:t>is the first concentrated study of women as a group before the Revolutionary Tribunal.</w:t>
      </w:r>
      <w:r w:rsidRPr="00717C20">
        <w:rPr>
          <w:rStyle w:val="FootnoteReference"/>
          <w:rFonts w:ascii="Times New Roman" w:hAnsi="Times New Roman"/>
        </w:rPr>
        <w:footnoteReference w:id="7"/>
      </w:r>
      <w:r w:rsidRPr="00717C20">
        <w:rPr>
          <w:rFonts w:ascii="Times New Roman" w:hAnsi="Times New Roman"/>
        </w:rPr>
        <w:t xml:space="preserve"> Although rich with archival reproductions, his sensationalized and melodramatic interpretation did little to seriously advance scholarly understanding of </w:t>
      </w:r>
      <w:r w:rsidRPr="00717C20">
        <w:rPr>
          <w:rFonts w:ascii="Times New Roman" w:hAnsi="Times New Roman"/>
        </w:rPr>
        <w:lastRenderedPageBreak/>
        <w:t>women’s unique historical position in late eighteenth-century France. Stephanie Brown’s 1996 dissertation was the first truly critical study of this subject.</w:t>
      </w:r>
      <w:r w:rsidRPr="00717C20">
        <w:rPr>
          <w:rStyle w:val="FootnoteReference"/>
          <w:rFonts w:ascii="Times New Roman" w:hAnsi="Times New Roman"/>
        </w:rPr>
        <w:footnoteReference w:id="8"/>
      </w:r>
      <w:r w:rsidRPr="00717C20">
        <w:rPr>
          <w:rFonts w:ascii="Times New Roman" w:hAnsi="Times New Roman"/>
        </w:rPr>
        <w:t xml:space="preserve"> Brown’s detailed analysis of women’s place within the Tribunal comes to a relatively simple conclusion: “Men’s crimes were taken n</w:t>
      </w:r>
      <w:r>
        <w:rPr>
          <w:rFonts w:ascii="Times New Roman" w:hAnsi="Times New Roman"/>
        </w:rPr>
        <w:t>o more seriously than women’s</w:t>
      </w:r>
      <w:r w:rsidRPr="00717C20">
        <w:rPr>
          <w:rFonts w:ascii="Times New Roman" w:hAnsi="Times New Roman"/>
        </w:rPr>
        <w:t xml:space="preserve"> crimes, and women’s crimes were looked on as no more reprehensible for having been committed by women. As it leveled so much else in revolutionary society, the Revolutionary Tribunal leveled gender differences as well.”</w:t>
      </w:r>
      <w:r w:rsidRPr="00717C20">
        <w:rPr>
          <w:rStyle w:val="FootnoteReference"/>
          <w:rFonts w:ascii="Times New Roman" w:hAnsi="Times New Roman"/>
        </w:rPr>
        <w:footnoteReference w:id="9"/>
      </w:r>
    </w:p>
    <w:p w:rsidR="001C5440" w:rsidRDefault="001C5440" w:rsidP="00E41716">
      <w:pPr>
        <w:spacing w:line="480" w:lineRule="auto"/>
        <w:ind w:firstLine="720"/>
        <w:contextualSpacing/>
        <w:rPr>
          <w:rFonts w:ascii="Times New Roman" w:hAnsi="Times New Roman"/>
        </w:rPr>
      </w:pPr>
      <w:r>
        <w:rPr>
          <w:rFonts w:ascii="Times New Roman" w:hAnsi="Times New Roman"/>
        </w:rPr>
        <w:t>Brown’s</w:t>
      </w:r>
      <w:r w:rsidRPr="00717C20">
        <w:rPr>
          <w:rFonts w:ascii="Times New Roman" w:hAnsi="Times New Roman"/>
        </w:rPr>
        <w:t xml:space="preserve"> assertion of the Tribunal’s gender-blind approach to justice is problematic because it fails to acknowledge the Tribunal’s complex understanding of gender and justice.</w:t>
      </w:r>
      <w:r>
        <w:rPr>
          <w:rFonts w:ascii="Times New Roman" w:hAnsi="Times New Roman"/>
        </w:rPr>
        <w:t xml:space="preserve"> I instead will argue that the r</w:t>
      </w:r>
      <w:r w:rsidRPr="00717C20">
        <w:rPr>
          <w:rFonts w:ascii="Times New Roman" w:hAnsi="Times New Roman"/>
        </w:rPr>
        <w:t>evolutionary government, a</w:t>
      </w:r>
      <w:r>
        <w:rPr>
          <w:rFonts w:ascii="Times New Roman" w:hAnsi="Times New Roman"/>
        </w:rPr>
        <w:t>nd especially the Tribunal</w:t>
      </w:r>
      <w:r w:rsidRPr="00717C20">
        <w:rPr>
          <w:rFonts w:ascii="Times New Roman" w:hAnsi="Times New Roman"/>
        </w:rPr>
        <w:t xml:space="preserve">, deeply feared both the real and imagined influence of women in society and politics. </w:t>
      </w:r>
      <w:r>
        <w:rPr>
          <w:rFonts w:ascii="Times New Roman" w:hAnsi="Times New Roman"/>
        </w:rPr>
        <w:t>To effectively mount a defense, a woma</w:t>
      </w:r>
      <w:r w:rsidRPr="00717C20">
        <w:rPr>
          <w:rFonts w:ascii="Times New Roman" w:hAnsi="Times New Roman"/>
        </w:rPr>
        <w:t>n needed to catch the attention of the public</w:t>
      </w:r>
      <w:r>
        <w:rPr>
          <w:rFonts w:ascii="Times New Roman" w:hAnsi="Times New Roman"/>
        </w:rPr>
        <w:t xml:space="preserve"> </w:t>
      </w:r>
      <w:r w:rsidRPr="00821D88">
        <w:rPr>
          <w:rFonts w:ascii="Times New Roman" w:hAnsi="Times New Roman"/>
        </w:rPr>
        <w:t xml:space="preserve">prosecutor </w:t>
      </w:r>
      <w:r>
        <w:rPr>
          <w:rFonts w:ascii="Times New Roman" w:hAnsi="Times New Roman"/>
        </w:rPr>
        <w:t>and jury before her case went to</w:t>
      </w:r>
      <w:r w:rsidRPr="00821D88">
        <w:rPr>
          <w:rFonts w:ascii="Times New Roman" w:hAnsi="Times New Roman"/>
        </w:rPr>
        <w:t xml:space="preserve"> trial. The best way for a woman to free herself from the conveyor belt of revolutionary justice was to humanize herself within the Tribunal. By establishing herself as a key contributor to her local, politically active community, the defendant contextualized her purported crime within a larger narrative.</w:t>
      </w:r>
      <w:r>
        <w:rPr>
          <w:rFonts w:ascii="Times New Roman" w:hAnsi="Times New Roman"/>
        </w:rPr>
        <w:t xml:space="preserve"> </w:t>
      </w:r>
      <w:r w:rsidRPr="00821D88">
        <w:rPr>
          <w:rFonts w:ascii="Times New Roman" w:hAnsi="Times New Roman"/>
        </w:rPr>
        <w:t>While the Revolution</w:t>
      </w:r>
      <w:r w:rsidRPr="00717C20">
        <w:rPr>
          <w:rFonts w:ascii="Times New Roman" w:hAnsi="Times New Roman"/>
        </w:rPr>
        <w:t xml:space="preserve"> idealized blind justice and equality, </w:t>
      </w:r>
      <w:r>
        <w:rPr>
          <w:rFonts w:ascii="Times New Roman" w:hAnsi="Times New Roman"/>
        </w:rPr>
        <w:t xml:space="preserve">I argue that </w:t>
      </w:r>
      <w:r w:rsidRPr="00717C20">
        <w:rPr>
          <w:rFonts w:ascii="Times New Roman" w:hAnsi="Times New Roman"/>
        </w:rPr>
        <w:t>the Revolutionary Tribunal nonetheless judged both the crimes and defenses of women on a different scale than that of their male counterparts.</w:t>
      </w:r>
      <w:r>
        <w:rPr>
          <w:rFonts w:ascii="Times New Roman" w:hAnsi="Times New Roman"/>
        </w:rPr>
        <w:t xml:space="preserve"> </w:t>
      </w:r>
      <w:r w:rsidRPr="00717C20">
        <w:rPr>
          <w:rFonts w:ascii="Times New Roman" w:hAnsi="Times New Roman"/>
        </w:rPr>
        <w:t xml:space="preserve"> </w:t>
      </w:r>
    </w:p>
    <w:p w:rsidR="001C5440" w:rsidRDefault="001C5440" w:rsidP="00E41716">
      <w:pPr>
        <w:spacing w:line="480" w:lineRule="auto"/>
        <w:ind w:firstLine="720"/>
        <w:contextualSpacing/>
        <w:rPr>
          <w:rFonts w:ascii="Times New Roman" w:hAnsi="Times New Roman"/>
        </w:rPr>
      </w:pPr>
      <w:r w:rsidRPr="00717C20">
        <w:rPr>
          <w:rFonts w:ascii="Times New Roman" w:hAnsi="Times New Roman"/>
        </w:rPr>
        <w:t xml:space="preserve">To better understand the Tribunal’s complex view of </w:t>
      </w:r>
      <w:r>
        <w:rPr>
          <w:rFonts w:ascii="Times New Roman" w:hAnsi="Times New Roman"/>
        </w:rPr>
        <w:t>women, I will first elaborate</w:t>
      </w:r>
      <w:r w:rsidRPr="00717C20">
        <w:rPr>
          <w:rFonts w:ascii="Times New Roman" w:hAnsi="Times New Roman"/>
        </w:rPr>
        <w:t xml:space="preserve"> the practical and logistical realities that led to the need for an eye-catching, </w:t>
      </w:r>
      <w:r>
        <w:rPr>
          <w:rFonts w:ascii="Times New Roman" w:hAnsi="Times New Roman"/>
        </w:rPr>
        <w:t>narrative</w:t>
      </w:r>
      <w:r w:rsidRPr="00717C20">
        <w:rPr>
          <w:rFonts w:ascii="Times New Roman" w:hAnsi="Times New Roman"/>
        </w:rPr>
        <w:t xml:space="preserve"> defense for women. Second, studying the Tribunal’s response to different categories of </w:t>
      </w:r>
      <w:r w:rsidRPr="00717C20">
        <w:rPr>
          <w:rFonts w:ascii="Times New Roman" w:hAnsi="Times New Roman"/>
        </w:rPr>
        <w:lastRenderedPageBreak/>
        <w:t>crimes commonly committed by women will concretely demonstrate the Tribunal’s fear of women’s influence and the instances in which this influence was most threatening. Last, I will explore the efficacy of different forms of defense common among women and the success of attention-grabbing vignette</w:t>
      </w:r>
      <w:r>
        <w:rPr>
          <w:rFonts w:ascii="Times New Roman" w:hAnsi="Times New Roman"/>
        </w:rPr>
        <w:t>s</w:t>
      </w:r>
      <w:r w:rsidRPr="00717C20">
        <w:rPr>
          <w:rFonts w:ascii="Times New Roman" w:hAnsi="Times New Roman"/>
        </w:rPr>
        <w:t xml:space="preserve">. These inquiries will help nuance the understanding of women before the Tribunal and </w:t>
      </w:r>
      <w:r>
        <w:rPr>
          <w:rFonts w:ascii="Times New Roman" w:hAnsi="Times New Roman"/>
        </w:rPr>
        <w:t>shed light on the Tribunal’s complex, but inherently systematic, reaction towards female crime and culpability.</w:t>
      </w:r>
    </w:p>
    <w:p w:rsidR="00EF5359" w:rsidRDefault="00EF5359" w:rsidP="00EF5359">
      <w:pPr>
        <w:spacing w:after="0"/>
        <w:rPr>
          <w:rFonts w:ascii="Times New Roman" w:hAnsi="Times New Roman"/>
        </w:rPr>
      </w:pPr>
      <w:r>
        <w:rPr>
          <w:rFonts w:ascii="Times New Roman" w:hAnsi="Times New Roman"/>
          <w:sz w:val="28"/>
        </w:rPr>
        <w:br w:type="page"/>
      </w:r>
      <w:r w:rsidR="001C5440" w:rsidRPr="00EF5359">
        <w:rPr>
          <w:rFonts w:ascii="Times New Roman" w:hAnsi="Times New Roman"/>
          <w:sz w:val="36"/>
        </w:rPr>
        <w:lastRenderedPageBreak/>
        <w:t>M</w:t>
      </w:r>
      <w:r w:rsidR="001C5440" w:rsidRPr="004D5344">
        <w:rPr>
          <w:rFonts w:ascii="Times New Roman" w:hAnsi="Times New Roman"/>
          <w:sz w:val="28"/>
        </w:rPr>
        <w:t>ethodology</w:t>
      </w:r>
    </w:p>
    <w:p w:rsidR="001C5440" w:rsidRPr="00EF5359" w:rsidRDefault="001C5440" w:rsidP="00EF5359">
      <w:pPr>
        <w:spacing w:after="0"/>
        <w:rPr>
          <w:rFonts w:ascii="Times New Roman" w:hAnsi="Times New Roman"/>
        </w:rPr>
      </w:pPr>
    </w:p>
    <w:p w:rsidR="001C5440" w:rsidRDefault="001C5440" w:rsidP="00E41716">
      <w:pPr>
        <w:spacing w:line="480" w:lineRule="auto"/>
        <w:contextualSpacing/>
        <w:rPr>
          <w:rFonts w:ascii="Times New Roman" w:hAnsi="Times New Roman"/>
        </w:rPr>
      </w:pPr>
      <w:r>
        <w:rPr>
          <w:rFonts w:ascii="Times New Roman" w:hAnsi="Times New Roman"/>
        </w:rPr>
        <w:tab/>
        <w:t>I examined ninety-two trial dossiers, which contained the records of 137 individual female defendants.</w:t>
      </w:r>
      <w:r>
        <w:rPr>
          <w:rStyle w:val="FootnoteReference"/>
          <w:rFonts w:ascii="Times New Roman" w:hAnsi="Times New Roman"/>
        </w:rPr>
        <w:footnoteReference w:id="10"/>
      </w:r>
      <w:r>
        <w:rPr>
          <w:rFonts w:ascii="Times New Roman" w:hAnsi="Times New Roman"/>
        </w:rPr>
        <w:t xml:space="preserve"> Of these dossiers, twenty-seven contained some form of written defense. In order to create the largest base of source material within time limitations, I gave preferential treatment to cases not presented in Stephanie Brown’s thesis. Instead, I have relied upon the archival research (though not the interpretation) of Brown. She closely analyzed the dossiers of ninety-three female defendants and found thirty examples of written defense. Her cases were chosen through random number generation. </w:t>
      </w:r>
    </w:p>
    <w:p w:rsidR="001C5440" w:rsidRDefault="001C5440" w:rsidP="00E41716">
      <w:pPr>
        <w:spacing w:line="480" w:lineRule="auto"/>
        <w:ind w:firstLine="720"/>
        <w:contextualSpacing/>
        <w:rPr>
          <w:rFonts w:ascii="Times New Roman" w:hAnsi="Times New Roman"/>
        </w:rPr>
      </w:pPr>
      <w:r>
        <w:rPr>
          <w:rFonts w:ascii="Times New Roman" w:hAnsi="Times New Roman"/>
        </w:rPr>
        <w:t xml:space="preserve">My process differed somewhat from Brown’s. After compiling a list of cases with at least one female defendant, I randomly chose archival boxes to examine. This method was initially chosen because of its flexibility and practicality. It soon became apparent, however, that trials extremely early and extremely late within the Tribunal’s history were of little historical use and I instead focused my limited time on cases that fell between September 1793 and June 1794. </w:t>
      </w:r>
    </w:p>
    <w:p w:rsidR="00EF5359" w:rsidRDefault="001C5440" w:rsidP="00EF5359">
      <w:pPr>
        <w:spacing w:line="480" w:lineRule="auto"/>
        <w:ind w:firstLine="720"/>
        <w:contextualSpacing/>
        <w:rPr>
          <w:rFonts w:ascii="Times New Roman" w:hAnsi="Times New Roman"/>
        </w:rPr>
      </w:pPr>
      <w:r>
        <w:rPr>
          <w:rFonts w:ascii="Times New Roman" w:hAnsi="Times New Roman"/>
        </w:rPr>
        <w:t>My sampling method limits the scope of my findings in two specific manners. I closely studied the trials of men and women tried together, but I researched only a handful of male cases outside of this context. Therefore, the conclusions presented in this thesis cannot fully compare the Tribunal’s perception of women and men. Further, I did not conduct a statistically random sample. Because the sample set was not entirely random, the importance of social classes cannot be thoroughly understood. Further research must be undertaken to better grasp the intricacies of gende</w:t>
      </w:r>
      <w:r w:rsidR="00EF5359">
        <w:rPr>
          <w:rFonts w:ascii="Times New Roman" w:hAnsi="Times New Roman"/>
        </w:rPr>
        <w:t>r and class within the Tribunal.</w:t>
      </w:r>
    </w:p>
    <w:p w:rsidR="00EF5359" w:rsidRDefault="00EF5359" w:rsidP="00EF5359">
      <w:pPr>
        <w:spacing w:after="0"/>
        <w:rPr>
          <w:rFonts w:ascii="Times New Roman" w:hAnsi="Times New Roman"/>
        </w:rPr>
      </w:pPr>
      <w:r>
        <w:rPr>
          <w:rFonts w:ascii="Times New Roman" w:hAnsi="Times New Roman"/>
        </w:rPr>
        <w:br w:type="page"/>
      </w:r>
      <w:r>
        <w:rPr>
          <w:rFonts w:ascii="Times New Roman" w:hAnsi="Times New Roman"/>
          <w:sz w:val="36"/>
        </w:rPr>
        <w:lastRenderedPageBreak/>
        <w:t>H</w:t>
      </w:r>
      <w:r w:rsidR="001C5440" w:rsidRPr="00717C20">
        <w:rPr>
          <w:rFonts w:ascii="Times New Roman" w:hAnsi="Times New Roman"/>
          <w:sz w:val="28"/>
        </w:rPr>
        <w:t>istory of the Tribunal</w:t>
      </w:r>
    </w:p>
    <w:p w:rsidR="001C5440" w:rsidRPr="00EF5359" w:rsidRDefault="001C5440" w:rsidP="00EF5359">
      <w:pPr>
        <w:spacing w:after="0"/>
        <w:rPr>
          <w:rFonts w:ascii="Times New Roman" w:hAnsi="Times New Roman"/>
        </w:rPr>
      </w:pPr>
    </w:p>
    <w:p w:rsidR="001C5440" w:rsidRDefault="001C5440" w:rsidP="00E41716">
      <w:pPr>
        <w:spacing w:line="480" w:lineRule="auto"/>
        <w:contextualSpacing/>
        <w:rPr>
          <w:rFonts w:ascii="Times New Roman" w:hAnsi="Times New Roman"/>
        </w:rPr>
      </w:pPr>
      <w:r>
        <w:rPr>
          <w:rFonts w:ascii="Times New Roman" w:hAnsi="Times New Roman"/>
        </w:rPr>
        <w:tab/>
        <w:t>Changing ideas of justice, as well as the organization of the Tribunal and the logistics involved in bringing a case to trial, profoundly shaped the Tribunal’s reaction to female crime and defense. T</w:t>
      </w:r>
      <w:r w:rsidRPr="00717C20">
        <w:rPr>
          <w:rFonts w:ascii="Times New Roman" w:hAnsi="Times New Roman"/>
        </w:rPr>
        <w:t>o properly understand the creation and eventual organizat</w:t>
      </w:r>
      <w:r>
        <w:rPr>
          <w:rFonts w:ascii="Times New Roman" w:hAnsi="Times New Roman"/>
        </w:rPr>
        <w:t>ion of the Tribunal, it is</w:t>
      </w:r>
      <w:r w:rsidRPr="00717C20">
        <w:rPr>
          <w:rFonts w:ascii="Times New Roman" w:hAnsi="Times New Roman"/>
        </w:rPr>
        <w:t xml:space="preserve"> necessary to briefly discuss the workings of justice during the Old Regime.</w:t>
      </w:r>
    </w:p>
    <w:p w:rsidR="001C5440" w:rsidRPr="00717C20" w:rsidRDefault="001C5440" w:rsidP="00E41716">
      <w:pPr>
        <w:spacing w:line="480" w:lineRule="auto"/>
        <w:ind w:firstLine="720"/>
        <w:contextualSpacing/>
        <w:rPr>
          <w:rFonts w:ascii="Times New Roman" w:hAnsi="Times New Roman"/>
        </w:rPr>
      </w:pPr>
      <w:r w:rsidRPr="00717C20">
        <w:rPr>
          <w:rFonts w:ascii="Times New Roman" w:hAnsi="Times New Roman"/>
        </w:rPr>
        <w:t xml:space="preserve">Two main systems of judgment—the formal judicial process and the extra-judicial practice of </w:t>
      </w:r>
      <w:r w:rsidRPr="00717C20">
        <w:rPr>
          <w:rFonts w:ascii="Times New Roman" w:hAnsi="Times New Roman"/>
          <w:i/>
        </w:rPr>
        <w:t>lettres de cachet—</w:t>
      </w:r>
      <w:r>
        <w:rPr>
          <w:rFonts w:ascii="Times New Roman" w:hAnsi="Times New Roman"/>
        </w:rPr>
        <w:t>policed the actions of Frenchme</w:t>
      </w:r>
      <w:r w:rsidRPr="00717C20">
        <w:rPr>
          <w:rFonts w:ascii="Times New Roman" w:hAnsi="Times New Roman"/>
        </w:rPr>
        <w:t xml:space="preserve">n </w:t>
      </w:r>
      <w:r>
        <w:rPr>
          <w:rFonts w:ascii="Times New Roman" w:hAnsi="Times New Roman"/>
        </w:rPr>
        <w:t>before the introduction of the r</w:t>
      </w:r>
      <w:r w:rsidRPr="00717C20">
        <w:rPr>
          <w:rFonts w:ascii="Times New Roman" w:hAnsi="Times New Roman"/>
        </w:rPr>
        <w:t>evolutionary justice system.</w:t>
      </w:r>
      <w:r w:rsidRPr="00717C20">
        <w:rPr>
          <w:rStyle w:val="FootnoteReference"/>
          <w:rFonts w:ascii="Times New Roman" w:hAnsi="Times New Roman"/>
        </w:rPr>
        <w:footnoteReference w:id="11"/>
      </w:r>
      <w:r w:rsidRPr="00717C20">
        <w:rPr>
          <w:rFonts w:ascii="Times New Roman" w:hAnsi="Times New Roman"/>
        </w:rPr>
        <w:t xml:space="preserve"> The formal judicial process occurred entirely in private, and although </w:t>
      </w:r>
      <w:r>
        <w:rPr>
          <w:rFonts w:ascii="Times New Roman" w:hAnsi="Times New Roman"/>
        </w:rPr>
        <w:t xml:space="preserve">the defendant and plaintiff did </w:t>
      </w:r>
      <w:r w:rsidRPr="00717C20">
        <w:rPr>
          <w:rFonts w:ascii="Times New Roman" w:hAnsi="Times New Roman"/>
        </w:rPr>
        <w:t>theoretica</w:t>
      </w:r>
      <w:r>
        <w:rPr>
          <w:rFonts w:ascii="Times New Roman" w:hAnsi="Times New Roman"/>
        </w:rPr>
        <w:t>l</w:t>
      </w:r>
      <w:r w:rsidRPr="00717C20">
        <w:rPr>
          <w:rFonts w:ascii="Times New Roman" w:hAnsi="Times New Roman"/>
        </w:rPr>
        <w:t>l</w:t>
      </w:r>
      <w:r>
        <w:rPr>
          <w:rFonts w:ascii="Times New Roman" w:hAnsi="Times New Roman"/>
        </w:rPr>
        <w:t>y have</w:t>
      </w:r>
      <w:r w:rsidRPr="00717C20">
        <w:rPr>
          <w:rFonts w:ascii="Times New Roman" w:hAnsi="Times New Roman"/>
        </w:rPr>
        <w:t xml:space="preserve"> access to lawyers, their use was neither encouraged nor widespread.</w:t>
      </w:r>
      <w:r w:rsidRPr="00717C20">
        <w:rPr>
          <w:rStyle w:val="FootnoteReference"/>
          <w:rFonts w:ascii="Times New Roman" w:hAnsi="Times New Roman"/>
        </w:rPr>
        <w:footnoteReference w:id="12"/>
      </w:r>
      <w:r w:rsidRPr="00717C20">
        <w:rPr>
          <w:rFonts w:ascii="Times New Roman" w:hAnsi="Times New Roman"/>
        </w:rPr>
        <w:t xml:space="preserve"> </w:t>
      </w:r>
      <w:r>
        <w:rPr>
          <w:rFonts w:ascii="Times New Roman" w:hAnsi="Times New Roman"/>
        </w:rPr>
        <w:t>Secrecy cloaked both the formal judicial process and t</w:t>
      </w:r>
      <w:r w:rsidRPr="00717C20">
        <w:rPr>
          <w:rFonts w:ascii="Times New Roman" w:hAnsi="Times New Roman"/>
        </w:rPr>
        <w:t xml:space="preserve">he </w:t>
      </w:r>
      <w:r w:rsidRPr="00717C20">
        <w:rPr>
          <w:rFonts w:ascii="Times New Roman" w:hAnsi="Times New Roman"/>
          <w:i/>
        </w:rPr>
        <w:t>lettre de cachet</w:t>
      </w:r>
      <w:r>
        <w:rPr>
          <w:rFonts w:ascii="Times New Roman" w:hAnsi="Times New Roman"/>
        </w:rPr>
        <w:t xml:space="preserve">. </w:t>
      </w:r>
      <w:r w:rsidRPr="00717C20">
        <w:rPr>
          <w:rFonts w:ascii="Times New Roman" w:hAnsi="Times New Roman"/>
        </w:rPr>
        <w:t xml:space="preserve">Once approved by the king, these </w:t>
      </w:r>
      <w:r w:rsidRPr="00717C20">
        <w:rPr>
          <w:rFonts w:ascii="Times New Roman" w:hAnsi="Times New Roman"/>
          <w:i/>
        </w:rPr>
        <w:t>lettres</w:t>
      </w:r>
      <w:r w:rsidRPr="00717C20">
        <w:rPr>
          <w:rFonts w:ascii="Times New Roman" w:hAnsi="Times New Roman"/>
        </w:rPr>
        <w:t xml:space="preserve"> secretly whisked the defendant from his or her home and locked the defendant in prison for an indefinite period on unspecified grounds. The profound secrecy characteristic of both forms of judgment and the absolute power of the judge or </w:t>
      </w:r>
      <w:r w:rsidRPr="00717C20">
        <w:rPr>
          <w:rFonts w:ascii="Times New Roman" w:hAnsi="Times New Roman"/>
          <w:i/>
        </w:rPr>
        <w:t>lettre de cachet</w:t>
      </w:r>
      <w:r w:rsidRPr="00717C20">
        <w:rPr>
          <w:rFonts w:ascii="Times New Roman" w:hAnsi="Times New Roman"/>
        </w:rPr>
        <w:t xml:space="preserve"> within the proceedings came to be associated with increasingly unpopular absolutist monarchy.</w:t>
      </w:r>
      <w:r w:rsidRPr="00717C20">
        <w:rPr>
          <w:rStyle w:val="FootnoteReference"/>
          <w:rFonts w:ascii="Times New Roman" w:hAnsi="Times New Roman"/>
        </w:rPr>
        <w:footnoteReference w:id="13"/>
      </w:r>
    </w:p>
    <w:p w:rsidR="001C5440" w:rsidRPr="00717C20" w:rsidRDefault="001C5440" w:rsidP="00E41716">
      <w:pPr>
        <w:spacing w:line="480" w:lineRule="auto"/>
        <w:ind w:firstLine="720"/>
        <w:contextualSpacing/>
        <w:rPr>
          <w:rFonts w:ascii="Times New Roman" w:hAnsi="Times New Roman"/>
        </w:rPr>
      </w:pPr>
      <w:r>
        <w:rPr>
          <w:rFonts w:ascii="Times New Roman" w:hAnsi="Times New Roman"/>
        </w:rPr>
        <w:t>This legacy inspired the new r</w:t>
      </w:r>
      <w:r w:rsidRPr="00717C20">
        <w:rPr>
          <w:rFonts w:ascii="Times New Roman" w:hAnsi="Times New Roman"/>
        </w:rPr>
        <w:t xml:space="preserve">evolutionary government to </w:t>
      </w:r>
      <w:r>
        <w:rPr>
          <w:rFonts w:ascii="Times New Roman" w:hAnsi="Times New Roman"/>
        </w:rPr>
        <w:t>overhaul</w:t>
      </w:r>
      <w:r w:rsidRPr="00717C20">
        <w:rPr>
          <w:rFonts w:ascii="Times New Roman" w:hAnsi="Times New Roman"/>
        </w:rPr>
        <w:t xml:space="preserve"> the old judicial systems founded upon corruption and absolute power. Initially, </w:t>
      </w:r>
      <w:r>
        <w:rPr>
          <w:rFonts w:ascii="Times New Roman" w:hAnsi="Times New Roman"/>
        </w:rPr>
        <w:t xml:space="preserve">the government crafted </w:t>
      </w:r>
      <w:r w:rsidRPr="00717C20">
        <w:rPr>
          <w:rFonts w:ascii="Times New Roman" w:hAnsi="Times New Roman"/>
        </w:rPr>
        <w:t>the new civil code and criminal courts</w:t>
      </w:r>
      <w:r>
        <w:rPr>
          <w:rFonts w:ascii="Times New Roman" w:hAnsi="Times New Roman"/>
        </w:rPr>
        <w:t xml:space="preserve"> to fulfill this need</w:t>
      </w:r>
      <w:r w:rsidRPr="00717C20">
        <w:rPr>
          <w:rFonts w:ascii="Times New Roman" w:hAnsi="Times New Roman"/>
        </w:rPr>
        <w:t xml:space="preserve">. These institutions, however, were soon deemed insufficient for trying those convicted of </w:t>
      </w:r>
      <w:r w:rsidRPr="00717C20">
        <w:rPr>
          <w:rFonts w:ascii="Times New Roman" w:hAnsi="Times New Roman"/>
          <w:i/>
        </w:rPr>
        <w:t>lèse-nation</w:t>
      </w:r>
      <w:r w:rsidRPr="00717C20">
        <w:rPr>
          <w:rFonts w:ascii="Times New Roman" w:hAnsi="Times New Roman"/>
        </w:rPr>
        <w:t xml:space="preserve">—crimes against the </w:t>
      </w:r>
      <w:r w:rsidRPr="00717C20">
        <w:rPr>
          <w:rFonts w:ascii="Times New Roman" w:hAnsi="Times New Roman"/>
        </w:rPr>
        <w:lastRenderedPageBreak/>
        <w:t>state.</w:t>
      </w:r>
      <w:r w:rsidRPr="00717C20">
        <w:rPr>
          <w:rStyle w:val="FootnoteReference"/>
          <w:rFonts w:ascii="Times New Roman" w:hAnsi="Times New Roman"/>
        </w:rPr>
        <w:footnoteReference w:id="14"/>
      </w:r>
      <w:r w:rsidRPr="00717C20">
        <w:rPr>
          <w:rFonts w:ascii="Times New Roman" w:hAnsi="Times New Roman"/>
        </w:rPr>
        <w:t xml:space="preserve"> Immediately following the radical uprising in Paris on 10 August 1792, the Assembly created a special court to judge, without appeal, “the crimes committed against the people on 10 August.” Its organization consisted of eight judges, two public prosecutors</w:t>
      </w:r>
      <w:r>
        <w:rPr>
          <w:rFonts w:ascii="Times New Roman" w:hAnsi="Times New Roman"/>
        </w:rPr>
        <w:t xml:space="preserve">, and four clerks, each </w:t>
      </w:r>
      <w:r w:rsidRPr="00717C20">
        <w:rPr>
          <w:rFonts w:ascii="Times New Roman" w:hAnsi="Times New Roman"/>
        </w:rPr>
        <w:t>chosen by the surrounding Paris sections.</w:t>
      </w:r>
      <w:r w:rsidRPr="00717C20">
        <w:rPr>
          <w:rStyle w:val="FootnoteReference"/>
          <w:rFonts w:ascii="Times New Roman" w:hAnsi="Times New Roman"/>
        </w:rPr>
        <w:footnoteReference w:id="15"/>
      </w:r>
      <w:r w:rsidRPr="00717C20">
        <w:rPr>
          <w:rFonts w:ascii="Times New Roman" w:hAnsi="Times New Roman"/>
        </w:rPr>
        <w:t xml:space="preserve"> Slow, deliberate, and loath to ascribe the death penalty, this court moved too </w:t>
      </w:r>
      <w:r>
        <w:rPr>
          <w:rFonts w:ascii="Times New Roman" w:hAnsi="Times New Roman"/>
        </w:rPr>
        <w:t>glacially</w:t>
      </w:r>
      <w:r w:rsidRPr="00717C20">
        <w:rPr>
          <w:rFonts w:ascii="Times New Roman" w:hAnsi="Times New Roman"/>
        </w:rPr>
        <w:t xml:space="preserve"> for the increasingly radical Parisian population. The Parisian revolutionaries expressed their fury during the September Massacres—2-6 September 1792—which resulted in the murder of over 1000 prisoners being held in Parisian jails.</w:t>
      </w:r>
      <w:r w:rsidRPr="00717C20">
        <w:rPr>
          <w:rStyle w:val="FootnoteReference"/>
          <w:rFonts w:ascii="Times New Roman" w:hAnsi="Times New Roman"/>
        </w:rPr>
        <w:footnoteReference w:id="16"/>
      </w:r>
      <w:r w:rsidRPr="00717C20">
        <w:rPr>
          <w:rFonts w:ascii="Times New Roman" w:hAnsi="Times New Roman"/>
        </w:rPr>
        <w:t xml:space="preserve"> The plodding pace of revolutionary justice </w:t>
      </w:r>
      <w:r>
        <w:rPr>
          <w:rFonts w:ascii="Times New Roman" w:hAnsi="Times New Roman"/>
        </w:rPr>
        <w:t xml:space="preserve">infuriated </w:t>
      </w:r>
      <w:r w:rsidRPr="00717C20">
        <w:rPr>
          <w:rFonts w:ascii="Times New Roman" w:hAnsi="Times New Roman"/>
        </w:rPr>
        <w:t>many revolutionary patriots in Paris.</w:t>
      </w:r>
    </w:p>
    <w:p w:rsidR="001C5440" w:rsidRPr="00717C20" w:rsidRDefault="001C5440" w:rsidP="00E41716">
      <w:pPr>
        <w:spacing w:line="480" w:lineRule="auto"/>
        <w:ind w:firstLine="720"/>
        <w:contextualSpacing/>
        <w:rPr>
          <w:rFonts w:ascii="Times New Roman" w:hAnsi="Times New Roman"/>
        </w:rPr>
      </w:pPr>
      <w:r w:rsidRPr="00717C20">
        <w:rPr>
          <w:rFonts w:ascii="Times New Roman" w:hAnsi="Times New Roman"/>
        </w:rPr>
        <w:t xml:space="preserve">However, the court of 17 August survived for another two months, despite criticism from both the Parisian radicals and the Assembly itself. </w:t>
      </w:r>
      <w:r>
        <w:rPr>
          <w:rFonts w:ascii="Times New Roman" w:hAnsi="Times New Roman"/>
        </w:rPr>
        <w:t xml:space="preserve">The Assembly waited </w:t>
      </w:r>
      <w:r w:rsidRPr="00717C20">
        <w:rPr>
          <w:rFonts w:ascii="Times New Roman" w:hAnsi="Times New Roman"/>
        </w:rPr>
        <w:t>until 29 November</w:t>
      </w:r>
      <w:r>
        <w:rPr>
          <w:rFonts w:ascii="Times New Roman" w:hAnsi="Times New Roman"/>
        </w:rPr>
        <w:t xml:space="preserve"> to suppress the special court</w:t>
      </w:r>
      <w:r w:rsidRPr="00717C20">
        <w:rPr>
          <w:rFonts w:ascii="Times New Roman" w:hAnsi="Times New Roman"/>
        </w:rPr>
        <w:t xml:space="preserve">, and, most interestingly, no court was immediately created to try crimes of </w:t>
      </w:r>
      <w:r>
        <w:rPr>
          <w:rFonts w:ascii="Times New Roman" w:hAnsi="Times New Roman"/>
          <w:i/>
        </w:rPr>
        <w:t>lè</w:t>
      </w:r>
      <w:r w:rsidRPr="00717C20">
        <w:rPr>
          <w:rFonts w:ascii="Times New Roman" w:hAnsi="Times New Roman"/>
          <w:i/>
        </w:rPr>
        <w:t>se-nation.</w:t>
      </w:r>
      <w:r w:rsidRPr="00717C20">
        <w:rPr>
          <w:rStyle w:val="FootnoteReference"/>
          <w:rFonts w:ascii="Times New Roman" w:hAnsi="Times New Roman"/>
          <w:i/>
        </w:rPr>
        <w:footnoteReference w:id="17"/>
      </w:r>
      <w:r>
        <w:rPr>
          <w:rFonts w:ascii="Times New Roman" w:hAnsi="Times New Roman"/>
          <w:i/>
        </w:rPr>
        <w:t xml:space="preserve"> </w:t>
      </w:r>
      <w:r w:rsidRPr="00717C20">
        <w:rPr>
          <w:rFonts w:ascii="Times New Roman" w:hAnsi="Times New Roman"/>
        </w:rPr>
        <w:t>Four months lapsed between the closure of the 17 August court and the creation in March 1793 of the Revolutionary Tribunal, officially named the “Extraordinary Criminal Tribunal.”</w:t>
      </w:r>
      <w:r w:rsidRPr="00717C20">
        <w:rPr>
          <w:rStyle w:val="FootnoteReference"/>
          <w:rFonts w:ascii="Times New Roman" w:hAnsi="Times New Roman"/>
        </w:rPr>
        <w:footnoteReference w:id="18"/>
      </w:r>
      <w:r>
        <w:rPr>
          <w:rFonts w:ascii="Times New Roman" w:hAnsi="Times New Roman"/>
        </w:rPr>
        <w:t xml:space="preserve"> The</w:t>
      </w:r>
      <w:r w:rsidRPr="00717C20">
        <w:rPr>
          <w:rFonts w:ascii="Times New Roman" w:hAnsi="Times New Roman"/>
        </w:rPr>
        <w:t xml:space="preserve"> decree, however, was by no m</w:t>
      </w:r>
      <w:r>
        <w:rPr>
          <w:rFonts w:ascii="Times New Roman" w:hAnsi="Times New Roman"/>
        </w:rPr>
        <w:t>eans unanimous. Certain Convention</w:t>
      </w:r>
      <w:r w:rsidRPr="00717C20">
        <w:rPr>
          <w:rFonts w:ascii="Times New Roman" w:hAnsi="Times New Roman"/>
        </w:rPr>
        <w:t xml:space="preserve"> members, such as Jean-Denis Lanjuinais</w:t>
      </w:r>
      <w:r>
        <w:rPr>
          <w:rFonts w:ascii="Times New Roman" w:hAnsi="Times New Roman"/>
        </w:rPr>
        <w:t>,</w:t>
      </w:r>
      <w:r w:rsidRPr="00717C20">
        <w:rPr>
          <w:rFonts w:ascii="Times New Roman" w:hAnsi="Times New Roman"/>
        </w:rPr>
        <w:t xml:space="preserve"> oppose</w:t>
      </w:r>
      <w:r>
        <w:rPr>
          <w:rFonts w:ascii="Times New Roman" w:hAnsi="Times New Roman"/>
        </w:rPr>
        <w:t xml:space="preserve">d the new tribunal “because it </w:t>
      </w:r>
      <w:r w:rsidRPr="00717C20">
        <w:rPr>
          <w:rFonts w:ascii="Times New Roman" w:hAnsi="Times New Roman"/>
        </w:rPr>
        <w:t>would trample underfoot all that was written in the Declaration of Rights and all that has been until now the steadfast and inviolable basis both of the civil code and of criminal legislation.</w:t>
      </w:r>
      <w:r>
        <w:rPr>
          <w:rFonts w:ascii="Times New Roman" w:hAnsi="Times New Roman"/>
        </w:rPr>
        <w:t>”</w:t>
      </w:r>
      <w:r w:rsidRPr="00717C20">
        <w:rPr>
          <w:rFonts w:ascii="Times New Roman" w:hAnsi="Times New Roman"/>
        </w:rPr>
        <w:t xml:space="preserve"> He fe</w:t>
      </w:r>
      <w:r>
        <w:rPr>
          <w:rFonts w:ascii="Times New Roman" w:hAnsi="Times New Roman"/>
        </w:rPr>
        <w:t>ared the absolute authority</w:t>
      </w:r>
      <w:r w:rsidRPr="00717C20">
        <w:rPr>
          <w:rFonts w:ascii="Times New Roman" w:hAnsi="Times New Roman"/>
        </w:rPr>
        <w:t xml:space="preserve"> the tribunal would </w:t>
      </w:r>
      <w:r w:rsidRPr="00717C20">
        <w:rPr>
          <w:rFonts w:ascii="Times New Roman" w:hAnsi="Times New Roman"/>
        </w:rPr>
        <w:lastRenderedPageBreak/>
        <w:t xml:space="preserve">possess and asked the </w:t>
      </w:r>
      <w:r>
        <w:rPr>
          <w:rFonts w:ascii="Times New Roman" w:hAnsi="Times New Roman"/>
        </w:rPr>
        <w:t>Convention</w:t>
      </w:r>
      <w:r w:rsidRPr="00717C20">
        <w:rPr>
          <w:rFonts w:ascii="Times New Roman" w:hAnsi="Times New Roman"/>
        </w:rPr>
        <w:t xml:space="preserve"> to “decree that the jurisdiction of this tribunal will be limited to Paris,” or to at least assure that the judges and prosecutors would be chosen from throughout France.</w:t>
      </w:r>
      <w:r w:rsidRPr="00717C20">
        <w:rPr>
          <w:rStyle w:val="FootnoteReference"/>
          <w:rFonts w:ascii="Times New Roman" w:hAnsi="Times New Roman"/>
        </w:rPr>
        <w:footnoteReference w:id="19"/>
      </w:r>
      <w:r w:rsidRPr="00717C20">
        <w:rPr>
          <w:rFonts w:ascii="Times New Roman" w:hAnsi="Times New Roman"/>
        </w:rPr>
        <w:t xml:space="preserve"> His pleas, as well as those of other moderates, were ineffective and the </w:t>
      </w:r>
      <w:r>
        <w:rPr>
          <w:rFonts w:ascii="Times New Roman" w:hAnsi="Times New Roman"/>
        </w:rPr>
        <w:t>Convention</w:t>
      </w:r>
      <w:r w:rsidRPr="00717C20">
        <w:rPr>
          <w:rFonts w:ascii="Times New Roman" w:hAnsi="Times New Roman"/>
        </w:rPr>
        <w:t xml:space="preserve"> </w:t>
      </w:r>
      <w:r>
        <w:rPr>
          <w:rFonts w:ascii="Times New Roman" w:hAnsi="Times New Roman"/>
        </w:rPr>
        <w:t>quickly</w:t>
      </w:r>
      <w:r w:rsidRPr="00717C20">
        <w:rPr>
          <w:rFonts w:ascii="Times New Roman" w:hAnsi="Times New Roman"/>
        </w:rPr>
        <w:t xml:space="preserve"> set about discussing the organization and reach of the proclaimed Revolutionary Tribunal. </w:t>
      </w:r>
    </w:p>
    <w:p w:rsidR="001C5440" w:rsidRPr="00717C20" w:rsidRDefault="001C5440" w:rsidP="00E41716">
      <w:pPr>
        <w:spacing w:line="480" w:lineRule="auto"/>
        <w:ind w:firstLine="720"/>
        <w:contextualSpacing/>
        <w:rPr>
          <w:rFonts w:ascii="Times New Roman" w:hAnsi="Times New Roman"/>
        </w:rPr>
      </w:pPr>
      <w:r w:rsidRPr="00717C20">
        <w:rPr>
          <w:rFonts w:ascii="Times New Roman" w:hAnsi="Times New Roman"/>
        </w:rPr>
        <w:t xml:space="preserve">The initial discourse surrounding the proposal </w:t>
      </w:r>
      <w:r>
        <w:rPr>
          <w:rFonts w:ascii="Times New Roman" w:hAnsi="Times New Roman"/>
        </w:rPr>
        <w:t>ignored</w:t>
      </w:r>
      <w:r w:rsidRPr="00717C20">
        <w:rPr>
          <w:rFonts w:ascii="Times New Roman" w:hAnsi="Times New Roman"/>
        </w:rPr>
        <w:t xml:space="preserve"> </w:t>
      </w:r>
      <w:r>
        <w:rPr>
          <w:rFonts w:ascii="Times New Roman" w:hAnsi="Times New Roman"/>
        </w:rPr>
        <w:t xml:space="preserve">operational and functional needs </w:t>
      </w:r>
      <w:r w:rsidRPr="00717C20">
        <w:rPr>
          <w:rFonts w:ascii="Times New Roman" w:hAnsi="Times New Roman"/>
        </w:rPr>
        <w:t>of the newly</w:t>
      </w:r>
      <w:r>
        <w:rPr>
          <w:rFonts w:ascii="Times New Roman" w:hAnsi="Times New Roman"/>
        </w:rPr>
        <w:t xml:space="preserve"> decreed Tribunal. Rather</w:t>
      </w:r>
      <w:r w:rsidRPr="00717C20">
        <w:rPr>
          <w:rFonts w:ascii="Times New Roman" w:hAnsi="Times New Roman"/>
        </w:rPr>
        <w:t>, the proper role of the Tribunal within the context of the Revolution took precedence. Danton</w:t>
      </w:r>
      <w:r>
        <w:rPr>
          <w:rFonts w:ascii="Times New Roman" w:hAnsi="Times New Roman"/>
        </w:rPr>
        <w:t>’s impassioned speech largely defined the Convention</w:t>
      </w:r>
      <w:r w:rsidRPr="00717C20">
        <w:rPr>
          <w:rFonts w:ascii="Times New Roman" w:hAnsi="Times New Roman"/>
        </w:rPr>
        <w:t xml:space="preserve">’s perception of the proper role of radical justice. </w:t>
      </w:r>
      <w:r>
        <w:rPr>
          <w:rFonts w:ascii="Times New Roman" w:hAnsi="Times New Roman"/>
        </w:rPr>
        <w:t>“</w:t>
      </w:r>
      <w:r w:rsidRPr="00717C20">
        <w:rPr>
          <w:rFonts w:ascii="Times New Roman" w:hAnsi="Times New Roman"/>
        </w:rPr>
        <w:t>The health of the people requires grand methods and terrible measures. I do not see a middle ground between ordinary procedures a</w:t>
      </w:r>
      <w:r>
        <w:rPr>
          <w:rFonts w:ascii="Times New Roman" w:hAnsi="Times New Roman"/>
        </w:rPr>
        <w:t xml:space="preserve">nd revolutionary court.” Danton firmly believed that the Revolution required revolutionary forms of justice. A revolutionary court, he observed, would protect and perpetuate the Revolution in a way typical systems of justice could not. After boldly invoking the bloody September Massacres, Danton </w:t>
      </w:r>
      <w:r w:rsidR="00AD0377">
        <w:rPr>
          <w:rFonts w:ascii="Times New Roman" w:hAnsi="Times New Roman"/>
        </w:rPr>
        <w:t>declared,</w:t>
      </w:r>
      <w:r>
        <w:rPr>
          <w:rFonts w:ascii="Times New Roman" w:hAnsi="Times New Roman"/>
        </w:rPr>
        <w:t xml:space="preserve"> “that </w:t>
      </w:r>
      <w:r w:rsidRPr="00717C20">
        <w:rPr>
          <w:rFonts w:ascii="Times New Roman" w:hAnsi="Times New Roman"/>
        </w:rPr>
        <w:t>if a court had existed then, the people, who have so often been cruelly reproached for those days, wou</w:t>
      </w:r>
      <w:r>
        <w:rPr>
          <w:rFonts w:ascii="Times New Roman" w:hAnsi="Times New Roman"/>
        </w:rPr>
        <w:t>ld not have bloodied themselves.” Having thus invoked the terrifying and fresh memory of revolutionary violence and excess, Danton suggested that the Convention must “</w:t>
      </w:r>
      <w:r w:rsidRPr="00717C20">
        <w:rPr>
          <w:rFonts w:ascii="Times New Roman" w:hAnsi="Times New Roman"/>
        </w:rPr>
        <w:t>do what the Legislative Assembly did not; let us terrify so that the people will not terrify us; let us organize a tribunal, not a good one, for that would be impossible: but the least bad that we are able, in order that the sword of the law might hang over the heads of our enemies.</w:t>
      </w:r>
      <w:r>
        <w:rPr>
          <w:rFonts w:ascii="Times New Roman" w:hAnsi="Times New Roman"/>
        </w:rPr>
        <w:t>”</w:t>
      </w:r>
      <w:r w:rsidRPr="00717C20">
        <w:rPr>
          <w:rStyle w:val="FootnoteReference"/>
          <w:rFonts w:ascii="Times New Roman" w:hAnsi="Times New Roman"/>
        </w:rPr>
        <w:footnoteReference w:id="20"/>
      </w:r>
      <w:r w:rsidRPr="00717C20">
        <w:rPr>
          <w:rFonts w:ascii="Times New Roman" w:hAnsi="Times New Roman"/>
        </w:rPr>
        <w:t xml:space="preserve"> </w:t>
      </w:r>
      <w:r>
        <w:rPr>
          <w:rFonts w:ascii="Times New Roman" w:hAnsi="Times New Roman"/>
        </w:rPr>
        <w:t xml:space="preserve">Danton recognized that the proposed tribunal would impinge on certain liberties pivotal to revolutionary thought. These considerations, however, were of secondary importance to </w:t>
      </w:r>
      <w:r>
        <w:rPr>
          <w:rFonts w:ascii="Times New Roman" w:hAnsi="Times New Roman"/>
        </w:rPr>
        <w:lastRenderedPageBreak/>
        <w:t>the health of the Revolution. For w</w:t>
      </w:r>
      <w:r w:rsidRPr="00717C20">
        <w:rPr>
          <w:rFonts w:ascii="Times New Roman" w:hAnsi="Times New Roman"/>
        </w:rPr>
        <w:t>ithout su</w:t>
      </w:r>
      <w:r>
        <w:rPr>
          <w:rFonts w:ascii="Times New Roman" w:hAnsi="Times New Roman"/>
        </w:rPr>
        <w:t>ch a tribunal, he implied, the R</w:t>
      </w:r>
      <w:r w:rsidRPr="00717C20">
        <w:rPr>
          <w:rFonts w:ascii="Times New Roman" w:hAnsi="Times New Roman"/>
        </w:rPr>
        <w:t>evolution would fail.</w:t>
      </w:r>
      <w:r>
        <w:rPr>
          <w:rFonts w:ascii="Times New Roman" w:hAnsi="Times New Roman"/>
        </w:rPr>
        <w:t xml:space="preserve"> </w:t>
      </w:r>
    </w:p>
    <w:p w:rsidR="001C5440" w:rsidRPr="00717C20" w:rsidRDefault="001C5440" w:rsidP="00E41716">
      <w:pPr>
        <w:spacing w:line="480" w:lineRule="auto"/>
        <w:contextualSpacing/>
        <w:rPr>
          <w:rFonts w:ascii="Times New Roman" w:hAnsi="Times New Roman"/>
        </w:rPr>
      </w:pPr>
      <w:r w:rsidRPr="00717C20">
        <w:rPr>
          <w:rFonts w:ascii="Times New Roman" w:hAnsi="Times New Roman"/>
        </w:rPr>
        <w:tab/>
      </w:r>
      <w:r>
        <w:rPr>
          <w:rFonts w:ascii="Times New Roman" w:hAnsi="Times New Roman"/>
        </w:rPr>
        <w:t>Modern historians have difficulty r</w:t>
      </w:r>
      <w:r w:rsidRPr="00717C20">
        <w:rPr>
          <w:rFonts w:ascii="Times New Roman" w:hAnsi="Times New Roman"/>
        </w:rPr>
        <w:t>econciling this call to judicia</w:t>
      </w:r>
      <w:r>
        <w:rPr>
          <w:rFonts w:ascii="Times New Roman" w:hAnsi="Times New Roman"/>
        </w:rPr>
        <w:t>l radicalism and the Assembly</w:t>
      </w:r>
      <w:r w:rsidRPr="00717C20">
        <w:rPr>
          <w:rFonts w:ascii="Times New Roman" w:hAnsi="Times New Roman"/>
        </w:rPr>
        <w:t>’s initial desire to separate itself from the corrupt, absolutist practices of Old Re</w:t>
      </w:r>
      <w:r>
        <w:rPr>
          <w:rFonts w:ascii="Times New Roman" w:hAnsi="Times New Roman"/>
        </w:rPr>
        <w:t>gime justice</w:t>
      </w:r>
      <w:r w:rsidRPr="00717C20">
        <w:rPr>
          <w:rFonts w:ascii="Times New Roman" w:hAnsi="Times New Roman"/>
        </w:rPr>
        <w:t>.</w:t>
      </w:r>
      <w:r>
        <w:rPr>
          <w:rFonts w:ascii="Times New Roman" w:hAnsi="Times New Roman"/>
        </w:rPr>
        <w:t xml:space="preserve"> They must necessarily overlook the veneer of revolutionary radicalism to understand the fundamental impulse to break with prerevolutionary forms of justice. </w:t>
      </w:r>
      <w:r w:rsidRPr="00717C20">
        <w:rPr>
          <w:rFonts w:ascii="Times New Roman" w:hAnsi="Times New Roman"/>
        </w:rPr>
        <w:t xml:space="preserve">Unlike the secrecy that surrounded all forms of </w:t>
      </w:r>
      <w:r w:rsidRPr="00717C20">
        <w:rPr>
          <w:rFonts w:ascii="Times New Roman" w:hAnsi="Times New Roman"/>
          <w:i/>
        </w:rPr>
        <w:t xml:space="preserve">Ancien Regime </w:t>
      </w:r>
      <w:r>
        <w:rPr>
          <w:rFonts w:ascii="Times New Roman" w:hAnsi="Times New Roman"/>
        </w:rPr>
        <w:t xml:space="preserve">justice, the </w:t>
      </w:r>
      <w:r w:rsidRPr="00717C20">
        <w:rPr>
          <w:rFonts w:ascii="Times New Roman" w:hAnsi="Times New Roman"/>
        </w:rPr>
        <w:t>Revolutionary Tribunal</w:t>
      </w:r>
      <w:r>
        <w:rPr>
          <w:rFonts w:ascii="Times New Roman" w:hAnsi="Times New Roman"/>
        </w:rPr>
        <w:t xml:space="preserve"> conducted trials </w:t>
      </w:r>
      <w:r w:rsidRPr="00717C20">
        <w:rPr>
          <w:rFonts w:ascii="Times New Roman" w:hAnsi="Times New Roman"/>
        </w:rPr>
        <w:t>accessible to the public both physi</w:t>
      </w:r>
      <w:r>
        <w:rPr>
          <w:rFonts w:ascii="Times New Roman" w:hAnsi="Times New Roman"/>
        </w:rPr>
        <w:t>cally—</w:t>
      </w:r>
      <w:r w:rsidRPr="00717C20">
        <w:rPr>
          <w:rFonts w:ascii="Times New Roman" w:hAnsi="Times New Roman"/>
        </w:rPr>
        <w:t>spectators could watch</w:t>
      </w:r>
      <w:r>
        <w:rPr>
          <w:rFonts w:ascii="Times New Roman" w:hAnsi="Times New Roman"/>
        </w:rPr>
        <w:t xml:space="preserve"> from a gallery—and intellectually—</w:t>
      </w:r>
      <w:r w:rsidRPr="00717C20">
        <w:rPr>
          <w:rFonts w:ascii="Times New Roman" w:hAnsi="Times New Roman"/>
        </w:rPr>
        <w:t>trial</w:t>
      </w:r>
      <w:r>
        <w:rPr>
          <w:rFonts w:ascii="Times New Roman" w:hAnsi="Times New Roman"/>
        </w:rPr>
        <w:t>s were</w:t>
      </w:r>
      <w:r w:rsidRPr="00717C20">
        <w:rPr>
          <w:rFonts w:ascii="Times New Roman" w:hAnsi="Times New Roman"/>
        </w:rPr>
        <w:t xml:space="preserve"> conducted orally in an easy to follow formula.</w:t>
      </w:r>
      <w:r w:rsidRPr="00717C20">
        <w:rPr>
          <w:rStyle w:val="FootnoteReference"/>
          <w:rFonts w:ascii="Times New Roman" w:hAnsi="Times New Roman"/>
        </w:rPr>
        <w:footnoteReference w:id="21"/>
      </w:r>
      <w:r w:rsidRPr="00717C20">
        <w:rPr>
          <w:rFonts w:ascii="Times New Roman" w:hAnsi="Times New Roman"/>
        </w:rPr>
        <w:t xml:space="preserve"> </w:t>
      </w:r>
      <w:r>
        <w:rPr>
          <w:rFonts w:ascii="Times New Roman" w:hAnsi="Times New Roman"/>
        </w:rPr>
        <w:t>E</w:t>
      </w:r>
      <w:r w:rsidRPr="00717C20">
        <w:rPr>
          <w:rFonts w:ascii="Times New Roman" w:hAnsi="Times New Roman"/>
        </w:rPr>
        <w:t>ven in death</w:t>
      </w:r>
      <w:r>
        <w:rPr>
          <w:rFonts w:ascii="Times New Roman" w:hAnsi="Times New Roman"/>
        </w:rPr>
        <w:t xml:space="preserve">, the Tribunal perceived the manner of execution, guillotine, </w:t>
      </w:r>
      <w:r w:rsidRPr="00717C20">
        <w:rPr>
          <w:rFonts w:ascii="Times New Roman" w:hAnsi="Times New Roman"/>
        </w:rPr>
        <w:t>as a form of revol</w:t>
      </w:r>
      <w:r>
        <w:rPr>
          <w:rFonts w:ascii="Times New Roman" w:hAnsi="Times New Roman"/>
        </w:rPr>
        <w:t>utionary equality</w:t>
      </w:r>
      <w:r w:rsidRPr="00717C20">
        <w:rPr>
          <w:rFonts w:ascii="Times New Roman" w:hAnsi="Times New Roman"/>
        </w:rPr>
        <w:t>. This “humanization of justice” would dispense a quick, dignified sentence in the drop of a blade.</w:t>
      </w:r>
      <w:r w:rsidRPr="00717C20">
        <w:rPr>
          <w:rStyle w:val="FootnoteReference"/>
          <w:rFonts w:ascii="Times New Roman" w:hAnsi="Times New Roman"/>
        </w:rPr>
        <w:footnoteReference w:id="22"/>
      </w:r>
      <w:r>
        <w:rPr>
          <w:rFonts w:ascii="Times New Roman" w:hAnsi="Times New Roman"/>
        </w:rPr>
        <w:t xml:space="preserve"> </w:t>
      </w:r>
    </w:p>
    <w:p w:rsidR="001C5440" w:rsidRPr="00717C20" w:rsidRDefault="001C5440" w:rsidP="00E41716">
      <w:pPr>
        <w:spacing w:line="480" w:lineRule="auto"/>
        <w:contextualSpacing/>
        <w:rPr>
          <w:rFonts w:ascii="Times New Roman" w:hAnsi="Times New Roman"/>
        </w:rPr>
      </w:pPr>
      <w:r w:rsidRPr="00717C20">
        <w:rPr>
          <w:rFonts w:ascii="Times New Roman" w:hAnsi="Times New Roman"/>
        </w:rPr>
        <w:tab/>
        <w:t>The organization of the Tribunal went through several distinct phases during its short but tumultuous existence. Originally consisting of a jury of twelve, five judges, and one public prosecutor, the Tribunal faced a backlog of cases and persistent personnel shortages.</w:t>
      </w:r>
      <w:r w:rsidRPr="00717C20">
        <w:rPr>
          <w:rStyle w:val="FootnoteReference"/>
          <w:rFonts w:ascii="Times New Roman" w:hAnsi="Times New Roman"/>
        </w:rPr>
        <w:footnoteReference w:id="23"/>
      </w:r>
      <w:r w:rsidRPr="00717C20">
        <w:rPr>
          <w:rFonts w:ascii="Times New Roman" w:hAnsi="Times New Roman"/>
        </w:rPr>
        <w:t xml:space="preserve"> On July 30, the Co</w:t>
      </w:r>
      <w:r>
        <w:rPr>
          <w:rFonts w:ascii="Times New Roman" w:hAnsi="Times New Roman"/>
        </w:rPr>
        <w:t>nvention tackled this problem with</w:t>
      </w:r>
      <w:r w:rsidRPr="00717C20">
        <w:rPr>
          <w:rFonts w:ascii="Times New Roman" w:hAnsi="Times New Roman"/>
        </w:rPr>
        <w:t xml:space="preserve"> the addition of “a second section identical in every way with the first” and further </w:t>
      </w:r>
      <w:r w:rsidR="00AD0377" w:rsidRPr="00717C20">
        <w:rPr>
          <w:rFonts w:ascii="Times New Roman" w:hAnsi="Times New Roman"/>
        </w:rPr>
        <w:t>ordered,</w:t>
      </w:r>
      <w:r w:rsidRPr="00717C20">
        <w:rPr>
          <w:rFonts w:ascii="Times New Roman" w:hAnsi="Times New Roman"/>
        </w:rPr>
        <w:t xml:space="preserve"> “that both sections be brought to full strength.”</w:t>
      </w:r>
      <w:r w:rsidRPr="00717C20">
        <w:rPr>
          <w:rStyle w:val="FootnoteReference"/>
          <w:rFonts w:ascii="Times New Roman" w:hAnsi="Times New Roman"/>
        </w:rPr>
        <w:footnoteReference w:id="24"/>
      </w:r>
      <w:r w:rsidRPr="00717C20">
        <w:rPr>
          <w:rFonts w:ascii="Times New Roman" w:hAnsi="Times New Roman"/>
        </w:rPr>
        <w:t xml:space="preserve"> By September, the Convention decreed the addition of two more identical sections.</w:t>
      </w:r>
      <w:r w:rsidRPr="00717C20">
        <w:rPr>
          <w:rStyle w:val="FootnoteReference"/>
          <w:rFonts w:ascii="Times New Roman" w:hAnsi="Times New Roman"/>
        </w:rPr>
        <w:footnoteReference w:id="25"/>
      </w:r>
      <w:r w:rsidRPr="00717C20">
        <w:rPr>
          <w:rFonts w:ascii="Times New Roman" w:hAnsi="Times New Roman"/>
        </w:rPr>
        <w:t xml:space="preserve"> This rapid growth reflected the increasingly radical nature of the Tribunal and the Terror it embodied. </w:t>
      </w:r>
    </w:p>
    <w:p w:rsidR="001C5440" w:rsidRPr="00717C20" w:rsidRDefault="001C5440" w:rsidP="00E41716">
      <w:pPr>
        <w:spacing w:line="480" w:lineRule="auto"/>
        <w:contextualSpacing/>
        <w:rPr>
          <w:rFonts w:ascii="Times New Roman" w:hAnsi="Times New Roman"/>
        </w:rPr>
      </w:pPr>
      <w:r w:rsidRPr="00717C20">
        <w:rPr>
          <w:rFonts w:ascii="Times New Roman" w:hAnsi="Times New Roman"/>
        </w:rPr>
        <w:lastRenderedPageBreak/>
        <w:tab/>
        <w:t xml:space="preserve">Persistent shortages of judges and jurors, as well as a backlog of cases, profoundly affected which cases </w:t>
      </w:r>
      <w:r>
        <w:rPr>
          <w:rFonts w:ascii="Times New Roman" w:hAnsi="Times New Roman"/>
        </w:rPr>
        <w:t xml:space="preserve">the Tribunal presided over and </w:t>
      </w:r>
      <w:r w:rsidRPr="00717C20">
        <w:rPr>
          <w:rFonts w:ascii="Times New Roman" w:hAnsi="Times New Roman"/>
        </w:rPr>
        <w:t>e</w:t>
      </w:r>
      <w:r>
        <w:rPr>
          <w:rFonts w:ascii="Times New Roman" w:hAnsi="Times New Roman"/>
        </w:rPr>
        <w:t>ventually judged</w:t>
      </w:r>
      <w:r w:rsidRPr="00717C20">
        <w:rPr>
          <w:rFonts w:ascii="Times New Roman" w:hAnsi="Times New Roman"/>
        </w:rPr>
        <w:t xml:space="preserve">. </w:t>
      </w:r>
      <w:r>
        <w:rPr>
          <w:rFonts w:ascii="Times New Roman" w:hAnsi="Times New Roman"/>
        </w:rPr>
        <w:t>Modern historians must not underestimate the</w:t>
      </w:r>
      <w:r w:rsidRPr="00717C20">
        <w:rPr>
          <w:rFonts w:ascii="Times New Roman" w:hAnsi="Times New Roman"/>
        </w:rPr>
        <w:t xml:space="preserve"> logistical challenge of coordinating and corralling the necessary evidence, interrogations, and other legal documents—especially at a time before photocop</w:t>
      </w:r>
      <w:r>
        <w:rPr>
          <w:rFonts w:ascii="Times New Roman" w:hAnsi="Times New Roman"/>
        </w:rPr>
        <w:t>iers.</w:t>
      </w:r>
      <w:r w:rsidRPr="00717C20">
        <w:rPr>
          <w:rFonts w:ascii="Times New Roman" w:hAnsi="Times New Roman"/>
        </w:rPr>
        <w:t xml:space="preserve"> </w:t>
      </w:r>
      <w:r>
        <w:rPr>
          <w:rFonts w:ascii="Times New Roman" w:hAnsi="Times New Roman"/>
        </w:rPr>
        <w:t>A defendant from outside Paris further complicated this task. The Revolutionary Tribunal often performed a</w:t>
      </w:r>
      <w:r w:rsidRPr="00717C20">
        <w:rPr>
          <w:rFonts w:ascii="Times New Roman" w:hAnsi="Times New Roman"/>
        </w:rPr>
        <w:t xml:space="preserve"> delicate song and</w:t>
      </w:r>
      <w:r>
        <w:rPr>
          <w:rFonts w:ascii="Times New Roman" w:hAnsi="Times New Roman"/>
        </w:rPr>
        <w:t xml:space="preserve"> dance</w:t>
      </w:r>
      <w:r w:rsidRPr="00717C20">
        <w:rPr>
          <w:rFonts w:ascii="Times New Roman" w:hAnsi="Times New Roman"/>
        </w:rPr>
        <w:t xml:space="preserve"> </w:t>
      </w:r>
      <w:r>
        <w:rPr>
          <w:rFonts w:ascii="Times New Roman" w:hAnsi="Times New Roman"/>
        </w:rPr>
        <w:t>with</w:t>
      </w:r>
      <w:r w:rsidRPr="00717C20">
        <w:rPr>
          <w:rFonts w:ascii="Times New Roman" w:hAnsi="Times New Roman"/>
        </w:rPr>
        <w:t xml:space="preserve"> the local section committee to </w:t>
      </w:r>
      <w:r>
        <w:rPr>
          <w:rFonts w:ascii="Times New Roman" w:hAnsi="Times New Roman"/>
        </w:rPr>
        <w:t xml:space="preserve">obtain the extradition of the accused. Although </w:t>
      </w:r>
      <w:r w:rsidRPr="00717C20">
        <w:rPr>
          <w:rFonts w:ascii="Times New Roman" w:hAnsi="Times New Roman"/>
        </w:rPr>
        <w:t xml:space="preserve">section committees </w:t>
      </w:r>
      <w:r>
        <w:rPr>
          <w:rFonts w:ascii="Times New Roman" w:hAnsi="Times New Roman"/>
        </w:rPr>
        <w:t xml:space="preserve">mostly </w:t>
      </w:r>
      <w:r w:rsidRPr="00717C20">
        <w:rPr>
          <w:rFonts w:ascii="Times New Roman" w:hAnsi="Times New Roman"/>
        </w:rPr>
        <w:t xml:space="preserve">cooperated, </w:t>
      </w:r>
      <w:r>
        <w:rPr>
          <w:rFonts w:ascii="Times New Roman" w:hAnsi="Times New Roman"/>
        </w:rPr>
        <w:t xml:space="preserve">they nonetheless </w:t>
      </w:r>
      <w:r w:rsidRPr="00717C20">
        <w:rPr>
          <w:rFonts w:ascii="Times New Roman" w:hAnsi="Times New Roman"/>
        </w:rPr>
        <w:t>resent</w:t>
      </w:r>
      <w:r>
        <w:rPr>
          <w:rFonts w:ascii="Times New Roman" w:hAnsi="Times New Roman"/>
        </w:rPr>
        <w:t xml:space="preserve">ed </w:t>
      </w:r>
      <w:r w:rsidRPr="00717C20">
        <w:rPr>
          <w:rFonts w:ascii="Times New Roman" w:hAnsi="Times New Roman"/>
        </w:rPr>
        <w:t>the Tribunal’s interference in local affairs.</w:t>
      </w:r>
      <w:r w:rsidRPr="00717C20">
        <w:rPr>
          <w:rStyle w:val="FootnoteReference"/>
          <w:rFonts w:ascii="Times New Roman" w:hAnsi="Times New Roman"/>
        </w:rPr>
        <w:footnoteReference w:id="26"/>
      </w:r>
      <w:r w:rsidRPr="00717C20">
        <w:rPr>
          <w:rFonts w:ascii="Times New Roman" w:hAnsi="Times New Roman"/>
        </w:rPr>
        <w:t xml:space="preserve"> </w:t>
      </w:r>
      <w:r>
        <w:rPr>
          <w:rFonts w:ascii="Times New Roman" w:hAnsi="Times New Roman"/>
        </w:rPr>
        <w:t>Many times the sections insist</w:t>
      </w:r>
      <w:r w:rsidRPr="00717C20">
        <w:rPr>
          <w:rFonts w:ascii="Times New Roman" w:hAnsi="Times New Roman"/>
        </w:rPr>
        <w:t>e</w:t>
      </w:r>
      <w:r>
        <w:rPr>
          <w:rFonts w:ascii="Times New Roman" w:hAnsi="Times New Roman"/>
        </w:rPr>
        <w:t>d</w:t>
      </w:r>
      <w:r w:rsidRPr="00717C20">
        <w:rPr>
          <w:rFonts w:ascii="Times New Roman" w:hAnsi="Times New Roman"/>
        </w:rPr>
        <w:t xml:space="preserve"> on the defendant’s innocence.</w:t>
      </w:r>
      <w:r w:rsidRPr="00717C20">
        <w:rPr>
          <w:rStyle w:val="FootnoteReference"/>
          <w:rFonts w:ascii="Times New Roman" w:hAnsi="Times New Roman"/>
        </w:rPr>
        <w:footnoteReference w:id="27"/>
      </w:r>
      <w:r w:rsidRPr="00717C20">
        <w:rPr>
          <w:rFonts w:ascii="Times New Roman" w:hAnsi="Times New Roman"/>
        </w:rPr>
        <w:t xml:space="preserve"> The sec</w:t>
      </w:r>
      <w:r>
        <w:rPr>
          <w:rFonts w:ascii="Times New Roman" w:hAnsi="Times New Roman"/>
        </w:rPr>
        <w:t>tion’s opinion of a defendant, unsurprisingly</w:t>
      </w:r>
      <w:r w:rsidRPr="00717C20">
        <w:rPr>
          <w:rFonts w:ascii="Times New Roman" w:hAnsi="Times New Roman"/>
        </w:rPr>
        <w:t>, strongly influenced the quality and quantity of evidence that the Revolutionary Tribunal would receive. For defendants unpopular in their sections—usually the result of long held village rivalries—this influence could be damning. For defendants belove</w:t>
      </w:r>
      <w:r>
        <w:rPr>
          <w:rFonts w:ascii="Times New Roman" w:hAnsi="Times New Roman"/>
        </w:rPr>
        <w:t>d by their communities,</w:t>
      </w:r>
      <w:r w:rsidRPr="00717C20">
        <w:rPr>
          <w:rFonts w:ascii="Times New Roman" w:hAnsi="Times New Roman"/>
        </w:rPr>
        <w:t xml:space="preserve"> the influence of</w:t>
      </w:r>
      <w:r>
        <w:rPr>
          <w:rFonts w:ascii="Times New Roman" w:hAnsi="Times New Roman"/>
        </w:rPr>
        <w:t xml:space="preserve"> the sectional committee could save their</w:t>
      </w:r>
      <w:r w:rsidRPr="00717C20">
        <w:rPr>
          <w:rFonts w:ascii="Times New Roman" w:hAnsi="Times New Roman"/>
        </w:rPr>
        <w:t xml:space="preserve"> </w:t>
      </w:r>
      <w:r>
        <w:rPr>
          <w:rFonts w:ascii="Times New Roman" w:hAnsi="Times New Roman"/>
        </w:rPr>
        <w:t>life</w:t>
      </w:r>
      <w:r w:rsidRPr="00717C20">
        <w:rPr>
          <w:rFonts w:ascii="Times New Roman" w:hAnsi="Times New Roman"/>
        </w:rPr>
        <w:t>.</w:t>
      </w:r>
      <w:r w:rsidRPr="00717C20">
        <w:rPr>
          <w:rStyle w:val="FootnoteReference"/>
          <w:rFonts w:ascii="Times New Roman" w:hAnsi="Times New Roman"/>
        </w:rPr>
        <w:footnoteReference w:id="28"/>
      </w:r>
      <w:r w:rsidRPr="00717C20">
        <w:rPr>
          <w:rFonts w:ascii="Times New Roman" w:hAnsi="Times New Roman"/>
        </w:rPr>
        <w:t xml:space="preserve"> </w:t>
      </w:r>
    </w:p>
    <w:p w:rsidR="001C5440" w:rsidRPr="00717C20" w:rsidRDefault="001C5440" w:rsidP="00E41716">
      <w:pPr>
        <w:spacing w:line="480" w:lineRule="auto"/>
        <w:contextualSpacing/>
        <w:rPr>
          <w:rFonts w:ascii="Times New Roman" w:hAnsi="Times New Roman"/>
        </w:rPr>
      </w:pPr>
      <w:r>
        <w:rPr>
          <w:rFonts w:ascii="Times New Roman" w:hAnsi="Times New Roman"/>
        </w:rPr>
        <w:tab/>
        <w:t xml:space="preserve">Transferring </w:t>
      </w:r>
      <w:r w:rsidRPr="00717C20">
        <w:rPr>
          <w:rFonts w:ascii="Times New Roman" w:hAnsi="Times New Roman"/>
        </w:rPr>
        <w:t>information</w:t>
      </w:r>
      <w:r>
        <w:rPr>
          <w:rFonts w:ascii="Times New Roman" w:hAnsi="Times New Roman"/>
        </w:rPr>
        <w:t xml:space="preserve"> to the Revolutionary Tribunal</w:t>
      </w:r>
      <w:r w:rsidRPr="00717C20">
        <w:rPr>
          <w:rFonts w:ascii="Times New Roman" w:hAnsi="Times New Roman"/>
        </w:rPr>
        <w:t xml:space="preserve"> resulted in th</w:t>
      </w:r>
      <w:r>
        <w:rPr>
          <w:rFonts w:ascii="Times New Roman" w:hAnsi="Times New Roman"/>
        </w:rPr>
        <w:t>e duplication of many materials, most often</w:t>
      </w:r>
      <w:r w:rsidRPr="00717C20">
        <w:rPr>
          <w:rFonts w:ascii="Times New Roman" w:hAnsi="Times New Roman"/>
        </w:rPr>
        <w:t xml:space="preserve"> </w:t>
      </w:r>
      <w:r>
        <w:rPr>
          <w:rFonts w:ascii="Times New Roman" w:hAnsi="Times New Roman"/>
        </w:rPr>
        <w:t>for</w:t>
      </w:r>
      <w:r w:rsidRPr="00717C20">
        <w:rPr>
          <w:rFonts w:ascii="Times New Roman" w:hAnsi="Times New Roman"/>
        </w:rPr>
        <w:t xml:space="preserve"> defendants</w:t>
      </w:r>
      <w:r>
        <w:rPr>
          <w:rFonts w:ascii="Times New Roman" w:hAnsi="Times New Roman"/>
        </w:rPr>
        <w:t xml:space="preserve"> from outside Paris, but also for</w:t>
      </w:r>
      <w:r w:rsidRPr="00717C20">
        <w:rPr>
          <w:rFonts w:ascii="Times New Roman" w:hAnsi="Times New Roman"/>
        </w:rPr>
        <w:t xml:space="preserve"> those residing </w:t>
      </w:r>
      <w:r>
        <w:rPr>
          <w:rFonts w:ascii="Times New Roman" w:hAnsi="Times New Roman"/>
        </w:rPr>
        <w:t>with</w:t>
      </w:r>
      <w:r w:rsidRPr="00717C20">
        <w:rPr>
          <w:rFonts w:ascii="Times New Roman" w:hAnsi="Times New Roman"/>
        </w:rPr>
        <w:t>in the city</w:t>
      </w:r>
      <w:r>
        <w:rPr>
          <w:rFonts w:ascii="Times New Roman" w:hAnsi="Times New Roman"/>
        </w:rPr>
        <w:t xml:space="preserve">. The Tribunal transcribed the content of evidence—usually letters—as well as the </w:t>
      </w:r>
      <w:r w:rsidRPr="00717C20">
        <w:rPr>
          <w:rFonts w:ascii="Times New Roman" w:hAnsi="Times New Roman"/>
        </w:rPr>
        <w:t xml:space="preserve">proceedings of interrogations, meetings of local sections, and other legal paperwork necessary to search and interrogate a citizen. The </w:t>
      </w:r>
      <w:r>
        <w:rPr>
          <w:rFonts w:ascii="Times New Roman" w:hAnsi="Times New Roman"/>
        </w:rPr>
        <w:t>Tribunal also included the originals of each document, resulting in a</w:t>
      </w:r>
      <w:r w:rsidRPr="00717C20">
        <w:rPr>
          <w:rFonts w:ascii="Times New Roman" w:hAnsi="Times New Roman"/>
        </w:rPr>
        <w:t xml:space="preserve"> considerable con</w:t>
      </w:r>
      <w:r>
        <w:rPr>
          <w:rFonts w:ascii="Times New Roman" w:hAnsi="Times New Roman"/>
        </w:rPr>
        <w:t>tent overlap within the dossier</w:t>
      </w:r>
      <w:r w:rsidRPr="00717C20">
        <w:rPr>
          <w:rFonts w:ascii="Times New Roman" w:hAnsi="Times New Roman"/>
        </w:rPr>
        <w:t xml:space="preserve"> of each </w:t>
      </w:r>
      <w:r w:rsidRPr="00717C20">
        <w:rPr>
          <w:rFonts w:ascii="Times New Roman" w:hAnsi="Times New Roman"/>
        </w:rPr>
        <w:lastRenderedPageBreak/>
        <w:t>defendant.</w:t>
      </w:r>
      <w:r w:rsidRPr="00717C20">
        <w:rPr>
          <w:rStyle w:val="FootnoteReference"/>
          <w:rFonts w:ascii="Times New Roman" w:hAnsi="Times New Roman"/>
        </w:rPr>
        <w:footnoteReference w:id="29"/>
      </w:r>
      <w:r w:rsidRPr="00717C20">
        <w:rPr>
          <w:rFonts w:ascii="Times New Roman" w:hAnsi="Times New Roman"/>
        </w:rPr>
        <w:t xml:space="preserve"> </w:t>
      </w:r>
      <w:r>
        <w:rPr>
          <w:rFonts w:ascii="Times New Roman" w:hAnsi="Times New Roman"/>
        </w:rPr>
        <w:t>The j</w:t>
      </w:r>
      <w:r w:rsidRPr="00717C20">
        <w:rPr>
          <w:rFonts w:ascii="Times New Roman" w:hAnsi="Times New Roman"/>
        </w:rPr>
        <w:t>udges, jury members, and public prosecutor assigned to the trial</w:t>
      </w:r>
      <w:r>
        <w:rPr>
          <w:rFonts w:ascii="Times New Roman" w:hAnsi="Times New Roman"/>
        </w:rPr>
        <w:t xml:space="preserve"> shared the dossier compiled for the defendant</w:t>
      </w:r>
      <w:r w:rsidRPr="00717C20">
        <w:rPr>
          <w:rFonts w:ascii="Times New Roman" w:hAnsi="Times New Roman"/>
        </w:rPr>
        <w:t>. The record of a defendant on trial for a relatively straightforward crime could contain forty-five to sixty pages of parchment. Although it is impossible to know with certa</w:t>
      </w:r>
      <w:r>
        <w:rPr>
          <w:rFonts w:ascii="Times New Roman" w:hAnsi="Times New Roman"/>
        </w:rPr>
        <w:t xml:space="preserve">inly, </w:t>
      </w:r>
      <w:r w:rsidRPr="00717C20">
        <w:rPr>
          <w:rFonts w:ascii="Times New Roman" w:hAnsi="Times New Roman"/>
        </w:rPr>
        <w:t xml:space="preserve">each judge and juror </w:t>
      </w:r>
      <w:r>
        <w:rPr>
          <w:rFonts w:ascii="Times New Roman" w:hAnsi="Times New Roman"/>
        </w:rPr>
        <w:t xml:space="preserve">likely </w:t>
      </w:r>
      <w:r w:rsidRPr="00717C20">
        <w:rPr>
          <w:rFonts w:ascii="Times New Roman" w:hAnsi="Times New Roman"/>
        </w:rPr>
        <w:t xml:space="preserve">had the opportunity to personally peruse these documents before </w:t>
      </w:r>
      <w:r>
        <w:rPr>
          <w:rFonts w:ascii="Times New Roman" w:hAnsi="Times New Roman"/>
        </w:rPr>
        <w:t>every trial. T</w:t>
      </w:r>
      <w:r w:rsidRPr="00717C20">
        <w:rPr>
          <w:rFonts w:ascii="Times New Roman" w:hAnsi="Times New Roman"/>
        </w:rPr>
        <w:t xml:space="preserve">he challenge of getting the same piece of paper into the hands of at least ten different men must not be underestimated. </w:t>
      </w:r>
    </w:p>
    <w:p w:rsidR="001C5440" w:rsidRPr="00717C20" w:rsidRDefault="001C5440" w:rsidP="00E41716">
      <w:pPr>
        <w:spacing w:line="480" w:lineRule="auto"/>
        <w:contextualSpacing/>
        <w:rPr>
          <w:rFonts w:ascii="Times New Roman" w:hAnsi="Times New Roman"/>
        </w:rPr>
      </w:pPr>
      <w:r w:rsidRPr="00717C20">
        <w:rPr>
          <w:rFonts w:ascii="Times New Roman" w:hAnsi="Times New Roman"/>
        </w:rPr>
        <w:tab/>
        <w:t xml:space="preserve">Furthermore, no legal process existed </w:t>
      </w:r>
      <w:r>
        <w:rPr>
          <w:rFonts w:ascii="Times New Roman" w:hAnsi="Times New Roman"/>
        </w:rPr>
        <w:t>to</w:t>
      </w:r>
      <w:r w:rsidRPr="00717C20">
        <w:rPr>
          <w:rFonts w:ascii="Times New Roman" w:hAnsi="Times New Roman"/>
        </w:rPr>
        <w:t xml:space="preserve"> force unwilling witnesses to testify against the defendant. At a time when people lived in close quarters, often the best source of information about defendants’ actions came f</w:t>
      </w:r>
      <w:r>
        <w:rPr>
          <w:rFonts w:ascii="Times New Roman" w:hAnsi="Times New Roman"/>
        </w:rPr>
        <w:t xml:space="preserve">rom his or her neighbors. However, neighbors seldom betrayed their brethren, as doing </w:t>
      </w:r>
      <w:r w:rsidRPr="00717C20">
        <w:rPr>
          <w:rFonts w:ascii="Times New Roman" w:hAnsi="Times New Roman"/>
        </w:rPr>
        <w:t>so would indirectly implicate them for failing to denounce their neighbor in the first place.</w:t>
      </w:r>
      <w:r w:rsidRPr="00717C20">
        <w:rPr>
          <w:rStyle w:val="FootnoteReference"/>
          <w:rFonts w:ascii="Times New Roman" w:hAnsi="Times New Roman"/>
        </w:rPr>
        <w:footnoteReference w:id="30"/>
      </w:r>
      <w:r>
        <w:rPr>
          <w:rFonts w:ascii="Times New Roman" w:hAnsi="Times New Roman"/>
        </w:rPr>
        <w:t xml:space="preserve"> The </w:t>
      </w:r>
      <w:r w:rsidRPr="00717C20">
        <w:rPr>
          <w:rFonts w:ascii="Times New Roman" w:hAnsi="Times New Roman"/>
        </w:rPr>
        <w:t xml:space="preserve">Tribunal </w:t>
      </w:r>
      <w:r>
        <w:rPr>
          <w:rFonts w:ascii="Times New Roman" w:hAnsi="Times New Roman"/>
        </w:rPr>
        <w:t>possessed only one option when confronted with uncooperative witnesses</w:t>
      </w:r>
      <w:r w:rsidRPr="00717C20">
        <w:rPr>
          <w:rFonts w:ascii="Times New Roman" w:hAnsi="Times New Roman"/>
        </w:rPr>
        <w:t>: put the</w:t>
      </w:r>
      <w:r>
        <w:rPr>
          <w:rFonts w:ascii="Times New Roman" w:hAnsi="Times New Roman"/>
        </w:rPr>
        <w:t xml:space="preserve"> resistant witness on trial</w:t>
      </w:r>
      <w:r w:rsidRPr="00717C20">
        <w:rPr>
          <w:rFonts w:ascii="Times New Roman" w:hAnsi="Times New Roman"/>
        </w:rPr>
        <w:t>. Although this response</w:t>
      </w:r>
      <w:r>
        <w:rPr>
          <w:rFonts w:ascii="Times New Roman" w:hAnsi="Times New Roman"/>
        </w:rPr>
        <w:t xml:space="preserve"> seems extreme</w:t>
      </w:r>
      <w:r w:rsidRPr="00717C20">
        <w:rPr>
          <w:rFonts w:ascii="Times New Roman" w:hAnsi="Times New Roman"/>
        </w:rPr>
        <w:t>, the Tribunal consistently t</w:t>
      </w:r>
      <w:r>
        <w:rPr>
          <w:rFonts w:ascii="Times New Roman" w:hAnsi="Times New Roman"/>
        </w:rPr>
        <w:t xml:space="preserve">ried the domestic servants, family members, and neighbors </w:t>
      </w:r>
      <w:r w:rsidRPr="00717C20">
        <w:rPr>
          <w:rFonts w:ascii="Times New Roman" w:hAnsi="Times New Roman"/>
        </w:rPr>
        <w:t xml:space="preserve">of defendants who were on trial. </w:t>
      </w:r>
      <w:r>
        <w:rPr>
          <w:rFonts w:ascii="Times New Roman" w:hAnsi="Times New Roman"/>
        </w:rPr>
        <w:t>The Tribunal tried t</w:t>
      </w:r>
      <w:r w:rsidRPr="00717C20">
        <w:rPr>
          <w:rFonts w:ascii="Times New Roman" w:hAnsi="Times New Roman"/>
        </w:rPr>
        <w:t>hese unwi</w:t>
      </w:r>
      <w:r>
        <w:rPr>
          <w:rFonts w:ascii="Times New Roman" w:hAnsi="Times New Roman"/>
        </w:rPr>
        <w:t>tting “accomplices” in conjunction with</w:t>
      </w:r>
      <w:r w:rsidRPr="00717C20">
        <w:rPr>
          <w:rFonts w:ascii="Times New Roman" w:hAnsi="Times New Roman"/>
        </w:rPr>
        <w:t xml:space="preserve"> their friends and masters, </w:t>
      </w:r>
      <w:r>
        <w:rPr>
          <w:rFonts w:ascii="Times New Roman" w:hAnsi="Times New Roman"/>
        </w:rPr>
        <w:t>charging both with</w:t>
      </w:r>
      <w:r w:rsidRPr="00717C20">
        <w:rPr>
          <w:rFonts w:ascii="Times New Roman" w:hAnsi="Times New Roman"/>
        </w:rPr>
        <w:t xml:space="preserve"> “complicity” in </w:t>
      </w:r>
      <w:r>
        <w:rPr>
          <w:rFonts w:ascii="Times New Roman" w:hAnsi="Times New Roman"/>
        </w:rPr>
        <w:t xml:space="preserve">a shared </w:t>
      </w:r>
      <w:r w:rsidRPr="00717C20">
        <w:rPr>
          <w:rFonts w:ascii="Times New Roman" w:hAnsi="Times New Roman"/>
        </w:rPr>
        <w:t>counterrevo</w:t>
      </w:r>
      <w:r>
        <w:rPr>
          <w:rFonts w:ascii="Times New Roman" w:hAnsi="Times New Roman"/>
        </w:rPr>
        <w:t>lutionary conspiracy</w:t>
      </w:r>
      <w:r w:rsidRPr="00717C20">
        <w:rPr>
          <w:rFonts w:ascii="Times New Roman" w:hAnsi="Times New Roman"/>
        </w:rPr>
        <w:t>. As suspects on trial, these defendants underwent interrogations, under oath, which often provided just enough evidence for the Tribunal to condemn and execute the main defendant on trial.</w:t>
      </w:r>
    </w:p>
    <w:p w:rsidR="001C5440" w:rsidRPr="00717C20" w:rsidRDefault="001C5440" w:rsidP="00E41716">
      <w:pPr>
        <w:spacing w:line="480" w:lineRule="auto"/>
        <w:contextualSpacing/>
        <w:rPr>
          <w:rFonts w:ascii="Times New Roman" w:hAnsi="Times New Roman"/>
        </w:rPr>
      </w:pPr>
      <w:r w:rsidRPr="00717C20">
        <w:rPr>
          <w:rFonts w:ascii="Times New Roman" w:hAnsi="Times New Roman"/>
        </w:rPr>
        <w:tab/>
      </w:r>
      <w:r>
        <w:rPr>
          <w:rFonts w:ascii="Times New Roman" w:hAnsi="Times New Roman"/>
        </w:rPr>
        <w:t>The</w:t>
      </w:r>
      <w:r w:rsidRPr="00717C20">
        <w:rPr>
          <w:rFonts w:ascii="Times New Roman" w:hAnsi="Times New Roman"/>
        </w:rPr>
        <w:t xml:space="preserve"> case of </w:t>
      </w:r>
      <w:r w:rsidRPr="00717C20">
        <w:rPr>
          <w:rFonts w:ascii="Times New Roman" w:hAnsi="Times New Roman" w:cs="Bookman Old Style"/>
          <w:szCs w:val="20"/>
        </w:rPr>
        <w:t>Charlotte-Félicité Charry, femme Luppé, and Mar</w:t>
      </w:r>
      <w:r>
        <w:rPr>
          <w:rFonts w:ascii="Times New Roman" w:hAnsi="Times New Roman" w:cs="Bookman Old Style"/>
          <w:szCs w:val="20"/>
        </w:rPr>
        <w:t>ie- Françoise-Charlotte Deliège illustrate this strategy of the Tribunal.</w:t>
      </w:r>
      <w:r w:rsidRPr="001E00C8">
        <w:rPr>
          <w:rStyle w:val="FootnoteReference"/>
          <w:rFonts w:ascii="Times New Roman" w:hAnsi="Times New Roman" w:cs="Bookman Old Style"/>
          <w:color w:val="000000"/>
          <w:szCs w:val="20"/>
        </w:rPr>
        <w:t xml:space="preserve"> </w:t>
      </w:r>
      <w:r w:rsidRPr="00717C20">
        <w:rPr>
          <w:rStyle w:val="FootnoteReference"/>
          <w:rFonts w:ascii="Times New Roman" w:hAnsi="Times New Roman" w:cs="Bookman Old Style"/>
          <w:color w:val="000000"/>
          <w:szCs w:val="20"/>
        </w:rPr>
        <w:footnoteReference w:id="31"/>
      </w:r>
      <w:r>
        <w:rPr>
          <w:rFonts w:ascii="Times New Roman" w:hAnsi="Times New Roman" w:cs="Bookman Old Style"/>
          <w:szCs w:val="20"/>
        </w:rPr>
        <w:t xml:space="preserve"> In </w:t>
      </w:r>
      <w:r>
        <w:rPr>
          <w:rFonts w:ascii="Times New Roman" w:hAnsi="Times New Roman" w:cs="Bookman Old Style"/>
          <w:color w:val="000000"/>
          <w:szCs w:val="20"/>
        </w:rPr>
        <w:t>December 1793, t</w:t>
      </w:r>
      <w:r w:rsidRPr="00717C20">
        <w:rPr>
          <w:rFonts w:ascii="Times New Roman" w:hAnsi="Times New Roman" w:cs="Bookman Old Style"/>
          <w:color w:val="000000"/>
          <w:szCs w:val="20"/>
        </w:rPr>
        <w:t xml:space="preserve">he Tribunal tried femme Luppé for her multiple emigrations and returns to and from France. </w:t>
      </w:r>
      <w:r>
        <w:rPr>
          <w:rFonts w:ascii="Times New Roman" w:hAnsi="Times New Roman" w:cs="Bookman Old Style"/>
          <w:color w:val="000000"/>
          <w:szCs w:val="20"/>
        </w:rPr>
        <w:t xml:space="preserve">The </w:t>
      </w:r>
      <w:r>
        <w:rPr>
          <w:rFonts w:ascii="Times New Roman" w:hAnsi="Times New Roman" w:cs="Bookman Old Style"/>
          <w:color w:val="000000"/>
          <w:szCs w:val="20"/>
        </w:rPr>
        <w:lastRenderedPageBreak/>
        <w:t xml:space="preserve">Tribunal convicted </w:t>
      </w:r>
      <w:r w:rsidRPr="00717C20">
        <w:rPr>
          <w:rFonts w:ascii="Times New Roman" w:hAnsi="Times New Roman" w:cs="Bookman Old Style"/>
          <w:color w:val="000000"/>
          <w:szCs w:val="20"/>
        </w:rPr>
        <w:t>Deliège, her cu</w:t>
      </w:r>
      <w:r>
        <w:rPr>
          <w:rFonts w:ascii="Times New Roman" w:hAnsi="Times New Roman" w:cs="Bookman Old Style"/>
          <w:color w:val="000000"/>
          <w:szCs w:val="20"/>
        </w:rPr>
        <w:t xml:space="preserve">rrent chambermaid, </w:t>
      </w:r>
      <w:r w:rsidRPr="00717C20">
        <w:rPr>
          <w:rFonts w:ascii="Times New Roman" w:hAnsi="Times New Roman" w:cs="Bookman Old Style"/>
          <w:color w:val="000000"/>
          <w:szCs w:val="20"/>
        </w:rPr>
        <w:t xml:space="preserve">of complicity in femme Luppé’s counterrevolutionary emigrations. Complicity, in this instance, was not synonymous with actually having accompanied femme Luppé outside of France. In fact, neither the prosecution nor the defendants made this claim. </w:t>
      </w:r>
      <w:r>
        <w:rPr>
          <w:rFonts w:ascii="Times New Roman" w:hAnsi="Times New Roman" w:cs="Bookman Old Style"/>
          <w:color w:val="000000"/>
          <w:szCs w:val="20"/>
        </w:rPr>
        <w:t xml:space="preserve">The Tribunal, instead, formally tried Deliège </w:t>
      </w:r>
      <w:r w:rsidRPr="00717C20">
        <w:rPr>
          <w:rFonts w:ascii="Times New Roman" w:hAnsi="Times New Roman" w:cs="Bookman Old Style"/>
          <w:color w:val="000000"/>
          <w:szCs w:val="20"/>
        </w:rPr>
        <w:t>merely for having been aware of femme Luppé’s repeated emigrations and r</w:t>
      </w:r>
      <w:r>
        <w:rPr>
          <w:rFonts w:ascii="Times New Roman" w:hAnsi="Times New Roman" w:cs="Bookman Old Style"/>
          <w:color w:val="000000"/>
          <w:szCs w:val="20"/>
        </w:rPr>
        <w:t>eturns. This flimsy pretext did</w:t>
      </w:r>
      <w:r w:rsidRPr="00717C20">
        <w:rPr>
          <w:rFonts w:ascii="Times New Roman" w:hAnsi="Times New Roman" w:cs="Bookman Old Style"/>
          <w:color w:val="000000"/>
          <w:szCs w:val="20"/>
        </w:rPr>
        <w:t xml:space="preserve"> not obscure the real motive behind the</w:t>
      </w:r>
      <w:r>
        <w:rPr>
          <w:rFonts w:ascii="Times New Roman" w:hAnsi="Times New Roman" w:cs="Bookman Old Style"/>
          <w:color w:val="000000"/>
          <w:szCs w:val="20"/>
        </w:rPr>
        <w:t xml:space="preserve"> accusation; the Tribunal wanted her to </w:t>
      </w:r>
      <w:r w:rsidRPr="00717C20">
        <w:rPr>
          <w:rFonts w:ascii="Times New Roman" w:hAnsi="Times New Roman" w:cs="Bookman Old Style"/>
          <w:color w:val="000000"/>
          <w:szCs w:val="20"/>
        </w:rPr>
        <w:t>provide the necessary testimony to convict femme Luppé.</w:t>
      </w:r>
      <w:r w:rsidRPr="00717C20">
        <w:rPr>
          <w:rStyle w:val="FootnoteReference"/>
          <w:rFonts w:ascii="Times New Roman" w:hAnsi="Times New Roman" w:cs="Bookman Old Style"/>
          <w:color w:val="000000"/>
          <w:szCs w:val="20"/>
        </w:rPr>
        <w:footnoteReference w:id="32"/>
      </w:r>
      <w:r w:rsidRPr="00717C20">
        <w:rPr>
          <w:rFonts w:ascii="Times New Roman" w:hAnsi="Times New Roman" w:cs="Bookman Old Style"/>
          <w:color w:val="000000"/>
          <w:szCs w:val="20"/>
        </w:rPr>
        <w:t xml:space="preserve"> Having </w:t>
      </w:r>
      <w:r>
        <w:rPr>
          <w:rFonts w:ascii="Times New Roman" w:hAnsi="Times New Roman" w:cs="Bookman Old Style"/>
          <w:color w:val="000000"/>
          <w:szCs w:val="20"/>
        </w:rPr>
        <w:t>thus achieved its aim, the Tribunal condemned</w:t>
      </w:r>
      <w:r w:rsidRPr="00717C20">
        <w:rPr>
          <w:rFonts w:ascii="Times New Roman" w:hAnsi="Times New Roman" w:cs="Bookman Old Style"/>
          <w:color w:val="000000"/>
          <w:szCs w:val="20"/>
        </w:rPr>
        <w:t xml:space="preserve"> femme Luppé</w:t>
      </w:r>
      <w:r>
        <w:rPr>
          <w:rFonts w:ascii="Times New Roman" w:hAnsi="Times New Roman" w:cs="Bookman Old Style"/>
          <w:color w:val="000000"/>
          <w:szCs w:val="20"/>
        </w:rPr>
        <w:t xml:space="preserve"> to death and acquitted</w:t>
      </w:r>
      <w:r w:rsidRPr="00717C20">
        <w:rPr>
          <w:rFonts w:ascii="Times New Roman" w:hAnsi="Times New Roman" w:cs="Bookman Old Style"/>
          <w:color w:val="000000"/>
          <w:szCs w:val="20"/>
        </w:rPr>
        <w:t xml:space="preserve"> Deliège of all charges.</w:t>
      </w:r>
      <w:r w:rsidRPr="00717C20">
        <w:rPr>
          <w:rStyle w:val="FootnoteReference"/>
          <w:rFonts w:ascii="Times New Roman" w:hAnsi="Times New Roman" w:cs="Bookman Old Style"/>
          <w:color w:val="000000"/>
          <w:szCs w:val="20"/>
        </w:rPr>
        <w:footnoteReference w:id="33"/>
      </w:r>
      <w:r w:rsidRPr="00717C20">
        <w:rPr>
          <w:rFonts w:ascii="Times New Roman" w:hAnsi="Times New Roman" w:cs="Bookman Old Style"/>
          <w:color w:val="000000"/>
          <w:szCs w:val="20"/>
        </w:rPr>
        <w:t xml:space="preserve"> </w:t>
      </w:r>
      <w:r>
        <w:rPr>
          <w:rFonts w:ascii="Times New Roman" w:hAnsi="Times New Roman" w:cs="Bookman Old Style"/>
          <w:color w:val="000000"/>
          <w:szCs w:val="20"/>
        </w:rPr>
        <w:t>The Tribunal employed this same tactic during many other trials</w:t>
      </w:r>
      <w:r w:rsidRPr="00717C20">
        <w:rPr>
          <w:rFonts w:ascii="Times New Roman" w:hAnsi="Times New Roman" w:cs="Bookman Old Style"/>
          <w:color w:val="000000"/>
          <w:szCs w:val="20"/>
        </w:rPr>
        <w:t>. While the Tribunal most often found the main defendant guilty, the “witness” on trial was almost invariably acquitted of all charges. This practice highlights just one of the many limita</w:t>
      </w:r>
      <w:r>
        <w:rPr>
          <w:rFonts w:ascii="Times New Roman" w:hAnsi="Times New Roman" w:cs="Bookman Old Style"/>
          <w:color w:val="000000"/>
          <w:szCs w:val="20"/>
        </w:rPr>
        <w:t>tions that the Tribunal faced during</w:t>
      </w:r>
      <w:r w:rsidRPr="00717C20">
        <w:rPr>
          <w:rFonts w:ascii="Times New Roman" w:hAnsi="Times New Roman" w:cs="Bookman Old Style"/>
          <w:color w:val="000000"/>
          <w:szCs w:val="20"/>
        </w:rPr>
        <w:t xml:space="preserve"> its search for justice. </w:t>
      </w:r>
    </w:p>
    <w:p w:rsidR="001C5440" w:rsidRPr="00717C20" w:rsidRDefault="001C5440" w:rsidP="00E41716">
      <w:pPr>
        <w:spacing w:line="480" w:lineRule="auto"/>
        <w:ind w:firstLine="720"/>
        <w:contextualSpacing/>
        <w:rPr>
          <w:rFonts w:ascii="Times New Roman" w:hAnsi="Times New Roman"/>
        </w:rPr>
      </w:pPr>
      <w:r w:rsidRPr="00717C20">
        <w:rPr>
          <w:rFonts w:ascii="Times New Roman" w:hAnsi="Times New Roman"/>
        </w:rPr>
        <w:t>These practical issues of</w:t>
      </w:r>
      <w:r>
        <w:rPr>
          <w:rFonts w:ascii="Times New Roman" w:hAnsi="Times New Roman"/>
        </w:rPr>
        <w:t xml:space="preserve"> obtaining evidence</w:t>
      </w:r>
      <w:r w:rsidRPr="00717C20">
        <w:rPr>
          <w:rFonts w:ascii="Times New Roman" w:hAnsi="Times New Roman"/>
        </w:rPr>
        <w:t xml:space="preserve">, exacerbated by a heavy workload, contributed to the importance of short, attention-grabbing vignettes. Used by both the public prosecutor and the defendants, these stories helped justify either the guilt or the innocence of the defendant. Despite the Revolution’s proclaimed “break” from previous forms of justice, practical limitations restricted the influence </w:t>
      </w:r>
      <w:r>
        <w:rPr>
          <w:rFonts w:ascii="Times New Roman" w:hAnsi="Times New Roman"/>
        </w:rPr>
        <w:t>of raw</w:t>
      </w:r>
      <w:r w:rsidRPr="00717C20">
        <w:rPr>
          <w:rFonts w:ascii="Times New Roman" w:hAnsi="Times New Roman"/>
        </w:rPr>
        <w:t xml:space="preserve"> evidence, unfiltered by the public prosecutor’s interpretation. Similarly, the mo</w:t>
      </w:r>
      <w:r>
        <w:rPr>
          <w:rFonts w:ascii="Times New Roman" w:hAnsi="Times New Roman"/>
        </w:rPr>
        <w:t xml:space="preserve">st successful defendants </w:t>
      </w:r>
      <w:r w:rsidRPr="00717C20">
        <w:rPr>
          <w:rFonts w:ascii="Times New Roman" w:hAnsi="Times New Roman"/>
        </w:rPr>
        <w:t>construct</w:t>
      </w:r>
      <w:r>
        <w:rPr>
          <w:rFonts w:ascii="Times New Roman" w:hAnsi="Times New Roman"/>
        </w:rPr>
        <w:t>ed</w:t>
      </w:r>
      <w:r w:rsidRPr="00717C20">
        <w:rPr>
          <w:rFonts w:ascii="Times New Roman" w:hAnsi="Times New Roman"/>
        </w:rPr>
        <w:t xml:space="preserve"> </w:t>
      </w:r>
      <w:r>
        <w:rPr>
          <w:rFonts w:ascii="Times New Roman" w:hAnsi="Times New Roman"/>
        </w:rPr>
        <w:t>explanatory stories</w:t>
      </w:r>
      <w:r w:rsidRPr="00717C20">
        <w:rPr>
          <w:rFonts w:ascii="Times New Roman" w:hAnsi="Times New Roman"/>
        </w:rPr>
        <w:t>, which often served as the most effective form of defense.</w:t>
      </w:r>
      <w:r>
        <w:rPr>
          <w:rFonts w:ascii="Times New Roman" w:hAnsi="Times New Roman"/>
        </w:rPr>
        <w:t xml:space="preserve"> Often these narratives politicized and contextualized the defendant within a distinctly local context.</w:t>
      </w:r>
      <w:r w:rsidRPr="00717C20">
        <w:rPr>
          <w:rFonts w:ascii="Times New Roman" w:hAnsi="Times New Roman"/>
        </w:rPr>
        <w:t xml:space="preserve"> The Tribunal, I posit, did not blindly weigh the scales of justice </w:t>
      </w:r>
      <w:r>
        <w:rPr>
          <w:rFonts w:ascii="Times New Roman" w:hAnsi="Times New Roman"/>
        </w:rPr>
        <w:t>in order to find</w:t>
      </w:r>
      <w:r w:rsidRPr="00717C20">
        <w:rPr>
          <w:rFonts w:ascii="Times New Roman" w:hAnsi="Times New Roman"/>
        </w:rPr>
        <w:t xml:space="preserve"> </w:t>
      </w:r>
      <w:r w:rsidRPr="00717C20">
        <w:rPr>
          <w:rFonts w:ascii="Times New Roman" w:hAnsi="Times New Roman"/>
        </w:rPr>
        <w:lastRenderedPageBreak/>
        <w:t>the elusive and nuanced truth beneath the evidence, but instead chose between the two polarized narratives developed by the public prosecutor and the defendant.</w:t>
      </w:r>
    </w:p>
    <w:p w:rsidR="001C5440" w:rsidRPr="00717C20" w:rsidRDefault="001C5440" w:rsidP="00E41716">
      <w:pPr>
        <w:spacing w:line="480" w:lineRule="auto"/>
        <w:ind w:firstLine="720"/>
        <w:contextualSpacing/>
        <w:rPr>
          <w:rFonts w:ascii="Times New Roman" w:hAnsi="Times New Roman"/>
        </w:rPr>
      </w:pPr>
      <w:r w:rsidRPr="00717C20">
        <w:rPr>
          <w:rFonts w:ascii="Times New Roman" w:hAnsi="Times New Roman"/>
        </w:rPr>
        <w:t xml:space="preserve">The construction of these narratives flourished in large part because </w:t>
      </w:r>
      <w:r>
        <w:rPr>
          <w:rFonts w:ascii="Times New Roman" w:hAnsi="Times New Roman"/>
        </w:rPr>
        <w:t xml:space="preserve">the Tribunal denied </w:t>
      </w:r>
      <w:r w:rsidRPr="00717C20">
        <w:rPr>
          <w:rFonts w:ascii="Times New Roman" w:hAnsi="Times New Roman"/>
        </w:rPr>
        <w:t>other f</w:t>
      </w:r>
      <w:r>
        <w:rPr>
          <w:rFonts w:ascii="Times New Roman" w:hAnsi="Times New Roman"/>
        </w:rPr>
        <w:t>orms of self-defense</w:t>
      </w:r>
      <w:r w:rsidRPr="00717C20">
        <w:rPr>
          <w:rFonts w:ascii="Times New Roman" w:hAnsi="Times New Roman"/>
        </w:rPr>
        <w:t xml:space="preserve"> to defendants. The</w:t>
      </w:r>
      <w:r>
        <w:rPr>
          <w:rFonts w:ascii="Times New Roman" w:hAnsi="Times New Roman"/>
        </w:rPr>
        <w:t xml:space="preserve"> </w:t>
      </w:r>
      <w:r w:rsidR="00AD0377" w:rsidRPr="00717C20">
        <w:rPr>
          <w:rFonts w:ascii="Times New Roman" w:hAnsi="Times New Roman"/>
        </w:rPr>
        <w:t>legislation that initially created the Tribunal</w:t>
      </w:r>
      <w:r w:rsidRPr="00717C20">
        <w:rPr>
          <w:rFonts w:ascii="Times New Roman" w:hAnsi="Times New Roman"/>
        </w:rPr>
        <w:t xml:space="preserve"> focused upon issues of structure, size, and personnel. It did not, however, define the rights and responsibilities of defendants in relation to their judges and jury. </w:t>
      </w:r>
      <w:r>
        <w:rPr>
          <w:rFonts w:ascii="Times New Roman" w:hAnsi="Times New Roman"/>
        </w:rPr>
        <w:t xml:space="preserve">The Convention overlooked these nuances </w:t>
      </w:r>
      <w:r w:rsidRPr="00717C20">
        <w:rPr>
          <w:rFonts w:ascii="Times New Roman" w:hAnsi="Times New Roman"/>
        </w:rPr>
        <w:t xml:space="preserve">at a time of rampant fear of violent counterrevolution. In theory, every prisoner had access to a defense counsel who would be allowed to meet with the prisoner before the trial </w:t>
      </w:r>
      <w:r>
        <w:rPr>
          <w:rFonts w:ascii="Times New Roman" w:hAnsi="Times New Roman"/>
        </w:rPr>
        <w:t>to formulate a</w:t>
      </w:r>
      <w:r w:rsidRPr="00717C20">
        <w:rPr>
          <w:rFonts w:ascii="Times New Roman" w:hAnsi="Times New Roman"/>
        </w:rPr>
        <w:t xml:space="preserve"> personalized defense. Furthermore, each prisoner </w:t>
      </w:r>
      <w:r>
        <w:rPr>
          <w:rFonts w:ascii="Times New Roman" w:hAnsi="Times New Roman"/>
        </w:rPr>
        <w:t>maintained</w:t>
      </w:r>
      <w:r w:rsidRPr="00717C20">
        <w:rPr>
          <w:rFonts w:ascii="Times New Roman" w:hAnsi="Times New Roman"/>
        </w:rPr>
        <w:t xml:space="preserve"> the right to have this same lawyer present</w:t>
      </w:r>
      <w:r>
        <w:rPr>
          <w:rFonts w:ascii="Times New Roman" w:hAnsi="Times New Roman"/>
        </w:rPr>
        <w:t xml:space="preserve"> the defense during the trial before the court announced a verdict.</w:t>
      </w:r>
      <w:r w:rsidRPr="00717C20">
        <w:rPr>
          <w:rStyle w:val="FootnoteReference"/>
          <w:rFonts w:ascii="Times New Roman" w:hAnsi="Times New Roman"/>
        </w:rPr>
        <w:footnoteReference w:id="34"/>
      </w:r>
      <w:r w:rsidRPr="00717C20">
        <w:rPr>
          <w:rFonts w:ascii="Times New Roman" w:hAnsi="Times New Roman"/>
        </w:rPr>
        <w:t xml:space="preserve"> </w:t>
      </w:r>
      <w:r>
        <w:rPr>
          <w:rFonts w:ascii="Times New Roman" w:hAnsi="Times New Roman"/>
        </w:rPr>
        <w:t>The testimony presented in Fouquier-Tinville’s trial revealed</w:t>
      </w:r>
      <w:r w:rsidRPr="00717C20">
        <w:rPr>
          <w:rFonts w:ascii="Times New Roman" w:hAnsi="Times New Roman"/>
        </w:rPr>
        <w:t xml:space="preserve"> that these rights were not protected in practice.</w:t>
      </w:r>
      <w:r w:rsidRPr="00717C20">
        <w:rPr>
          <w:rStyle w:val="FootnoteReference"/>
          <w:rFonts w:ascii="Times New Roman" w:hAnsi="Times New Roman"/>
        </w:rPr>
        <w:footnoteReference w:id="35"/>
      </w:r>
      <w:r w:rsidRPr="00717C20">
        <w:rPr>
          <w:rFonts w:ascii="Times New Roman" w:hAnsi="Times New Roman"/>
        </w:rPr>
        <w:t xml:space="preserve"> </w:t>
      </w:r>
    </w:p>
    <w:p w:rsidR="001C5440" w:rsidRPr="00717C20" w:rsidRDefault="001C5440" w:rsidP="00E41716">
      <w:pPr>
        <w:spacing w:line="480" w:lineRule="auto"/>
        <w:ind w:firstLine="720"/>
        <w:contextualSpacing/>
        <w:rPr>
          <w:rFonts w:ascii="Times New Roman" w:hAnsi="Times New Roman"/>
        </w:rPr>
      </w:pPr>
      <w:r>
        <w:rPr>
          <w:rFonts w:ascii="Times New Roman" w:hAnsi="Times New Roman"/>
        </w:rPr>
        <w:t xml:space="preserve">Defense attorneys faced a </w:t>
      </w:r>
      <w:r w:rsidRPr="00717C20">
        <w:rPr>
          <w:rFonts w:ascii="Times New Roman" w:hAnsi="Times New Roman"/>
        </w:rPr>
        <w:t>fundam</w:t>
      </w:r>
      <w:r>
        <w:rPr>
          <w:rFonts w:ascii="Times New Roman" w:hAnsi="Times New Roman"/>
        </w:rPr>
        <w:t>ental problem; defending a counter</w:t>
      </w:r>
      <w:r w:rsidRPr="00717C20">
        <w:rPr>
          <w:rFonts w:ascii="Times New Roman" w:hAnsi="Times New Roman"/>
        </w:rPr>
        <w:t>revolutionary</w:t>
      </w:r>
      <w:r>
        <w:rPr>
          <w:rFonts w:ascii="Times New Roman" w:hAnsi="Times New Roman"/>
        </w:rPr>
        <w:t xml:space="preserve"> defendant</w:t>
      </w:r>
      <w:r w:rsidRPr="00717C20">
        <w:rPr>
          <w:rFonts w:ascii="Times New Roman" w:hAnsi="Times New Roman"/>
        </w:rPr>
        <w:t xml:space="preserve"> </w:t>
      </w:r>
      <w:r>
        <w:rPr>
          <w:rFonts w:ascii="Times New Roman" w:hAnsi="Times New Roman"/>
        </w:rPr>
        <w:t>implied sympathy with counter</w:t>
      </w:r>
      <w:r w:rsidRPr="00717C20">
        <w:rPr>
          <w:rFonts w:ascii="Times New Roman" w:hAnsi="Times New Roman"/>
        </w:rPr>
        <w:t xml:space="preserve">revolutionary thought, a dangerous accusation at the time. These factors limited not only prisoners’ access to, but also the quality of, trained legal defense within the Revolutionary Tribunal. </w:t>
      </w:r>
      <w:r>
        <w:rPr>
          <w:rFonts w:ascii="Times New Roman" w:hAnsi="Times New Roman"/>
        </w:rPr>
        <w:t>When denied a</w:t>
      </w:r>
      <w:r w:rsidRPr="00717C20">
        <w:rPr>
          <w:rFonts w:ascii="Times New Roman" w:hAnsi="Times New Roman"/>
        </w:rPr>
        <w:t xml:space="preserve"> formal defense attorney, prisoners</w:t>
      </w:r>
      <w:r>
        <w:rPr>
          <w:rFonts w:ascii="Times New Roman" w:hAnsi="Times New Roman"/>
        </w:rPr>
        <w:t xml:space="preserve"> could instead make a statement</w:t>
      </w:r>
      <w:r w:rsidRPr="00717C20">
        <w:rPr>
          <w:rFonts w:ascii="Times New Roman" w:hAnsi="Times New Roman"/>
        </w:rPr>
        <w:t xml:space="preserve"> after a guilty verdict was returned, but before the sentence was prescribed. </w:t>
      </w:r>
      <w:r>
        <w:rPr>
          <w:rFonts w:ascii="Times New Roman" w:hAnsi="Times New Roman"/>
        </w:rPr>
        <w:t>T</w:t>
      </w:r>
      <w:r w:rsidRPr="00717C20">
        <w:rPr>
          <w:rFonts w:ascii="Times New Roman" w:hAnsi="Times New Roman"/>
        </w:rPr>
        <w:t>rial records seldom recorded information of this kind</w:t>
      </w:r>
      <w:r>
        <w:rPr>
          <w:rFonts w:ascii="Times New Roman" w:hAnsi="Times New Roman"/>
        </w:rPr>
        <w:t xml:space="preserve"> and it is therefore difficult to determine the prevalence of this practice</w:t>
      </w:r>
      <w:r w:rsidRPr="00717C20">
        <w:rPr>
          <w:rFonts w:ascii="Times New Roman" w:hAnsi="Times New Roman"/>
        </w:rPr>
        <w:t xml:space="preserve">. A law of 26 February 1794 officially encouraged prisoners waiting for trial to prepare a full report of their conduct </w:t>
      </w:r>
      <w:r w:rsidRPr="00717C20">
        <w:rPr>
          <w:rFonts w:ascii="Times New Roman" w:hAnsi="Times New Roman"/>
        </w:rPr>
        <w:lastRenderedPageBreak/>
        <w:t>since the start of the Revolution.</w:t>
      </w:r>
      <w:r w:rsidRPr="00717C20">
        <w:rPr>
          <w:rStyle w:val="FootnoteReference"/>
          <w:rFonts w:ascii="Times New Roman" w:hAnsi="Times New Roman"/>
        </w:rPr>
        <w:t xml:space="preserve"> </w:t>
      </w:r>
      <w:r w:rsidRPr="00717C20">
        <w:rPr>
          <w:rStyle w:val="FootnoteReference"/>
          <w:rFonts w:ascii="Times New Roman" w:hAnsi="Times New Roman"/>
        </w:rPr>
        <w:footnoteReference w:id="36"/>
      </w:r>
      <w:r>
        <w:rPr>
          <w:rFonts w:ascii="Times New Roman" w:hAnsi="Times New Roman"/>
        </w:rPr>
        <w:t xml:space="preserve"> This law strongly </w:t>
      </w:r>
      <w:r w:rsidRPr="00717C20">
        <w:rPr>
          <w:rFonts w:ascii="Times New Roman" w:hAnsi="Times New Roman"/>
        </w:rPr>
        <w:t>encouraged the practice of</w:t>
      </w:r>
      <w:r>
        <w:rPr>
          <w:rFonts w:ascii="Times New Roman" w:hAnsi="Times New Roman"/>
        </w:rPr>
        <w:t xml:space="preserve"> oral self-defense, although its</w:t>
      </w:r>
      <w:r w:rsidRPr="00717C20">
        <w:rPr>
          <w:rFonts w:ascii="Times New Roman" w:hAnsi="Times New Roman"/>
        </w:rPr>
        <w:t xml:space="preserve"> use and e</w:t>
      </w:r>
      <w:r>
        <w:rPr>
          <w:rFonts w:ascii="Times New Roman" w:hAnsi="Times New Roman"/>
        </w:rPr>
        <w:t xml:space="preserve">fficacy </w:t>
      </w:r>
      <w:r w:rsidRPr="00717C20">
        <w:rPr>
          <w:rFonts w:ascii="Times New Roman" w:hAnsi="Times New Roman"/>
        </w:rPr>
        <w:t>remains un</w:t>
      </w:r>
      <w:r>
        <w:rPr>
          <w:rFonts w:ascii="Times New Roman" w:hAnsi="Times New Roman"/>
        </w:rPr>
        <w:t>certain. Nonetheless, this law</w:t>
      </w:r>
      <w:r w:rsidRPr="00717C20">
        <w:rPr>
          <w:rFonts w:ascii="Times New Roman" w:hAnsi="Times New Roman"/>
        </w:rPr>
        <w:t xml:space="preserve"> sought to formally define the rights and responsibilities of the defendant within the Revolutionary Tribunal. </w:t>
      </w:r>
    </w:p>
    <w:p w:rsidR="001C5440" w:rsidRPr="00717C20" w:rsidRDefault="001C5440" w:rsidP="00E41716">
      <w:pPr>
        <w:spacing w:line="480" w:lineRule="auto"/>
        <w:ind w:firstLine="720"/>
        <w:contextualSpacing/>
        <w:rPr>
          <w:rFonts w:ascii="Times New Roman" w:hAnsi="Times New Roman"/>
        </w:rPr>
      </w:pPr>
      <w:r>
        <w:rPr>
          <w:rFonts w:ascii="Times New Roman" w:hAnsi="Times New Roman"/>
        </w:rPr>
        <w:t>T</w:t>
      </w:r>
      <w:r w:rsidRPr="00717C20">
        <w:rPr>
          <w:rFonts w:ascii="Times New Roman" w:hAnsi="Times New Roman"/>
        </w:rPr>
        <w:t xml:space="preserve">he history and day-to-day logistical operations of the Revolutionary Tribunal </w:t>
      </w:r>
      <w:r>
        <w:rPr>
          <w:rFonts w:ascii="Times New Roman" w:hAnsi="Times New Roman"/>
        </w:rPr>
        <w:t>help explain</w:t>
      </w:r>
      <w:r w:rsidRPr="00717C20">
        <w:rPr>
          <w:rFonts w:ascii="Times New Roman" w:hAnsi="Times New Roman"/>
        </w:rPr>
        <w:t xml:space="preserve"> the actions and decisions of the court. From the </w:t>
      </w:r>
      <w:r>
        <w:rPr>
          <w:rFonts w:ascii="Times New Roman" w:hAnsi="Times New Roman"/>
        </w:rPr>
        <w:t xml:space="preserve">very </w:t>
      </w:r>
      <w:r w:rsidRPr="00717C20">
        <w:rPr>
          <w:rFonts w:ascii="Times New Roman" w:hAnsi="Times New Roman"/>
        </w:rPr>
        <w:t xml:space="preserve">beginning, the </w:t>
      </w:r>
      <w:r>
        <w:rPr>
          <w:rFonts w:ascii="Times New Roman" w:hAnsi="Times New Roman"/>
        </w:rPr>
        <w:t xml:space="preserve">Assembly envisioned the Tribunal </w:t>
      </w:r>
      <w:r w:rsidRPr="00717C20">
        <w:rPr>
          <w:rFonts w:ascii="Times New Roman" w:hAnsi="Times New Roman"/>
        </w:rPr>
        <w:t xml:space="preserve">as a revolutionary break from previous forms of justice. Accessible and open to the public, the Tribunal rejected the perceived corruption and secrecy of Old Regime justice. Further, its creation and subsequent reorganizations occurred within the specific political climate of </w:t>
      </w:r>
      <w:r>
        <w:rPr>
          <w:rFonts w:ascii="Times New Roman" w:hAnsi="Times New Roman"/>
        </w:rPr>
        <w:t>r</w:t>
      </w:r>
      <w:r w:rsidRPr="00717C20">
        <w:rPr>
          <w:rFonts w:ascii="Times New Roman" w:hAnsi="Times New Roman"/>
        </w:rPr>
        <w:t xml:space="preserve">evolutionary Paris in 1793 and 1794. Often understood as the instigator and engine of the Terror, the Revolutionary Tribunal merely reflected the concerns and preoccupations of the Convention members that created it. These Convention members </w:t>
      </w:r>
      <w:r>
        <w:rPr>
          <w:rFonts w:ascii="Times New Roman" w:hAnsi="Times New Roman"/>
        </w:rPr>
        <w:t xml:space="preserve">debated the Tribunal’s </w:t>
      </w:r>
      <w:r w:rsidRPr="00717C20">
        <w:rPr>
          <w:rFonts w:ascii="Times New Roman" w:hAnsi="Times New Roman"/>
        </w:rPr>
        <w:t>proper role</w:t>
      </w:r>
      <w:r>
        <w:rPr>
          <w:rFonts w:ascii="Times New Roman" w:hAnsi="Times New Roman"/>
        </w:rPr>
        <w:t xml:space="preserve"> within a revolutionary society, not</w:t>
      </w:r>
      <w:r w:rsidRPr="00717C20">
        <w:rPr>
          <w:rFonts w:ascii="Times New Roman" w:hAnsi="Times New Roman"/>
        </w:rPr>
        <w:t xml:space="preserve"> the details</w:t>
      </w:r>
      <w:r>
        <w:rPr>
          <w:rFonts w:ascii="Times New Roman" w:hAnsi="Times New Roman"/>
        </w:rPr>
        <w:t xml:space="preserve"> necessary to implement such a court.</w:t>
      </w:r>
    </w:p>
    <w:p w:rsidR="001C5440" w:rsidRPr="00717C20" w:rsidRDefault="001C5440" w:rsidP="00E41716">
      <w:pPr>
        <w:spacing w:line="480" w:lineRule="auto"/>
        <w:ind w:firstLine="720"/>
        <w:contextualSpacing/>
        <w:rPr>
          <w:rFonts w:ascii="Times New Roman" w:hAnsi="Times New Roman"/>
        </w:rPr>
      </w:pPr>
      <w:r>
        <w:rPr>
          <w:rFonts w:ascii="Times New Roman" w:hAnsi="Times New Roman"/>
        </w:rPr>
        <w:t>As such, t</w:t>
      </w:r>
      <w:r w:rsidRPr="00717C20">
        <w:rPr>
          <w:rFonts w:ascii="Times New Roman" w:hAnsi="Times New Roman"/>
        </w:rPr>
        <w:t>he Convention forced the Tribunal to solve the logistical problems of bringing de</w:t>
      </w:r>
      <w:r>
        <w:rPr>
          <w:rFonts w:ascii="Times New Roman" w:hAnsi="Times New Roman"/>
        </w:rPr>
        <w:t xml:space="preserve">fendants to trial. Although the Tribunal surmounted many of these challenges, </w:t>
      </w:r>
      <w:r w:rsidRPr="00717C20">
        <w:rPr>
          <w:rFonts w:ascii="Times New Roman" w:hAnsi="Times New Roman"/>
        </w:rPr>
        <w:t xml:space="preserve">heavy caseloads and murky legal precedent prevented the judges and jurors from closely examining the large dossiers of every defendant. Instead, the judges and jurors weighed the merits of competing </w:t>
      </w:r>
      <w:r>
        <w:rPr>
          <w:rFonts w:ascii="Times New Roman" w:hAnsi="Times New Roman"/>
        </w:rPr>
        <w:t>narratives</w:t>
      </w:r>
      <w:r w:rsidRPr="00717C20">
        <w:rPr>
          <w:rFonts w:ascii="Times New Roman" w:hAnsi="Times New Roman"/>
        </w:rPr>
        <w:t xml:space="preserve"> developed by the prosecution and the defense.</w:t>
      </w:r>
      <w:r>
        <w:rPr>
          <w:rFonts w:ascii="Times New Roman" w:hAnsi="Times New Roman"/>
        </w:rPr>
        <w:t xml:space="preserve"> </w:t>
      </w:r>
      <w:r w:rsidRPr="00717C20">
        <w:rPr>
          <w:rFonts w:ascii="Times New Roman" w:hAnsi="Times New Roman"/>
        </w:rPr>
        <w:t xml:space="preserve">Practical, logistical concerns, as well as ideological tendencies, defined the Tribunal’s response to defendants on trial. </w:t>
      </w:r>
    </w:p>
    <w:p w:rsidR="00EF5359" w:rsidRDefault="00EF5359" w:rsidP="00EF5359">
      <w:pPr>
        <w:spacing w:after="0"/>
        <w:rPr>
          <w:rFonts w:ascii="Times New Roman" w:hAnsi="Times New Roman"/>
        </w:rPr>
      </w:pPr>
      <w:r>
        <w:rPr>
          <w:rFonts w:ascii="Times New Roman" w:hAnsi="Times New Roman"/>
          <w:sz w:val="36"/>
        </w:rPr>
        <w:br w:type="page"/>
      </w:r>
      <w:r w:rsidR="003C5BB0" w:rsidRPr="003C5BB0">
        <w:rPr>
          <w:rFonts w:ascii="Times New Roman" w:hAnsi="Times New Roman"/>
          <w:sz w:val="36"/>
        </w:rPr>
        <w:lastRenderedPageBreak/>
        <w:t>P</w:t>
      </w:r>
      <w:r w:rsidR="003C5BB0">
        <w:rPr>
          <w:rFonts w:ascii="Times New Roman" w:hAnsi="Times New Roman"/>
          <w:sz w:val="28"/>
        </w:rPr>
        <w:t>erceptions of Power: the</w:t>
      </w:r>
      <w:r w:rsidR="001C5440" w:rsidRPr="00717C20">
        <w:rPr>
          <w:rFonts w:ascii="Times New Roman" w:hAnsi="Times New Roman"/>
          <w:sz w:val="28"/>
        </w:rPr>
        <w:t xml:space="preserve"> Tribunal</w:t>
      </w:r>
      <w:r w:rsidR="003C5BB0">
        <w:rPr>
          <w:rFonts w:ascii="Times New Roman" w:hAnsi="Times New Roman"/>
          <w:sz w:val="28"/>
        </w:rPr>
        <w:t>’s Fear of</w:t>
      </w:r>
      <w:r w:rsidR="001C5440" w:rsidRPr="00717C20">
        <w:rPr>
          <w:rFonts w:ascii="Times New Roman" w:hAnsi="Times New Roman"/>
          <w:sz w:val="28"/>
        </w:rPr>
        <w:t xml:space="preserve"> Influen</w:t>
      </w:r>
      <w:r w:rsidR="003C5BB0">
        <w:rPr>
          <w:rFonts w:ascii="Times New Roman" w:hAnsi="Times New Roman"/>
          <w:sz w:val="28"/>
        </w:rPr>
        <w:t>tial Women</w:t>
      </w:r>
    </w:p>
    <w:p w:rsidR="001C5440" w:rsidRPr="00EF5359" w:rsidRDefault="001C5440" w:rsidP="00EF5359">
      <w:pPr>
        <w:spacing w:after="0"/>
        <w:rPr>
          <w:rFonts w:ascii="Times New Roman" w:hAnsi="Times New Roman"/>
        </w:rPr>
      </w:pPr>
    </w:p>
    <w:p w:rsidR="001C5440" w:rsidRPr="00717C20" w:rsidRDefault="001C5440" w:rsidP="00E41716">
      <w:pPr>
        <w:spacing w:line="480" w:lineRule="auto"/>
        <w:contextualSpacing/>
        <w:rPr>
          <w:rFonts w:ascii="Times New Roman" w:hAnsi="Times New Roman"/>
        </w:rPr>
      </w:pPr>
      <w:r w:rsidRPr="00717C20">
        <w:rPr>
          <w:rFonts w:ascii="Times New Roman" w:hAnsi="Times New Roman"/>
        </w:rPr>
        <w:tab/>
        <w:t>Although practical, structural, and political realities shaped the Tribunal’s treatment of the defe</w:t>
      </w:r>
      <w:r>
        <w:rPr>
          <w:rFonts w:ascii="Times New Roman" w:hAnsi="Times New Roman"/>
        </w:rPr>
        <w:t>ndants</w:t>
      </w:r>
      <w:r w:rsidRPr="00717C20">
        <w:rPr>
          <w:rFonts w:ascii="Times New Roman" w:hAnsi="Times New Roman"/>
        </w:rPr>
        <w:t xml:space="preserve">, the </w:t>
      </w:r>
      <w:r>
        <w:rPr>
          <w:rFonts w:ascii="Times New Roman" w:hAnsi="Times New Roman"/>
        </w:rPr>
        <w:t>cultura</w:t>
      </w:r>
      <w:r w:rsidRPr="00717C20">
        <w:rPr>
          <w:rFonts w:ascii="Times New Roman" w:hAnsi="Times New Roman"/>
        </w:rPr>
        <w:t xml:space="preserve">l legacy of the </w:t>
      </w:r>
      <w:r w:rsidRPr="00717C20">
        <w:rPr>
          <w:rFonts w:ascii="Times New Roman" w:hAnsi="Times New Roman"/>
          <w:i/>
        </w:rPr>
        <w:t xml:space="preserve">Ancien Regime </w:t>
      </w:r>
      <w:r w:rsidRPr="00717C20">
        <w:rPr>
          <w:rFonts w:ascii="Times New Roman" w:hAnsi="Times New Roman"/>
        </w:rPr>
        <w:t xml:space="preserve">more profoundly influenced the Tribunal’s perception of female defendants. As a rejection of the political and social realities of </w:t>
      </w:r>
      <w:r w:rsidRPr="00717C20">
        <w:rPr>
          <w:rFonts w:ascii="Times New Roman" w:hAnsi="Times New Roman"/>
          <w:i/>
        </w:rPr>
        <w:t>Ancien Regime</w:t>
      </w:r>
      <w:r w:rsidRPr="00717C20">
        <w:rPr>
          <w:rFonts w:ascii="Times New Roman" w:hAnsi="Times New Roman"/>
        </w:rPr>
        <w:t xml:space="preserve"> France, the Tribu</w:t>
      </w:r>
      <w:r>
        <w:rPr>
          <w:rFonts w:ascii="Times New Roman" w:hAnsi="Times New Roman"/>
        </w:rPr>
        <w:t>nal strongly condemned women perceived of abusing</w:t>
      </w:r>
      <w:r w:rsidRPr="00717C20">
        <w:rPr>
          <w:rFonts w:ascii="Times New Roman" w:hAnsi="Times New Roman"/>
        </w:rPr>
        <w:t xml:space="preserve"> their position of influence over men. Conversely, women</w:t>
      </w:r>
      <w:r>
        <w:rPr>
          <w:rFonts w:ascii="Times New Roman" w:hAnsi="Times New Roman"/>
        </w:rPr>
        <w:t xml:space="preserve"> </w:t>
      </w:r>
      <w:r w:rsidRPr="00717C20">
        <w:rPr>
          <w:rFonts w:ascii="Times New Roman" w:hAnsi="Times New Roman"/>
        </w:rPr>
        <w:t>who</w:t>
      </w:r>
      <w:r>
        <w:rPr>
          <w:rFonts w:ascii="Times New Roman" w:hAnsi="Times New Roman"/>
        </w:rPr>
        <w:t xml:space="preserve"> supposedly</w:t>
      </w:r>
      <w:r w:rsidRPr="00717C20">
        <w:rPr>
          <w:rFonts w:ascii="Times New Roman" w:hAnsi="Times New Roman"/>
        </w:rPr>
        <w:t xml:space="preserve"> lacked this possibility of influence were rarely convicted.</w:t>
      </w:r>
      <w:r>
        <w:rPr>
          <w:rFonts w:ascii="Times New Roman" w:hAnsi="Times New Roman"/>
        </w:rPr>
        <w:t xml:space="preserve"> </w:t>
      </w:r>
    </w:p>
    <w:p w:rsidR="001C5440" w:rsidRPr="00717C20" w:rsidRDefault="001C5440" w:rsidP="00E41716">
      <w:pPr>
        <w:spacing w:line="480" w:lineRule="auto"/>
        <w:ind w:firstLine="720"/>
        <w:contextualSpacing/>
        <w:rPr>
          <w:rFonts w:ascii="Times New Roman" w:hAnsi="Times New Roman"/>
        </w:rPr>
      </w:pPr>
      <w:r>
        <w:rPr>
          <w:rFonts w:ascii="Times New Roman" w:hAnsi="Times New Roman"/>
        </w:rPr>
        <w:t>Prior to the Revolution, a few</w:t>
      </w:r>
      <w:r w:rsidRPr="00717C20">
        <w:rPr>
          <w:rFonts w:ascii="Times New Roman" w:hAnsi="Times New Roman"/>
        </w:rPr>
        <w:t xml:space="preserve"> women possessed great power and influence due to the connections of their family and friends. </w:t>
      </w:r>
      <w:r>
        <w:rPr>
          <w:rFonts w:ascii="Times New Roman" w:hAnsi="Times New Roman"/>
        </w:rPr>
        <w:t>Popular perception held that t</w:t>
      </w:r>
      <w:r w:rsidRPr="00717C20">
        <w:rPr>
          <w:rFonts w:ascii="Times New Roman" w:hAnsi="Times New Roman"/>
        </w:rPr>
        <w:t>hese litera</w:t>
      </w:r>
      <w:r>
        <w:rPr>
          <w:rFonts w:ascii="Times New Roman" w:hAnsi="Times New Roman"/>
        </w:rPr>
        <w:t xml:space="preserve">te, engaged women controlled a vast engine of power </w:t>
      </w:r>
      <w:r w:rsidRPr="00717C20">
        <w:rPr>
          <w:rFonts w:ascii="Times New Roman" w:hAnsi="Times New Roman"/>
        </w:rPr>
        <w:t>within the late absolutist public sphere.</w:t>
      </w:r>
      <w:r w:rsidRPr="00717C20">
        <w:rPr>
          <w:rStyle w:val="FootnoteReference"/>
          <w:rFonts w:ascii="Times New Roman" w:hAnsi="Times New Roman"/>
        </w:rPr>
        <w:footnoteReference w:id="37"/>
      </w:r>
      <w:r w:rsidRPr="00717C20">
        <w:rPr>
          <w:rFonts w:ascii="Times New Roman" w:hAnsi="Times New Roman"/>
        </w:rPr>
        <w:t xml:space="preserve"> Although many </w:t>
      </w:r>
      <w:r>
        <w:rPr>
          <w:rFonts w:ascii="Times New Roman" w:hAnsi="Times New Roman"/>
        </w:rPr>
        <w:t xml:space="preserve">influential men supported </w:t>
      </w:r>
      <w:r w:rsidRPr="00717C20">
        <w:rPr>
          <w:rFonts w:ascii="Times New Roman" w:hAnsi="Times New Roman"/>
        </w:rPr>
        <w:t xml:space="preserve">the burgeoning salon culture, </w:t>
      </w:r>
      <w:r>
        <w:rPr>
          <w:rFonts w:ascii="Times New Roman" w:hAnsi="Times New Roman"/>
        </w:rPr>
        <w:t>others blamed this phenomenon and the resulting “</w:t>
      </w:r>
      <w:r w:rsidRPr="00717C20">
        <w:rPr>
          <w:rFonts w:ascii="Times New Roman" w:hAnsi="Times New Roman"/>
        </w:rPr>
        <w:t>reign of women</w:t>
      </w:r>
      <w:r>
        <w:rPr>
          <w:rFonts w:ascii="Times New Roman" w:hAnsi="Times New Roman"/>
        </w:rPr>
        <w:t>”</w:t>
      </w:r>
      <w:r w:rsidRPr="00717C20">
        <w:rPr>
          <w:rFonts w:ascii="Times New Roman" w:hAnsi="Times New Roman"/>
        </w:rPr>
        <w:t xml:space="preserve"> for the deterioration of traditional social systems.</w:t>
      </w:r>
      <w:r w:rsidRPr="00717C20">
        <w:rPr>
          <w:rStyle w:val="FootnoteReference"/>
          <w:rFonts w:ascii="Times New Roman" w:hAnsi="Times New Roman"/>
        </w:rPr>
        <w:footnoteReference w:id="38"/>
      </w:r>
      <w:r>
        <w:rPr>
          <w:rFonts w:ascii="Times New Roman" w:hAnsi="Times New Roman"/>
        </w:rPr>
        <w:t xml:space="preserve"> In reality, very few women possessed this level of influence. Only a very select group—usually royal mistresses—lived up to the popular perception of women’s influence. Regardless of this reality, Jacques-Joseph Duguet and similar </w:t>
      </w:r>
      <w:r>
        <w:rPr>
          <w:rFonts w:ascii="Times New Roman" w:hAnsi="Times New Roman"/>
          <w:i/>
        </w:rPr>
        <w:t xml:space="preserve">philosophes </w:t>
      </w:r>
      <w:r w:rsidRPr="00717C20">
        <w:rPr>
          <w:rFonts w:ascii="Times New Roman" w:hAnsi="Times New Roman"/>
        </w:rPr>
        <w:t>indicted women for France’s degeneration “into a court full of amusements, pleasures,</w:t>
      </w:r>
      <w:r>
        <w:rPr>
          <w:rFonts w:ascii="Times New Roman" w:hAnsi="Times New Roman"/>
        </w:rPr>
        <w:t xml:space="preserve"> [and]</w:t>
      </w:r>
      <w:r w:rsidRPr="00717C20">
        <w:rPr>
          <w:rFonts w:ascii="Times New Roman" w:hAnsi="Times New Roman"/>
        </w:rPr>
        <w:t xml:space="preserve"> frivolous occupations…The Entire nation, formerly full of courage, grows soft and becomes effeminate, and the love of pleasures and money succeeds that of </w:t>
      </w:r>
      <w:r w:rsidRPr="00717C20">
        <w:rPr>
          <w:rFonts w:ascii="Times New Roman" w:hAnsi="Times New Roman"/>
        </w:rPr>
        <w:lastRenderedPageBreak/>
        <w:t>virtue.”</w:t>
      </w:r>
      <w:r w:rsidRPr="00717C20">
        <w:rPr>
          <w:rStyle w:val="FootnoteReference"/>
          <w:rFonts w:ascii="Times New Roman" w:hAnsi="Times New Roman"/>
        </w:rPr>
        <w:footnoteReference w:id="39"/>
      </w:r>
      <w:r>
        <w:rPr>
          <w:rFonts w:ascii="Times New Roman" w:hAnsi="Times New Roman"/>
        </w:rPr>
        <w:t xml:space="preserve"> Although not representative of reality, Duguet’s assessment reflected popular perception of women’s degenerative influence within the French nation. </w:t>
      </w:r>
    </w:p>
    <w:p w:rsidR="001C5440" w:rsidRPr="00717C20" w:rsidRDefault="001C5440" w:rsidP="00E41716">
      <w:pPr>
        <w:spacing w:line="480" w:lineRule="auto"/>
        <w:ind w:firstLine="720"/>
        <w:contextualSpacing/>
        <w:rPr>
          <w:rFonts w:ascii="Times New Roman" w:hAnsi="Times New Roman"/>
        </w:rPr>
      </w:pPr>
      <w:r>
        <w:rPr>
          <w:rFonts w:ascii="Times New Roman" w:hAnsi="Times New Roman"/>
        </w:rPr>
        <w:t>Court politics magnified the purported</w:t>
      </w:r>
      <w:r w:rsidRPr="00717C20">
        <w:rPr>
          <w:rFonts w:ascii="Times New Roman" w:hAnsi="Times New Roman"/>
        </w:rPr>
        <w:t xml:space="preserve"> consequence of women’s </w:t>
      </w:r>
      <w:r>
        <w:rPr>
          <w:rFonts w:ascii="Times New Roman" w:hAnsi="Times New Roman"/>
        </w:rPr>
        <w:t xml:space="preserve">perceived influence. </w:t>
      </w:r>
      <w:r w:rsidRPr="00717C20">
        <w:rPr>
          <w:rFonts w:ascii="Times New Roman" w:hAnsi="Times New Roman"/>
        </w:rPr>
        <w:t xml:space="preserve">In Montesquieu’s fictional </w:t>
      </w:r>
      <w:r w:rsidRPr="00717C20">
        <w:rPr>
          <w:rFonts w:ascii="Times New Roman" w:hAnsi="Times New Roman"/>
          <w:i/>
        </w:rPr>
        <w:t xml:space="preserve">Persian Letters, </w:t>
      </w:r>
      <w:r w:rsidRPr="00717C20">
        <w:rPr>
          <w:rFonts w:ascii="Times New Roman" w:hAnsi="Times New Roman"/>
        </w:rPr>
        <w:t>Rica, a Pers</w:t>
      </w:r>
      <w:r>
        <w:rPr>
          <w:rFonts w:ascii="Times New Roman" w:hAnsi="Times New Roman"/>
        </w:rPr>
        <w:t>ian traveler to Paris, complained of the sway women he</w:t>
      </w:r>
      <w:r w:rsidRPr="00717C20">
        <w:rPr>
          <w:rFonts w:ascii="Times New Roman" w:hAnsi="Times New Roman"/>
        </w:rPr>
        <w:t xml:space="preserve">ld over their influential husbands. </w:t>
      </w:r>
    </w:p>
    <w:p w:rsidR="001C5440" w:rsidRPr="00717C20" w:rsidRDefault="001C5440" w:rsidP="00E41716">
      <w:pPr>
        <w:ind w:left="720" w:right="720"/>
        <w:contextualSpacing/>
        <w:rPr>
          <w:rFonts w:ascii="Times New Roman" w:hAnsi="Times New Roman"/>
        </w:rPr>
      </w:pPr>
      <w:r w:rsidRPr="00717C20">
        <w:rPr>
          <w:rFonts w:ascii="Times New Roman" w:hAnsi="Times New Roman"/>
        </w:rPr>
        <w:t>For every man who has any post at court, in Paris, or in the country, there is a woman through whose hands pass all the favors and sometimes the injustices that he does. These women are all in touch with one another, and compose a sort of commonwealth whose members are always busy giving each other mutual help and support.</w:t>
      </w:r>
      <w:r>
        <w:rPr>
          <w:rFonts w:ascii="Times New Roman" w:hAnsi="Times New Roman"/>
        </w:rPr>
        <w:t xml:space="preserve">  </w:t>
      </w:r>
    </w:p>
    <w:p w:rsidR="001C5440" w:rsidRPr="00717C20" w:rsidRDefault="001C5440" w:rsidP="00E41716">
      <w:pPr>
        <w:ind w:left="720" w:right="720"/>
        <w:contextualSpacing/>
        <w:rPr>
          <w:rFonts w:ascii="Times New Roman" w:hAnsi="Times New Roman"/>
        </w:rPr>
      </w:pPr>
    </w:p>
    <w:p w:rsidR="001C5440" w:rsidRPr="00717C20" w:rsidRDefault="001C5440" w:rsidP="00E41716">
      <w:pPr>
        <w:spacing w:line="480" w:lineRule="auto"/>
        <w:contextualSpacing/>
        <w:rPr>
          <w:rFonts w:ascii="Times New Roman" w:hAnsi="Times New Roman"/>
        </w:rPr>
      </w:pPr>
      <w:r w:rsidRPr="00717C20">
        <w:rPr>
          <w:rFonts w:ascii="Times New Roman" w:hAnsi="Times New Roman"/>
        </w:rPr>
        <w:t>Not content with this biting criticism, Monte</w:t>
      </w:r>
      <w:r w:rsidR="00AD0377">
        <w:rPr>
          <w:rFonts w:ascii="Times New Roman" w:hAnsi="Times New Roman"/>
        </w:rPr>
        <w:t>s</w:t>
      </w:r>
      <w:r w:rsidRPr="00717C20">
        <w:rPr>
          <w:rFonts w:ascii="Times New Roman" w:hAnsi="Times New Roman"/>
        </w:rPr>
        <w:t>qu</w:t>
      </w:r>
      <w:r>
        <w:rPr>
          <w:rFonts w:ascii="Times New Roman" w:hAnsi="Times New Roman"/>
        </w:rPr>
        <w:t>ieu’s character further declared</w:t>
      </w:r>
      <w:r w:rsidRPr="00717C20">
        <w:rPr>
          <w:rFonts w:ascii="Times New Roman" w:hAnsi="Times New Roman"/>
        </w:rPr>
        <w:t xml:space="preserve"> that “a man who watches the actions of ministers, officials, or prelates at court, in Paris, or in the country, without knowing the women who rule them, is like a man who can see a machine in action but does not know what makes it work.”</w:t>
      </w:r>
      <w:r w:rsidRPr="00717C20">
        <w:rPr>
          <w:rStyle w:val="FootnoteReference"/>
          <w:rFonts w:ascii="Times New Roman" w:hAnsi="Times New Roman"/>
        </w:rPr>
        <w:footnoteReference w:id="40"/>
      </w:r>
      <w:r w:rsidRPr="00717C20">
        <w:rPr>
          <w:rFonts w:ascii="Times New Roman" w:hAnsi="Times New Roman"/>
        </w:rPr>
        <w:t xml:space="preserve"> </w:t>
      </w:r>
      <w:r>
        <w:rPr>
          <w:rFonts w:ascii="Times New Roman" w:hAnsi="Times New Roman"/>
        </w:rPr>
        <w:t>Presented</w:t>
      </w:r>
      <w:r w:rsidRPr="00717C20">
        <w:rPr>
          <w:rFonts w:ascii="Times New Roman" w:hAnsi="Times New Roman"/>
        </w:rPr>
        <w:t xml:space="preserve"> as a humorous, but truthful, evaluation of the state of Frenc</w:t>
      </w:r>
      <w:r>
        <w:rPr>
          <w:rFonts w:ascii="Times New Roman" w:hAnsi="Times New Roman"/>
        </w:rPr>
        <w:t xml:space="preserve">h politics, </w:t>
      </w:r>
      <w:r>
        <w:rPr>
          <w:rFonts w:ascii="Times New Roman" w:hAnsi="Times New Roman"/>
          <w:i/>
        </w:rPr>
        <w:t>Persian Letters</w:t>
      </w:r>
      <w:r>
        <w:rPr>
          <w:rFonts w:ascii="Times New Roman" w:hAnsi="Times New Roman"/>
        </w:rPr>
        <w:t xml:space="preserve"> instead satirized the </w:t>
      </w:r>
      <w:r w:rsidRPr="00717C20">
        <w:rPr>
          <w:rFonts w:ascii="Times New Roman" w:hAnsi="Times New Roman"/>
        </w:rPr>
        <w:t xml:space="preserve">deep-seated fears </w:t>
      </w:r>
      <w:r>
        <w:rPr>
          <w:rFonts w:ascii="Times New Roman" w:hAnsi="Times New Roman"/>
        </w:rPr>
        <w:t>that defined popular discourse during the period.</w:t>
      </w:r>
    </w:p>
    <w:p w:rsidR="001C5440" w:rsidRPr="00717C20" w:rsidRDefault="001C5440" w:rsidP="00E41716">
      <w:pPr>
        <w:spacing w:line="480" w:lineRule="auto"/>
        <w:contextualSpacing/>
        <w:rPr>
          <w:rFonts w:ascii="Times New Roman" w:hAnsi="Times New Roman"/>
        </w:rPr>
      </w:pPr>
      <w:r w:rsidRPr="00717C20">
        <w:rPr>
          <w:rFonts w:ascii="Times New Roman" w:hAnsi="Times New Roman"/>
        </w:rPr>
        <w:tab/>
        <w:t>Women exercised</w:t>
      </w:r>
      <w:r>
        <w:rPr>
          <w:rFonts w:ascii="Times New Roman" w:hAnsi="Times New Roman"/>
        </w:rPr>
        <w:t xml:space="preserve"> their</w:t>
      </w:r>
      <w:r w:rsidRPr="00717C20">
        <w:rPr>
          <w:rFonts w:ascii="Times New Roman" w:hAnsi="Times New Roman"/>
        </w:rPr>
        <w:t xml:space="preserve"> influence, critics asserted, not only in salons, but also in the bedroom. “Boudoir politics, the exchange of political gifts for sexual favours, were seen both as a cause of the weakness of the old regime, and as a justification for the Revolution itself.”</w:t>
      </w:r>
      <w:r w:rsidRPr="00717C20">
        <w:rPr>
          <w:rStyle w:val="FootnoteReference"/>
          <w:rFonts w:ascii="Times New Roman" w:hAnsi="Times New Roman"/>
        </w:rPr>
        <w:footnoteReference w:id="41"/>
      </w:r>
      <w:r w:rsidRPr="00717C20">
        <w:rPr>
          <w:rFonts w:ascii="Times New Roman" w:hAnsi="Times New Roman"/>
        </w:rPr>
        <w:t xml:space="preserve"> No woman, in the eye</w:t>
      </w:r>
      <w:r>
        <w:rPr>
          <w:rFonts w:ascii="Times New Roman" w:hAnsi="Times New Roman"/>
        </w:rPr>
        <w:t xml:space="preserve">s of the French public, more </w:t>
      </w:r>
      <w:r w:rsidRPr="00717C20">
        <w:rPr>
          <w:rFonts w:ascii="Times New Roman" w:hAnsi="Times New Roman"/>
        </w:rPr>
        <w:t xml:space="preserve">embodied this claim than Marie Antoinette. The accusations of incest, adultery, and other sexual perversions brought </w:t>
      </w:r>
      <w:r w:rsidRPr="00717C20">
        <w:rPr>
          <w:rFonts w:ascii="Times New Roman" w:hAnsi="Times New Roman"/>
        </w:rPr>
        <w:lastRenderedPageBreak/>
        <w:t>against the queen were directly linked to her alleged politic crimes. Public opinion, and eventually the Revo</w:t>
      </w:r>
      <w:r>
        <w:rPr>
          <w:rFonts w:ascii="Times New Roman" w:hAnsi="Times New Roman"/>
        </w:rPr>
        <w:t>lutionary Tribunal accused her of</w:t>
      </w:r>
      <w:r w:rsidRPr="00717C20">
        <w:rPr>
          <w:rFonts w:ascii="Times New Roman" w:hAnsi="Times New Roman"/>
        </w:rPr>
        <w:t xml:space="preserve"> corrupting her son, the Dauphin, </w:t>
      </w:r>
      <w:r>
        <w:rPr>
          <w:rFonts w:ascii="Times New Roman" w:hAnsi="Times New Roman"/>
        </w:rPr>
        <w:t>as well as</w:t>
      </w:r>
      <w:r w:rsidRPr="00717C20">
        <w:rPr>
          <w:rFonts w:ascii="Times New Roman" w:hAnsi="Times New Roman"/>
        </w:rPr>
        <w:t xml:space="preserve"> the greater body politic.</w:t>
      </w:r>
      <w:r w:rsidRPr="00717C20">
        <w:rPr>
          <w:rStyle w:val="FootnoteReference"/>
          <w:rFonts w:ascii="Times New Roman" w:hAnsi="Times New Roman"/>
        </w:rPr>
        <w:footnoteReference w:id="42"/>
      </w:r>
      <w:r>
        <w:rPr>
          <w:rFonts w:ascii="Times New Roman" w:hAnsi="Times New Roman"/>
        </w:rPr>
        <w:t xml:space="preserve"> </w:t>
      </w:r>
      <w:r w:rsidRPr="00717C20">
        <w:rPr>
          <w:rFonts w:ascii="Times New Roman" w:hAnsi="Times New Roman"/>
        </w:rPr>
        <w:t>The Revolution needed to distance itself from the corrupt practices of the Old Regime, and in this way, Marie Antoinette served as the sacrificial figurehead for influential women before the Revolution.</w:t>
      </w:r>
    </w:p>
    <w:p w:rsidR="001C5440" w:rsidRPr="00717C20" w:rsidRDefault="001C5440" w:rsidP="00E41716">
      <w:pPr>
        <w:spacing w:line="480" w:lineRule="auto"/>
        <w:contextualSpacing/>
        <w:rPr>
          <w:rFonts w:ascii="Times New Roman" w:hAnsi="Times New Roman"/>
        </w:rPr>
      </w:pPr>
      <w:r w:rsidRPr="00717C20">
        <w:rPr>
          <w:rFonts w:ascii="Times New Roman" w:hAnsi="Times New Roman"/>
        </w:rPr>
        <w:tab/>
        <w:t>The governing class of the revolution, in an attempt to diffe</w:t>
      </w:r>
      <w:r>
        <w:rPr>
          <w:rFonts w:ascii="Times New Roman" w:hAnsi="Times New Roman"/>
        </w:rPr>
        <w:t>rentiate itself from the perceived vices of the</w:t>
      </w:r>
      <w:r w:rsidRPr="00717C20">
        <w:rPr>
          <w:rFonts w:ascii="Times New Roman" w:hAnsi="Times New Roman"/>
        </w:rPr>
        <w:t xml:space="preserve"> Ancien Regime, restricted women’s direct and indirect access to power.</w:t>
      </w:r>
      <w:r w:rsidRPr="00717C20">
        <w:rPr>
          <w:rStyle w:val="FootnoteReference"/>
          <w:rFonts w:ascii="Times New Roman" w:hAnsi="Times New Roman"/>
        </w:rPr>
        <w:footnoteReference w:id="43"/>
      </w:r>
      <w:r>
        <w:rPr>
          <w:rFonts w:ascii="Times New Roman" w:hAnsi="Times New Roman"/>
        </w:rPr>
        <w:t xml:space="preserve"> The R</w:t>
      </w:r>
      <w:r w:rsidRPr="00717C20">
        <w:rPr>
          <w:rFonts w:ascii="Times New Roman" w:hAnsi="Times New Roman"/>
        </w:rPr>
        <w:t xml:space="preserve">evolution, and especially the Tribunal, wanted to radically separate themselves from a pre-revolutionary past. By strongly condemning the role of women in politics—a defining feature of the </w:t>
      </w:r>
      <w:r>
        <w:rPr>
          <w:rFonts w:ascii="Times New Roman" w:hAnsi="Times New Roman"/>
        </w:rPr>
        <w:t>unscrupulous</w:t>
      </w:r>
      <w:r w:rsidRPr="00717C20">
        <w:rPr>
          <w:rFonts w:ascii="Times New Roman" w:hAnsi="Times New Roman"/>
        </w:rPr>
        <w:t xml:space="preserve"> Ancien Regime in the eyes</w:t>
      </w:r>
      <w:r>
        <w:rPr>
          <w:rFonts w:ascii="Times New Roman" w:hAnsi="Times New Roman"/>
        </w:rPr>
        <w:t xml:space="preserve"> of revolutionaries—the R</w:t>
      </w:r>
      <w:r w:rsidRPr="00717C20">
        <w:rPr>
          <w:rFonts w:ascii="Times New Roman" w:hAnsi="Times New Roman"/>
        </w:rPr>
        <w:t>evolution would be strengthened through its greater difference fro</w:t>
      </w:r>
      <w:r>
        <w:rPr>
          <w:rFonts w:ascii="Times New Roman" w:hAnsi="Times New Roman"/>
        </w:rPr>
        <w:t>m the Old Regime. The Tribunal based its</w:t>
      </w:r>
      <w:r w:rsidRPr="00717C20">
        <w:rPr>
          <w:rFonts w:ascii="Times New Roman" w:hAnsi="Times New Roman"/>
        </w:rPr>
        <w:t xml:space="preserve"> fear of women’s </w:t>
      </w:r>
      <w:r>
        <w:rPr>
          <w:rFonts w:ascii="Times New Roman" w:hAnsi="Times New Roman"/>
        </w:rPr>
        <w:t xml:space="preserve">influence, therefore, </w:t>
      </w:r>
      <w:r w:rsidRPr="00717C20">
        <w:rPr>
          <w:rFonts w:ascii="Times New Roman" w:hAnsi="Times New Roman"/>
        </w:rPr>
        <w:t xml:space="preserve">not only upon a concern of women’s role in politics, but also upon a conscious desire to separate </w:t>
      </w:r>
      <w:r>
        <w:rPr>
          <w:rFonts w:ascii="Times New Roman" w:hAnsi="Times New Roman"/>
        </w:rPr>
        <w:t xml:space="preserve">France </w:t>
      </w:r>
      <w:r w:rsidRPr="00717C20">
        <w:rPr>
          <w:rFonts w:ascii="Times New Roman" w:hAnsi="Times New Roman"/>
        </w:rPr>
        <w:t>from past practices.</w:t>
      </w:r>
      <w:r>
        <w:rPr>
          <w:rFonts w:ascii="Times New Roman" w:hAnsi="Times New Roman"/>
        </w:rPr>
        <w:t xml:space="preserve"> </w:t>
      </w:r>
    </w:p>
    <w:p w:rsidR="003C5BB0" w:rsidRDefault="001C5440" w:rsidP="00E41716">
      <w:pPr>
        <w:spacing w:line="480" w:lineRule="auto"/>
        <w:contextualSpacing/>
        <w:rPr>
          <w:rFonts w:ascii="Times New Roman" w:hAnsi="Times New Roman"/>
        </w:rPr>
      </w:pPr>
      <w:r w:rsidRPr="00717C20">
        <w:rPr>
          <w:rFonts w:ascii="Times New Roman" w:hAnsi="Times New Roman"/>
        </w:rPr>
        <w:tab/>
        <w:t xml:space="preserve">These concerns manifested themselves through systematic preferences and discriminations present within the Revolutionary Tribunal’s convictions and acquittals of female defendants. </w:t>
      </w:r>
      <w:r>
        <w:rPr>
          <w:rFonts w:ascii="Times New Roman" w:hAnsi="Times New Roman"/>
        </w:rPr>
        <w:t>The Tribunal believed that w</w:t>
      </w:r>
      <w:r w:rsidRPr="00717C20">
        <w:rPr>
          <w:rFonts w:ascii="Times New Roman" w:hAnsi="Times New Roman"/>
        </w:rPr>
        <w:t xml:space="preserve">ritten acts, as opposed to speech acts, </w:t>
      </w:r>
      <w:r>
        <w:rPr>
          <w:rFonts w:ascii="Times New Roman" w:hAnsi="Times New Roman"/>
        </w:rPr>
        <w:t>contained particularly potent forms of female counterrevolution. T</w:t>
      </w:r>
      <w:r w:rsidRPr="00717C20">
        <w:rPr>
          <w:rFonts w:ascii="Times New Roman" w:hAnsi="Times New Roman"/>
        </w:rPr>
        <w:t xml:space="preserve">he Tribunal also faulted women for the </w:t>
      </w:r>
      <w:r>
        <w:rPr>
          <w:rFonts w:ascii="Times New Roman" w:hAnsi="Times New Roman"/>
        </w:rPr>
        <w:t>improper use of their influence; the court held women accountable</w:t>
      </w:r>
      <w:r w:rsidRPr="00717C20">
        <w:rPr>
          <w:rFonts w:ascii="Times New Roman" w:hAnsi="Times New Roman"/>
        </w:rPr>
        <w:t xml:space="preserve"> for the counterrevolutionary actions of their family. In the eyes of the Tribunal, mothers and wives </w:t>
      </w:r>
      <w:r>
        <w:rPr>
          <w:rFonts w:ascii="Times New Roman" w:hAnsi="Times New Roman"/>
        </w:rPr>
        <w:lastRenderedPageBreak/>
        <w:t>participated</w:t>
      </w:r>
      <w:r w:rsidRPr="00717C20">
        <w:rPr>
          <w:rFonts w:ascii="Times New Roman" w:hAnsi="Times New Roman"/>
        </w:rPr>
        <w:t xml:space="preserve"> complicit</w:t>
      </w:r>
      <w:r>
        <w:rPr>
          <w:rFonts w:ascii="Times New Roman" w:hAnsi="Times New Roman"/>
        </w:rPr>
        <w:t>y</w:t>
      </w:r>
      <w:r w:rsidRPr="00717C20">
        <w:rPr>
          <w:rFonts w:ascii="Times New Roman" w:hAnsi="Times New Roman"/>
        </w:rPr>
        <w:t xml:space="preserve"> in the illegal acts of their sons and husbands </w:t>
      </w:r>
      <w:r>
        <w:rPr>
          <w:rFonts w:ascii="Times New Roman" w:hAnsi="Times New Roman"/>
        </w:rPr>
        <w:t xml:space="preserve">because they failed </w:t>
      </w:r>
      <w:r w:rsidRPr="00717C20">
        <w:rPr>
          <w:rFonts w:ascii="Times New Roman" w:hAnsi="Times New Roman"/>
        </w:rPr>
        <w:t>to discourage such acts. Conversely, the Tribunal treated women accused of religious crimes with leniency (especially compared to refractory priests) due to the limited influence afforded most nuns</w:t>
      </w:r>
      <w:r>
        <w:rPr>
          <w:rFonts w:ascii="Times New Roman" w:hAnsi="Times New Roman"/>
        </w:rPr>
        <w:t xml:space="preserve"> </w:t>
      </w:r>
      <w:r w:rsidRPr="00717C20">
        <w:rPr>
          <w:rFonts w:ascii="Times New Roman" w:hAnsi="Times New Roman"/>
        </w:rPr>
        <w:t xml:space="preserve">and the tangible good that many performed within their communities. These examples highlight some of the most egregious applications of revolutionary justice clouded by </w:t>
      </w:r>
      <w:r>
        <w:rPr>
          <w:rFonts w:ascii="Times New Roman" w:hAnsi="Times New Roman"/>
        </w:rPr>
        <w:t>the Tribunal’s ideological fears centered on</w:t>
      </w:r>
      <w:r w:rsidRPr="00717C20">
        <w:rPr>
          <w:rFonts w:ascii="Times New Roman" w:hAnsi="Times New Roman"/>
        </w:rPr>
        <w:t xml:space="preserve"> women’s proper place in society. </w:t>
      </w:r>
    </w:p>
    <w:p w:rsidR="001C5440" w:rsidRPr="00717C20" w:rsidRDefault="001C5440" w:rsidP="00E41716">
      <w:pPr>
        <w:spacing w:line="480" w:lineRule="auto"/>
        <w:contextualSpacing/>
        <w:rPr>
          <w:rFonts w:ascii="Times New Roman" w:hAnsi="Times New Roman"/>
        </w:rPr>
      </w:pPr>
    </w:p>
    <w:p w:rsidR="001C5440" w:rsidRPr="003C5BB0" w:rsidRDefault="003C5BB0" w:rsidP="00E41716">
      <w:pPr>
        <w:spacing w:line="480" w:lineRule="auto"/>
        <w:contextualSpacing/>
        <w:rPr>
          <w:rFonts w:ascii="Times New Roman" w:hAnsi="Times New Roman"/>
          <w:smallCaps/>
        </w:rPr>
      </w:pPr>
      <w:r w:rsidRPr="003C5BB0">
        <w:rPr>
          <w:rFonts w:ascii="Times New Roman" w:hAnsi="Times New Roman"/>
          <w:smallCaps/>
        </w:rPr>
        <w:t>Written Acts Versus Speech Acts</w:t>
      </w:r>
    </w:p>
    <w:p w:rsidR="001C5440" w:rsidRPr="00717C20" w:rsidRDefault="001C5440" w:rsidP="00E41716">
      <w:pPr>
        <w:spacing w:line="480" w:lineRule="auto"/>
        <w:ind w:firstLine="720"/>
        <w:contextualSpacing/>
        <w:rPr>
          <w:rFonts w:ascii="Times New Roman" w:hAnsi="Times New Roman"/>
        </w:rPr>
      </w:pPr>
      <w:r>
        <w:rPr>
          <w:rFonts w:ascii="Times New Roman" w:hAnsi="Times New Roman"/>
        </w:rPr>
        <w:t xml:space="preserve">The Tribunal often found women guilty for written acts such as </w:t>
      </w:r>
      <w:r w:rsidRPr="00717C20">
        <w:rPr>
          <w:rFonts w:ascii="Times New Roman" w:hAnsi="Times New Roman"/>
        </w:rPr>
        <w:t>lette</w:t>
      </w:r>
      <w:r w:rsidR="007E0037">
        <w:rPr>
          <w:rFonts w:ascii="Times New Roman" w:hAnsi="Times New Roman"/>
        </w:rPr>
        <w:t>rs to é</w:t>
      </w:r>
      <w:r>
        <w:rPr>
          <w:rFonts w:ascii="Times New Roman" w:hAnsi="Times New Roman"/>
        </w:rPr>
        <w:t>migré family and counterrevolutionary pamphlets. Conversely, the Tribunal seldom convicted women for speech</w:t>
      </w:r>
      <w:r w:rsidRPr="00717C20">
        <w:rPr>
          <w:rFonts w:ascii="Times New Roman" w:hAnsi="Times New Roman"/>
        </w:rPr>
        <w:t xml:space="preserve"> acts. Only women of relative wealth and/or</w:t>
      </w:r>
      <w:r>
        <w:rPr>
          <w:rFonts w:ascii="Times New Roman" w:hAnsi="Times New Roman"/>
        </w:rPr>
        <w:t xml:space="preserve"> literacy had access to the kind</w:t>
      </w:r>
      <w:r w:rsidRPr="00717C20">
        <w:rPr>
          <w:rFonts w:ascii="Times New Roman" w:hAnsi="Times New Roman"/>
        </w:rPr>
        <w:t>s of influence most feared during the late Ancien Regime, including written ac</w:t>
      </w:r>
      <w:r>
        <w:rPr>
          <w:rFonts w:ascii="Times New Roman" w:hAnsi="Times New Roman"/>
        </w:rPr>
        <w:t>ts.</w:t>
      </w:r>
      <w:r w:rsidRPr="005C4438">
        <w:rPr>
          <w:rStyle w:val="FootnoteReference"/>
          <w:rFonts w:ascii="Times New Roman" w:hAnsi="Times New Roman"/>
        </w:rPr>
        <w:t xml:space="preserve"> </w:t>
      </w:r>
      <w:r w:rsidRPr="00717C20">
        <w:rPr>
          <w:rStyle w:val="FootnoteReference"/>
          <w:rFonts w:ascii="Times New Roman" w:hAnsi="Times New Roman"/>
        </w:rPr>
        <w:footnoteReference w:id="44"/>
      </w:r>
      <w:r>
        <w:rPr>
          <w:rFonts w:ascii="Times New Roman" w:hAnsi="Times New Roman"/>
        </w:rPr>
        <w:t xml:space="preserve"> The vast majority of women </w:t>
      </w:r>
      <w:r w:rsidRPr="00717C20">
        <w:rPr>
          <w:rFonts w:ascii="Times New Roman" w:hAnsi="Times New Roman"/>
        </w:rPr>
        <w:t>possessed neither the literary skill nor the necessa</w:t>
      </w:r>
      <w:r>
        <w:rPr>
          <w:rFonts w:ascii="Times New Roman" w:hAnsi="Times New Roman"/>
        </w:rPr>
        <w:t>ry connections to exert the forms</w:t>
      </w:r>
      <w:r w:rsidRPr="00717C20">
        <w:rPr>
          <w:rFonts w:ascii="Times New Roman" w:hAnsi="Times New Roman"/>
        </w:rPr>
        <w:t xml:space="preserve"> of influence denounced by the </w:t>
      </w:r>
      <w:r>
        <w:rPr>
          <w:rFonts w:ascii="Times New Roman" w:hAnsi="Times New Roman"/>
        </w:rPr>
        <w:t>Tribunal</w:t>
      </w:r>
      <w:r w:rsidRPr="00717C20">
        <w:rPr>
          <w:rFonts w:ascii="Times New Roman" w:hAnsi="Times New Roman"/>
        </w:rPr>
        <w:t xml:space="preserve">. </w:t>
      </w:r>
      <w:r>
        <w:rPr>
          <w:rFonts w:ascii="Times New Roman" w:hAnsi="Times New Roman"/>
        </w:rPr>
        <w:t>B</w:t>
      </w:r>
      <w:r w:rsidRPr="00717C20">
        <w:rPr>
          <w:rFonts w:ascii="Times New Roman" w:hAnsi="Times New Roman"/>
        </w:rPr>
        <w:t>ourgeois and aristocratic women</w:t>
      </w:r>
      <w:r>
        <w:rPr>
          <w:rFonts w:ascii="Times New Roman" w:hAnsi="Times New Roman"/>
        </w:rPr>
        <w:t>, however, could</w:t>
      </w:r>
      <w:r w:rsidRPr="00717C20">
        <w:rPr>
          <w:rFonts w:ascii="Times New Roman" w:hAnsi="Times New Roman"/>
        </w:rPr>
        <w:t xml:space="preserve"> express</w:t>
      </w:r>
      <w:r>
        <w:rPr>
          <w:rFonts w:ascii="Times New Roman" w:hAnsi="Times New Roman"/>
        </w:rPr>
        <w:t xml:space="preserve"> their ideas through their own pen and through the publications</w:t>
      </w:r>
      <w:r w:rsidRPr="00717C20">
        <w:rPr>
          <w:rFonts w:ascii="Times New Roman" w:hAnsi="Times New Roman"/>
        </w:rPr>
        <w:t xml:space="preserve"> of </w:t>
      </w:r>
      <w:r>
        <w:rPr>
          <w:rFonts w:ascii="Times New Roman" w:hAnsi="Times New Roman"/>
        </w:rPr>
        <w:t>men who frequented their salons. Economic and social considerations largely limited o</w:t>
      </w:r>
      <w:r w:rsidRPr="00717C20">
        <w:rPr>
          <w:rFonts w:ascii="Times New Roman" w:hAnsi="Times New Roman"/>
        </w:rPr>
        <w:t xml:space="preserve">ther women to </w:t>
      </w:r>
      <w:r>
        <w:rPr>
          <w:rFonts w:ascii="Times New Roman" w:hAnsi="Times New Roman"/>
        </w:rPr>
        <w:t>oral expression</w:t>
      </w:r>
      <w:r w:rsidRPr="00717C20">
        <w:rPr>
          <w:rFonts w:ascii="Times New Roman" w:hAnsi="Times New Roman"/>
        </w:rPr>
        <w:t>.</w:t>
      </w:r>
      <w:r>
        <w:rPr>
          <w:rFonts w:ascii="Times New Roman" w:hAnsi="Times New Roman"/>
        </w:rPr>
        <w:t xml:space="preserve"> Social class, thus, profoundly shaped the likely form of counterrevolutionary expression for each defendant. The Tribunal associated oral and written crimes with distinct social and political groups. These unspoken assumptions led the Tribunal to treat speech acts more leniently than written acts. </w:t>
      </w:r>
      <w:r w:rsidRPr="00717C20">
        <w:rPr>
          <w:rFonts w:ascii="Times New Roman" w:hAnsi="Times New Roman"/>
        </w:rPr>
        <w:t xml:space="preserve">A closer look at several representative cases will further elucidate the Tribunal’s differing responses to counterrevolutionary written and speech acts. </w:t>
      </w:r>
    </w:p>
    <w:p w:rsidR="001C5440" w:rsidRPr="00717C20" w:rsidRDefault="001C5440" w:rsidP="00E41716">
      <w:pPr>
        <w:spacing w:line="480" w:lineRule="auto"/>
        <w:ind w:firstLine="720"/>
        <w:contextualSpacing/>
        <w:rPr>
          <w:rFonts w:ascii="Times New Roman" w:hAnsi="Times New Roman"/>
        </w:rPr>
      </w:pPr>
      <w:r>
        <w:rPr>
          <w:rFonts w:ascii="Times New Roman" w:hAnsi="Times New Roman"/>
        </w:rPr>
        <w:lastRenderedPageBreak/>
        <w:t>The Tribunal felt especially threatened by w</w:t>
      </w:r>
      <w:r w:rsidR="007E0037">
        <w:rPr>
          <w:rFonts w:ascii="Times New Roman" w:hAnsi="Times New Roman"/>
        </w:rPr>
        <w:t>omen who corresponded with é</w:t>
      </w:r>
      <w:r w:rsidRPr="00717C20">
        <w:rPr>
          <w:rFonts w:ascii="Times New Roman" w:hAnsi="Times New Roman"/>
        </w:rPr>
        <w:t>migrés</w:t>
      </w:r>
      <w:r>
        <w:rPr>
          <w:rFonts w:ascii="Times New Roman" w:hAnsi="Times New Roman"/>
        </w:rPr>
        <w:t>. Literate, well off</w:t>
      </w:r>
      <w:r w:rsidRPr="00717C20">
        <w:rPr>
          <w:rFonts w:ascii="Times New Roman" w:hAnsi="Times New Roman"/>
        </w:rPr>
        <w:t>, and often</w:t>
      </w:r>
      <w:r>
        <w:rPr>
          <w:rFonts w:ascii="Times New Roman" w:hAnsi="Times New Roman"/>
        </w:rPr>
        <w:t xml:space="preserve"> politically aware, women indicted for</w:t>
      </w:r>
      <w:r w:rsidRPr="00717C20">
        <w:rPr>
          <w:rFonts w:ascii="Times New Roman" w:hAnsi="Times New Roman"/>
        </w:rPr>
        <w:t xml:space="preserve"> this crime held many o</w:t>
      </w:r>
      <w:r>
        <w:rPr>
          <w:rFonts w:ascii="Times New Roman" w:hAnsi="Times New Roman"/>
        </w:rPr>
        <w:t>f the characteristics that the R</w:t>
      </w:r>
      <w:r w:rsidRPr="00717C20">
        <w:rPr>
          <w:rFonts w:ascii="Times New Roman" w:hAnsi="Times New Roman"/>
        </w:rPr>
        <w:t xml:space="preserve">evolution denounced in women of the Ancien Regime. </w:t>
      </w:r>
      <w:r>
        <w:rPr>
          <w:rFonts w:ascii="Times New Roman" w:hAnsi="Times New Roman"/>
        </w:rPr>
        <w:t>Although</w:t>
      </w:r>
      <w:r w:rsidRPr="00717C20">
        <w:rPr>
          <w:rFonts w:ascii="Times New Roman" w:hAnsi="Times New Roman"/>
        </w:rPr>
        <w:t xml:space="preserve"> these correspondences rarely rev</w:t>
      </w:r>
      <w:r w:rsidR="007E0037">
        <w:rPr>
          <w:rFonts w:ascii="Times New Roman" w:hAnsi="Times New Roman"/>
        </w:rPr>
        <w:t>olved around politics or aided é</w:t>
      </w:r>
      <w:r w:rsidRPr="00717C20">
        <w:rPr>
          <w:rFonts w:ascii="Times New Roman" w:hAnsi="Times New Roman"/>
        </w:rPr>
        <w:t>migrés in transferring their wealth out of France (a crime under the revolutionary government)</w:t>
      </w:r>
      <w:r>
        <w:rPr>
          <w:rFonts w:ascii="Times New Roman" w:hAnsi="Times New Roman"/>
        </w:rPr>
        <w:t>, the Tribunal nonetheless convicted the defendant of counterrevolutionary activity.</w:t>
      </w:r>
      <w:r w:rsidRPr="005C4438">
        <w:rPr>
          <w:rFonts w:ascii="Times New Roman" w:hAnsi="Times New Roman"/>
        </w:rPr>
        <w:t xml:space="preserve"> </w:t>
      </w:r>
      <w:r>
        <w:rPr>
          <w:rFonts w:ascii="Times New Roman" w:hAnsi="Times New Roman"/>
        </w:rPr>
        <w:t xml:space="preserve">The Tribunal thus politicized personal correspondences and imagined counterrevolutionary content in the letters of socially suspect women. The court viewed the existence of a correspondence—not counterrevolutionary content—as sufficiently threatening </w:t>
      </w:r>
      <w:r w:rsidRPr="00717C20">
        <w:rPr>
          <w:rFonts w:ascii="Times New Roman" w:hAnsi="Times New Roman"/>
        </w:rPr>
        <w:t>and worthy of death.</w:t>
      </w:r>
      <w:r>
        <w:rPr>
          <w:rFonts w:ascii="Times New Roman" w:hAnsi="Times New Roman"/>
        </w:rPr>
        <w:t xml:space="preserve"> </w:t>
      </w:r>
    </w:p>
    <w:p w:rsidR="001C5440" w:rsidRPr="00717C20" w:rsidRDefault="001C5440" w:rsidP="00E41716">
      <w:pPr>
        <w:spacing w:line="480" w:lineRule="auto"/>
        <w:ind w:firstLine="720"/>
        <w:contextualSpacing/>
        <w:rPr>
          <w:rFonts w:ascii="Times New Roman" w:hAnsi="Times New Roman" w:cs="Bookman Old Style"/>
          <w:color w:val="000000"/>
          <w:szCs w:val="20"/>
        </w:rPr>
      </w:pPr>
      <w:r>
        <w:rPr>
          <w:rFonts w:ascii="Times New Roman" w:hAnsi="Times New Roman" w:cs="Bookman Old Style"/>
          <w:color w:val="000000"/>
          <w:szCs w:val="20"/>
        </w:rPr>
        <w:t xml:space="preserve">The Tribunal accused </w:t>
      </w:r>
      <w:r w:rsidRPr="00717C20">
        <w:rPr>
          <w:rFonts w:ascii="Times New Roman" w:hAnsi="Times New Roman" w:cs="Bookman Old Style"/>
          <w:color w:val="000000"/>
          <w:szCs w:val="20"/>
        </w:rPr>
        <w:t>Anne-Henriette Boucherin, Baroness of Vaxem,</w:t>
      </w:r>
      <w:r>
        <w:rPr>
          <w:rFonts w:ascii="Times New Roman" w:hAnsi="Times New Roman" w:cs="Bookman Old Style"/>
          <w:color w:val="000000"/>
          <w:szCs w:val="20"/>
        </w:rPr>
        <w:t xml:space="preserve"> of </w:t>
      </w:r>
      <w:r w:rsidRPr="00717C20">
        <w:rPr>
          <w:rFonts w:ascii="Times New Roman" w:hAnsi="Times New Roman" w:cs="Bookman Old Style"/>
          <w:color w:val="000000"/>
          <w:szCs w:val="20"/>
        </w:rPr>
        <w:t>a counterrevolut</w:t>
      </w:r>
      <w:r w:rsidR="007E0037">
        <w:rPr>
          <w:rFonts w:ascii="Times New Roman" w:hAnsi="Times New Roman" w:cs="Bookman Old Style"/>
          <w:color w:val="000000"/>
          <w:szCs w:val="20"/>
        </w:rPr>
        <w:t>ionary correspondence with her é</w:t>
      </w:r>
      <w:r w:rsidRPr="00717C20">
        <w:rPr>
          <w:rFonts w:ascii="Times New Roman" w:hAnsi="Times New Roman" w:cs="Bookman Old Style"/>
          <w:color w:val="000000"/>
          <w:szCs w:val="20"/>
        </w:rPr>
        <w:t xml:space="preserve">migré husband </w:t>
      </w:r>
      <w:r>
        <w:rPr>
          <w:rFonts w:ascii="Times New Roman" w:hAnsi="Times New Roman" w:cs="Bookman Old Style"/>
          <w:color w:val="000000"/>
          <w:szCs w:val="20"/>
        </w:rPr>
        <w:t>on 10 February 1794</w:t>
      </w:r>
      <w:r w:rsidRPr="00717C20">
        <w:rPr>
          <w:rFonts w:ascii="Times New Roman" w:hAnsi="Times New Roman" w:cs="Bookman Old Style"/>
          <w:color w:val="000000"/>
          <w:szCs w:val="20"/>
        </w:rPr>
        <w:t>.</w:t>
      </w:r>
      <w:r w:rsidRPr="00717C20">
        <w:rPr>
          <w:rStyle w:val="FootnoteReference"/>
          <w:rFonts w:ascii="Times New Roman" w:hAnsi="Times New Roman" w:cs="Bookman Old Style"/>
          <w:color w:val="000000"/>
          <w:szCs w:val="20"/>
        </w:rPr>
        <w:footnoteReference w:id="45"/>
      </w:r>
      <w:r w:rsidRPr="00717C20">
        <w:rPr>
          <w:rFonts w:ascii="Times New Roman" w:hAnsi="Times New Roman" w:cs="Bookman Old Style"/>
          <w:color w:val="000000"/>
          <w:szCs w:val="20"/>
        </w:rPr>
        <w:t xml:space="preserve"> According to her declaration, her husband left France</w:t>
      </w:r>
      <w:r>
        <w:rPr>
          <w:rFonts w:ascii="Times New Roman" w:hAnsi="Times New Roman" w:cs="Bookman Old Style"/>
          <w:color w:val="000000"/>
          <w:szCs w:val="20"/>
        </w:rPr>
        <w:t xml:space="preserve"> on</w:t>
      </w:r>
      <w:r w:rsidRPr="00717C20">
        <w:rPr>
          <w:rFonts w:ascii="Times New Roman" w:hAnsi="Times New Roman" w:cs="Bookman Old Style"/>
          <w:color w:val="000000"/>
          <w:szCs w:val="20"/>
        </w:rPr>
        <w:t xml:space="preserve"> 10 September 1791 for Germany and had not once returned. During the period of his absence</w:t>
      </w:r>
      <w:r>
        <w:rPr>
          <w:rFonts w:ascii="Times New Roman" w:hAnsi="Times New Roman" w:cs="Bookman Old Style"/>
          <w:color w:val="000000"/>
          <w:szCs w:val="20"/>
        </w:rPr>
        <w:t>, she admitted</w:t>
      </w:r>
      <w:r w:rsidRPr="00717C20">
        <w:rPr>
          <w:rFonts w:ascii="Times New Roman" w:hAnsi="Times New Roman" w:cs="Bookman Old Style"/>
          <w:color w:val="000000"/>
          <w:szCs w:val="20"/>
        </w:rPr>
        <w:t xml:space="preserve"> to having received seven letters from her husband, one of which she forwarded to his sister. </w:t>
      </w:r>
      <w:r>
        <w:rPr>
          <w:rFonts w:ascii="Times New Roman" w:hAnsi="Times New Roman" w:cs="Bookman Old Style"/>
          <w:color w:val="000000"/>
          <w:szCs w:val="20"/>
        </w:rPr>
        <w:t>T</w:t>
      </w:r>
      <w:r w:rsidRPr="00717C20">
        <w:rPr>
          <w:rFonts w:ascii="Times New Roman" w:hAnsi="Times New Roman" w:cs="Bookman Old Style"/>
          <w:color w:val="000000"/>
          <w:szCs w:val="20"/>
        </w:rPr>
        <w:t>he content of the letters</w:t>
      </w:r>
      <w:r>
        <w:rPr>
          <w:rFonts w:ascii="Times New Roman" w:hAnsi="Times New Roman" w:cs="Bookman Old Style"/>
          <w:color w:val="000000"/>
          <w:szCs w:val="20"/>
        </w:rPr>
        <w:t xml:space="preserve"> did not interest the Tribunal. Instead, the Tribunal fixated on the physical exchange of letters</w:t>
      </w:r>
      <w:r w:rsidRPr="00717C20">
        <w:rPr>
          <w:rFonts w:ascii="Times New Roman" w:hAnsi="Times New Roman" w:cs="Bookman Old Style"/>
          <w:color w:val="000000"/>
          <w:szCs w:val="20"/>
        </w:rPr>
        <w:t>. Femme Boucherin’s defense and justification, that she “thought [letter writing] could be done becau</w:t>
      </w:r>
      <w:r>
        <w:rPr>
          <w:rFonts w:ascii="Times New Roman" w:hAnsi="Times New Roman" w:cs="Bookman Old Style"/>
          <w:color w:val="000000"/>
          <w:szCs w:val="20"/>
        </w:rPr>
        <w:t>se of her role as a wife,” fell</w:t>
      </w:r>
      <w:r w:rsidRPr="00717C20">
        <w:rPr>
          <w:rFonts w:ascii="Times New Roman" w:hAnsi="Times New Roman" w:cs="Bookman Old Style"/>
          <w:color w:val="000000"/>
          <w:szCs w:val="20"/>
        </w:rPr>
        <w:t xml:space="preserve"> on deaf ears.</w:t>
      </w:r>
      <w:r w:rsidRPr="00717C20">
        <w:rPr>
          <w:rStyle w:val="FootnoteReference"/>
          <w:rFonts w:ascii="Times New Roman" w:hAnsi="Times New Roman" w:cs="Bookman Old Style"/>
          <w:color w:val="000000"/>
          <w:szCs w:val="20"/>
        </w:rPr>
        <w:footnoteReference w:id="46"/>
      </w:r>
      <w:r w:rsidRPr="00717C20">
        <w:rPr>
          <w:rFonts w:ascii="Times New Roman" w:hAnsi="Times New Roman" w:cs="Bookman Old Style"/>
          <w:color w:val="000000"/>
          <w:szCs w:val="20"/>
        </w:rPr>
        <w:t xml:space="preserve"> The verdict—“that it is true that there existed intelligences and correspondences with the external enemies of the Republic”—</w:t>
      </w:r>
      <w:r>
        <w:rPr>
          <w:rFonts w:ascii="Times New Roman" w:hAnsi="Times New Roman" w:cs="Bookman Old Style"/>
          <w:color w:val="000000"/>
          <w:szCs w:val="20"/>
        </w:rPr>
        <w:t>reflected the Tribunal’s disinterest</w:t>
      </w:r>
      <w:r w:rsidRPr="00717C20">
        <w:rPr>
          <w:rFonts w:ascii="Times New Roman" w:hAnsi="Times New Roman" w:cs="Bookman Old Style"/>
          <w:color w:val="000000"/>
          <w:szCs w:val="20"/>
        </w:rPr>
        <w:t xml:space="preserve"> with the content of the letters</w:t>
      </w:r>
      <w:r>
        <w:rPr>
          <w:rFonts w:ascii="Times New Roman" w:hAnsi="Times New Roman" w:cs="Bookman Old Style"/>
          <w:color w:val="000000"/>
          <w:szCs w:val="20"/>
        </w:rPr>
        <w:t>.</w:t>
      </w:r>
      <w:r w:rsidRPr="00717C20">
        <w:rPr>
          <w:rStyle w:val="FootnoteReference"/>
          <w:rFonts w:ascii="Times New Roman" w:hAnsi="Times New Roman" w:cs="Bookman Old Style"/>
          <w:color w:val="000000"/>
          <w:szCs w:val="20"/>
        </w:rPr>
        <w:footnoteReference w:id="47"/>
      </w:r>
      <w:r w:rsidRPr="00717C20">
        <w:rPr>
          <w:rFonts w:ascii="Times New Roman" w:hAnsi="Times New Roman" w:cs="Bookman Old Style"/>
          <w:color w:val="000000"/>
          <w:szCs w:val="20"/>
        </w:rPr>
        <w:t xml:space="preserve"> Although Femme Boucherin broke the letter of t</w:t>
      </w:r>
      <w:r>
        <w:rPr>
          <w:rFonts w:ascii="Times New Roman" w:hAnsi="Times New Roman" w:cs="Bookman Old Style"/>
          <w:color w:val="000000"/>
          <w:szCs w:val="20"/>
        </w:rPr>
        <w:t xml:space="preserve">he law with her correspondence, the criminalization of </w:t>
      </w:r>
      <w:r w:rsidRPr="00717C20">
        <w:rPr>
          <w:rFonts w:ascii="Times New Roman" w:hAnsi="Times New Roman" w:cs="Bookman Old Style"/>
          <w:color w:val="000000"/>
          <w:szCs w:val="20"/>
        </w:rPr>
        <w:t xml:space="preserve">sentimental letters exchanged between husband and </w:t>
      </w:r>
      <w:r w:rsidRPr="00717C20">
        <w:rPr>
          <w:rFonts w:ascii="Times New Roman" w:hAnsi="Times New Roman" w:cs="Bookman Old Style"/>
          <w:color w:val="000000"/>
          <w:szCs w:val="20"/>
        </w:rPr>
        <w:lastRenderedPageBreak/>
        <w:t>wife</w:t>
      </w:r>
      <w:r>
        <w:rPr>
          <w:rFonts w:ascii="Times New Roman" w:hAnsi="Times New Roman" w:cs="Bookman Old Style"/>
          <w:color w:val="000000"/>
          <w:szCs w:val="20"/>
        </w:rPr>
        <w:t xml:space="preserve"> was not a foregone conclusion</w:t>
      </w:r>
      <w:r w:rsidRPr="00717C20">
        <w:rPr>
          <w:rFonts w:ascii="Times New Roman" w:hAnsi="Times New Roman" w:cs="Bookman Old Style"/>
          <w:color w:val="000000"/>
          <w:szCs w:val="20"/>
        </w:rPr>
        <w:t xml:space="preserve">. </w:t>
      </w:r>
      <w:r>
        <w:rPr>
          <w:rFonts w:ascii="Times New Roman" w:hAnsi="Times New Roman" w:cs="Bookman Old Style"/>
          <w:color w:val="000000"/>
          <w:szCs w:val="20"/>
        </w:rPr>
        <w:t>The</w:t>
      </w:r>
      <w:r w:rsidRPr="00717C20">
        <w:rPr>
          <w:rFonts w:ascii="Times New Roman" w:hAnsi="Times New Roman" w:cs="Bookman Old Style"/>
          <w:color w:val="000000"/>
          <w:szCs w:val="20"/>
        </w:rPr>
        <w:t xml:space="preserve"> discourse of</w:t>
      </w:r>
      <w:r>
        <w:rPr>
          <w:rFonts w:ascii="Times New Roman" w:hAnsi="Times New Roman" w:cs="Bookman Old Style"/>
          <w:color w:val="000000"/>
          <w:szCs w:val="20"/>
        </w:rPr>
        <w:t xml:space="preserve"> women’s influence and intrigue helps explain the Tribunal</w:t>
      </w:r>
      <w:r w:rsidRPr="00717C20">
        <w:rPr>
          <w:rFonts w:ascii="Times New Roman" w:hAnsi="Times New Roman" w:cs="Bookman Old Style"/>
          <w:color w:val="000000"/>
          <w:szCs w:val="20"/>
        </w:rPr>
        <w:t xml:space="preserve">’s decision. </w:t>
      </w:r>
    </w:p>
    <w:p w:rsidR="001C5440" w:rsidRPr="00717C20" w:rsidRDefault="001C5440" w:rsidP="00E41716">
      <w:pPr>
        <w:spacing w:line="480" w:lineRule="auto"/>
        <w:ind w:firstLine="720"/>
        <w:contextualSpacing/>
        <w:rPr>
          <w:rFonts w:ascii="Times New Roman" w:hAnsi="Times New Roman" w:cs="Bookman Old Style"/>
          <w:szCs w:val="20"/>
        </w:rPr>
      </w:pPr>
      <w:r w:rsidRPr="00717C20">
        <w:rPr>
          <w:rFonts w:ascii="Times New Roman" w:hAnsi="Times New Roman" w:cs="Bookman Old Style"/>
          <w:color w:val="000000"/>
          <w:szCs w:val="20"/>
        </w:rPr>
        <w:t xml:space="preserve">The trial and execution of femme Boucherin </w:t>
      </w:r>
      <w:r>
        <w:rPr>
          <w:rFonts w:ascii="Times New Roman" w:hAnsi="Times New Roman" w:cs="Bookman Old Style"/>
          <w:color w:val="000000"/>
          <w:szCs w:val="20"/>
        </w:rPr>
        <w:t>reflected</w:t>
      </w:r>
      <w:r>
        <w:rPr>
          <w:rFonts w:ascii="Times New Roman" w:hAnsi="Times New Roman" w:cs="Bookman Old Style"/>
          <w:szCs w:val="20"/>
        </w:rPr>
        <w:t xml:space="preserve"> the Tribunal</w:t>
      </w:r>
      <w:r w:rsidRPr="00717C20">
        <w:rPr>
          <w:rFonts w:ascii="Times New Roman" w:hAnsi="Times New Roman" w:cs="Bookman Old Style"/>
          <w:szCs w:val="20"/>
        </w:rPr>
        <w:t xml:space="preserve">’s treatment of women </w:t>
      </w:r>
      <w:r>
        <w:rPr>
          <w:rFonts w:ascii="Times New Roman" w:hAnsi="Times New Roman" w:cs="Bookman Old Style"/>
          <w:szCs w:val="20"/>
        </w:rPr>
        <w:t>charged with</w:t>
      </w:r>
      <w:r w:rsidRPr="00717C20">
        <w:rPr>
          <w:rFonts w:ascii="Times New Roman" w:hAnsi="Times New Roman" w:cs="Bookman Old Style"/>
          <w:szCs w:val="20"/>
        </w:rPr>
        <w:t xml:space="preserve"> </w:t>
      </w:r>
      <w:r>
        <w:rPr>
          <w:rFonts w:ascii="Times New Roman" w:hAnsi="Times New Roman" w:cs="Bookman Old Style"/>
          <w:szCs w:val="20"/>
        </w:rPr>
        <w:t>counterrevolutionary correspondence</w:t>
      </w:r>
      <w:r w:rsidRPr="00717C20">
        <w:rPr>
          <w:rFonts w:ascii="Times New Roman" w:hAnsi="Times New Roman" w:cs="Bookman Old Style"/>
          <w:szCs w:val="20"/>
        </w:rPr>
        <w:t xml:space="preserve">. </w:t>
      </w:r>
      <w:r>
        <w:rPr>
          <w:rFonts w:ascii="Times New Roman" w:hAnsi="Times New Roman" w:cs="Bookman Old Style"/>
          <w:szCs w:val="20"/>
        </w:rPr>
        <w:t xml:space="preserve">In a similar fashion, the Tribunal tried </w:t>
      </w:r>
      <w:r w:rsidRPr="00717C20">
        <w:rPr>
          <w:rFonts w:ascii="Times New Roman" w:hAnsi="Times New Roman" w:cs="Bookman Old Style"/>
          <w:szCs w:val="20"/>
        </w:rPr>
        <w:t>Jeanne Chenily, veuve Agron de Marcilly for the same charge in April of the same year.</w:t>
      </w:r>
      <w:r w:rsidRPr="00717C20">
        <w:rPr>
          <w:rStyle w:val="FootnoteReference"/>
          <w:rFonts w:ascii="Times New Roman" w:hAnsi="Times New Roman" w:cs="Bookman Old Style"/>
          <w:szCs w:val="20"/>
        </w:rPr>
        <w:footnoteReference w:id="48"/>
      </w:r>
      <w:r w:rsidRPr="00717C20">
        <w:rPr>
          <w:rFonts w:ascii="Times New Roman" w:hAnsi="Times New Roman" w:cs="Bookman Old Style"/>
          <w:szCs w:val="20"/>
        </w:rPr>
        <w:t xml:space="preserve"> Although the perso</w:t>
      </w:r>
      <w:r>
        <w:rPr>
          <w:rFonts w:ascii="Times New Roman" w:hAnsi="Times New Roman" w:cs="Bookman Old Style"/>
          <w:szCs w:val="20"/>
        </w:rPr>
        <w:t>nal situation of each woman substantially differed</w:t>
      </w:r>
      <w:r w:rsidRPr="00717C20">
        <w:rPr>
          <w:rFonts w:ascii="Times New Roman" w:hAnsi="Times New Roman" w:cs="Bookman Old Style"/>
          <w:szCs w:val="20"/>
        </w:rPr>
        <w:t>, the trials play</w:t>
      </w:r>
      <w:r>
        <w:rPr>
          <w:rFonts w:ascii="Times New Roman" w:hAnsi="Times New Roman" w:cs="Bookman Old Style"/>
          <w:szCs w:val="20"/>
        </w:rPr>
        <w:t>ed</w:t>
      </w:r>
      <w:r w:rsidRPr="00717C20">
        <w:rPr>
          <w:rFonts w:ascii="Times New Roman" w:hAnsi="Times New Roman" w:cs="Bookman Old Style"/>
          <w:szCs w:val="20"/>
        </w:rPr>
        <w:t xml:space="preserve"> out almost identically. Femme Chenily, in addition to being the widow of a lawyer of Louis XVI, </w:t>
      </w:r>
      <w:r>
        <w:rPr>
          <w:rFonts w:ascii="Times New Roman" w:hAnsi="Times New Roman" w:cs="Bookman Old Style"/>
          <w:szCs w:val="20"/>
        </w:rPr>
        <w:t>possessed a substantial education</w:t>
      </w:r>
      <w:r w:rsidRPr="00717C20">
        <w:rPr>
          <w:rFonts w:ascii="Times New Roman" w:hAnsi="Times New Roman" w:cs="Bookman Old Style"/>
          <w:szCs w:val="20"/>
        </w:rPr>
        <w:t>. Both a writer and a mapmaker, femme Chenil</w:t>
      </w:r>
      <w:r>
        <w:rPr>
          <w:rFonts w:ascii="Times New Roman" w:hAnsi="Times New Roman" w:cs="Bookman Old Style"/>
          <w:szCs w:val="20"/>
        </w:rPr>
        <w:t xml:space="preserve">y typified the kind </w:t>
      </w:r>
      <w:r w:rsidRPr="00717C20">
        <w:rPr>
          <w:rFonts w:ascii="Times New Roman" w:hAnsi="Times New Roman" w:cs="Bookman Old Style"/>
          <w:szCs w:val="20"/>
        </w:rPr>
        <w:t xml:space="preserve">of woman most threatening to the Tribunal. During her interrogation, the Tribunal </w:t>
      </w:r>
      <w:r>
        <w:rPr>
          <w:rFonts w:ascii="Times New Roman" w:hAnsi="Times New Roman" w:cs="Bookman Old Style"/>
          <w:szCs w:val="20"/>
        </w:rPr>
        <w:t>focused on</w:t>
      </w:r>
      <w:r w:rsidRPr="00717C20">
        <w:rPr>
          <w:rFonts w:ascii="Times New Roman" w:hAnsi="Times New Roman" w:cs="Bookman Old Style"/>
          <w:szCs w:val="20"/>
        </w:rPr>
        <w:t xml:space="preserve"> her relationships and acquaintances</w:t>
      </w:r>
      <w:r>
        <w:rPr>
          <w:rFonts w:ascii="Times New Roman" w:hAnsi="Times New Roman" w:cs="Bookman Old Style"/>
          <w:szCs w:val="20"/>
        </w:rPr>
        <w:t xml:space="preserve"> more than</w:t>
      </w:r>
      <w:r w:rsidRPr="00717C20">
        <w:rPr>
          <w:rFonts w:ascii="Times New Roman" w:hAnsi="Times New Roman" w:cs="Bookman Old Style"/>
          <w:szCs w:val="20"/>
        </w:rPr>
        <w:t xml:space="preserve"> her correspondence</w:t>
      </w:r>
      <w:r>
        <w:rPr>
          <w:rFonts w:ascii="Times New Roman" w:hAnsi="Times New Roman" w:cs="Bookman Old Style"/>
          <w:szCs w:val="20"/>
        </w:rPr>
        <w:t>s</w:t>
      </w:r>
      <w:r w:rsidRPr="00717C20">
        <w:rPr>
          <w:rFonts w:ascii="Times New Roman" w:hAnsi="Times New Roman" w:cs="Bookman Old Style"/>
          <w:szCs w:val="20"/>
        </w:rPr>
        <w:t xml:space="preserve">. When </w:t>
      </w:r>
      <w:r w:rsidR="00AD0377" w:rsidRPr="00717C20">
        <w:rPr>
          <w:rFonts w:ascii="Times New Roman" w:hAnsi="Times New Roman" w:cs="Bookman Old Style"/>
          <w:szCs w:val="20"/>
        </w:rPr>
        <w:t>asked,</w:t>
      </w:r>
      <w:r w:rsidRPr="00717C20">
        <w:rPr>
          <w:rFonts w:ascii="Times New Roman" w:hAnsi="Times New Roman" w:cs="Bookman Old Style"/>
          <w:szCs w:val="20"/>
        </w:rPr>
        <w:t xml:space="preserve"> “if she knew any </w:t>
      </w:r>
      <w:r w:rsidRPr="00717C20">
        <w:rPr>
          <w:rFonts w:ascii="Times New Roman" w:hAnsi="Times New Roman" w:cs="Bookman Old Style"/>
          <w:i/>
          <w:szCs w:val="20"/>
        </w:rPr>
        <w:t>ci devant</w:t>
      </w:r>
      <w:r w:rsidRPr="00717C20">
        <w:rPr>
          <w:rFonts w:ascii="Times New Roman" w:hAnsi="Times New Roman" w:cs="Bookman Old Style"/>
          <w:szCs w:val="20"/>
        </w:rPr>
        <w:t xml:space="preserve"> nob</w:t>
      </w:r>
      <w:r>
        <w:rPr>
          <w:rFonts w:ascii="Times New Roman" w:hAnsi="Times New Roman" w:cs="Bookman Old Style"/>
          <w:szCs w:val="20"/>
        </w:rPr>
        <w:t>les,” femme Chenily responded “many</w:t>
      </w:r>
      <w:r w:rsidRPr="00717C20">
        <w:rPr>
          <w:rFonts w:ascii="Times New Roman" w:hAnsi="Times New Roman" w:cs="Bookman Old Style"/>
          <w:szCs w:val="20"/>
        </w:rPr>
        <w:t>, all the people of position.”</w:t>
      </w:r>
      <w:r w:rsidRPr="00717C20">
        <w:rPr>
          <w:rStyle w:val="FootnoteReference"/>
          <w:rFonts w:ascii="Times New Roman" w:hAnsi="Times New Roman" w:cs="Bookman Old Style"/>
          <w:szCs w:val="20"/>
        </w:rPr>
        <w:footnoteReference w:id="49"/>
      </w:r>
      <w:r w:rsidRPr="00717C20">
        <w:rPr>
          <w:rFonts w:ascii="Times New Roman" w:hAnsi="Times New Roman" w:cs="Bookman Old Style"/>
          <w:szCs w:val="20"/>
        </w:rPr>
        <w:t xml:space="preserve"> The </w:t>
      </w:r>
      <w:r>
        <w:rPr>
          <w:rFonts w:ascii="Times New Roman" w:hAnsi="Times New Roman" w:cs="Bookman Old Style"/>
          <w:szCs w:val="20"/>
        </w:rPr>
        <w:t>remainder of the interrogation focused</w:t>
      </w:r>
      <w:r w:rsidRPr="00717C20">
        <w:rPr>
          <w:rFonts w:ascii="Times New Roman" w:hAnsi="Times New Roman" w:cs="Bookman Old Style"/>
          <w:szCs w:val="20"/>
        </w:rPr>
        <w:t xml:space="preserve"> on her relationship with specific individuals whom she befriended before the Revolution. As with femme Boucherin, </w:t>
      </w:r>
      <w:r>
        <w:rPr>
          <w:rFonts w:ascii="Times New Roman" w:hAnsi="Times New Roman" w:cs="Bookman Old Style"/>
          <w:szCs w:val="20"/>
        </w:rPr>
        <w:t xml:space="preserve">the Tribunal largely ignored </w:t>
      </w:r>
      <w:r w:rsidRPr="00717C20">
        <w:rPr>
          <w:rFonts w:ascii="Times New Roman" w:hAnsi="Times New Roman" w:cs="Bookman Old Style"/>
          <w:szCs w:val="20"/>
        </w:rPr>
        <w:t>the content</w:t>
      </w:r>
      <w:r>
        <w:rPr>
          <w:rFonts w:ascii="Times New Roman" w:hAnsi="Times New Roman" w:cs="Bookman Old Style"/>
          <w:szCs w:val="20"/>
        </w:rPr>
        <w:t xml:space="preserve"> of the letters</w:t>
      </w:r>
      <w:r w:rsidRPr="00717C20">
        <w:rPr>
          <w:rFonts w:ascii="Times New Roman" w:hAnsi="Times New Roman" w:cs="Bookman Old Style"/>
          <w:szCs w:val="20"/>
        </w:rPr>
        <w:t>,</w:t>
      </w:r>
      <w:r>
        <w:rPr>
          <w:rFonts w:ascii="Times New Roman" w:hAnsi="Times New Roman" w:cs="Bookman Old Style"/>
          <w:szCs w:val="20"/>
        </w:rPr>
        <w:t xml:space="preserve"> and instead focused on </w:t>
      </w:r>
      <w:r w:rsidRPr="00717C20">
        <w:rPr>
          <w:rFonts w:ascii="Times New Roman" w:hAnsi="Times New Roman" w:cs="Bookman Old Style"/>
          <w:szCs w:val="20"/>
        </w:rPr>
        <w:t>femme Chenily</w:t>
      </w:r>
      <w:r>
        <w:rPr>
          <w:rFonts w:ascii="Times New Roman" w:hAnsi="Times New Roman" w:cs="Bookman Old Style"/>
          <w:szCs w:val="20"/>
        </w:rPr>
        <w:t>’s</w:t>
      </w:r>
      <w:r w:rsidRPr="00717C20">
        <w:rPr>
          <w:rFonts w:ascii="Times New Roman" w:hAnsi="Times New Roman" w:cs="Bookman Old Style"/>
          <w:szCs w:val="20"/>
        </w:rPr>
        <w:t xml:space="preserve"> contact with men of power. And like femme Boucherin, </w:t>
      </w:r>
      <w:r>
        <w:rPr>
          <w:rFonts w:ascii="Times New Roman" w:hAnsi="Times New Roman" w:cs="Bookman Old Style"/>
          <w:szCs w:val="20"/>
        </w:rPr>
        <w:t>the Tribunal sentenced femme Chenily</w:t>
      </w:r>
      <w:r w:rsidRPr="00717C20">
        <w:rPr>
          <w:rFonts w:ascii="Times New Roman" w:hAnsi="Times New Roman" w:cs="Bookman Old Style"/>
          <w:szCs w:val="20"/>
        </w:rPr>
        <w:t xml:space="preserve"> to the guillotine.</w:t>
      </w:r>
      <w:r w:rsidRPr="00717C20">
        <w:rPr>
          <w:rStyle w:val="FootnoteReference"/>
          <w:rFonts w:ascii="Times New Roman" w:hAnsi="Times New Roman" w:cs="Bookman Old Style"/>
          <w:szCs w:val="20"/>
        </w:rPr>
        <w:footnoteReference w:id="50"/>
      </w:r>
      <w:r w:rsidRPr="00717C20">
        <w:rPr>
          <w:rFonts w:ascii="Times New Roman" w:hAnsi="Times New Roman" w:cs="Bookman Old Style"/>
          <w:szCs w:val="20"/>
        </w:rPr>
        <w:t xml:space="preserve"> </w:t>
      </w:r>
      <w:r>
        <w:rPr>
          <w:rFonts w:ascii="Times New Roman" w:hAnsi="Times New Roman" w:cs="Bookman Old Style"/>
          <w:szCs w:val="20"/>
        </w:rPr>
        <w:t xml:space="preserve">These verdicts and others like them reflected the Tribunal’s vigilant prosecution of not only foreign correspondence, but also the social class most likely to commit such a crime. </w:t>
      </w:r>
    </w:p>
    <w:p w:rsidR="001C5440" w:rsidRDefault="001C5440" w:rsidP="00E41716">
      <w:pPr>
        <w:spacing w:line="480" w:lineRule="auto"/>
        <w:ind w:firstLine="720"/>
        <w:contextualSpacing/>
        <w:rPr>
          <w:rFonts w:ascii="Times New Roman" w:hAnsi="Times New Roman" w:cs="Bookman Old Style"/>
          <w:szCs w:val="20"/>
        </w:rPr>
      </w:pPr>
      <w:r w:rsidRPr="00717C20">
        <w:rPr>
          <w:rFonts w:ascii="Times New Roman" w:hAnsi="Times New Roman" w:cs="Bookman Old Style"/>
          <w:szCs w:val="20"/>
        </w:rPr>
        <w:t xml:space="preserve">In contrast, the Tribunal treated women who committed counterrevolutionary speech acts </w:t>
      </w:r>
      <w:r>
        <w:rPr>
          <w:rFonts w:ascii="Times New Roman" w:hAnsi="Times New Roman" w:cs="Bookman Old Style"/>
          <w:szCs w:val="20"/>
        </w:rPr>
        <w:t>with greater leniency</w:t>
      </w:r>
      <w:r w:rsidRPr="00717C20">
        <w:rPr>
          <w:rFonts w:ascii="Times New Roman" w:hAnsi="Times New Roman" w:cs="Bookman Old Style"/>
          <w:szCs w:val="20"/>
        </w:rPr>
        <w:t>. Despite the blatant counterrevolutionary content of these outcries, the Tribunal did not perceive them to be equally threatening or influential.</w:t>
      </w:r>
      <w:r>
        <w:rPr>
          <w:rFonts w:ascii="Times New Roman" w:hAnsi="Times New Roman" w:cs="Bookman Old Style"/>
          <w:szCs w:val="20"/>
        </w:rPr>
        <w:t xml:space="preserve"> The Tribunal associated oral outbursts with a lower, more revolutionary, social class. </w:t>
      </w:r>
      <w:r w:rsidRPr="00717C20">
        <w:rPr>
          <w:rFonts w:ascii="Times New Roman" w:hAnsi="Times New Roman" w:cs="Bookman Old Style"/>
          <w:color w:val="000000"/>
          <w:szCs w:val="20"/>
        </w:rPr>
        <w:t>Anne-</w:t>
      </w:r>
      <w:r w:rsidRPr="00717C20">
        <w:rPr>
          <w:rFonts w:ascii="Times New Roman" w:hAnsi="Times New Roman" w:cs="Bookman Old Style"/>
          <w:color w:val="000000"/>
          <w:szCs w:val="20"/>
        </w:rPr>
        <w:lastRenderedPageBreak/>
        <w:t xml:space="preserve">Caroline Notaire, femme </w:t>
      </w:r>
      <w:r w:rsidRPr="00717C20">
        <w:rPr>
          <w:rFonts w:ascii="Times New Roman" w:hAnsi="Times New Roman" w:cs="Bookman Old Style"/>
          <w:szCs w:val="20"/>
        </w:rPr>
        <w:t xml:space="preserve">Cameron, </w:t>
      </w:r>
      <w:r>
        <w:rPr>
          <w:rFonts w:ascii="Times New Roman" w:hAnsi="Times New Roman" w:cs="Bookman Old Style"/>
          <w:szCs w:val="20"/>
        </w:rPr>
        <w:t>sold</w:t>
      </w:r>
      <w:r w:rsidRPr="00717C20">
        <w:rPr>
          <w:rFonts w:ascii="Times New Roman" w:hAnsi="Times New Roman" w:cs="Bookman Old Style"/>
          <w:szCs w:val="20"/>
        </w:rPr>
        <w:t xml:space="preserve"> toys and trinkets in Paris.</w:t>
      </w:r>
      <w:r w:rsidRPr="00717C20">
        <w:rPr>
          <w:rStyle w:val="FootnoteReference"/>
          <w:rFonts w:ascii="Times New Roman" w:hAnsi="Times New Roman" w:cs="Bookman Old Style"/>
          <w:szCs w:val="20"/>
        </w:rPr>
        <w:footnoteReference w:id="51"/>
      </w:r>
      <w:r w:rsidRPr="00717C20">
        <w:rPr>
          <w:rFonts w:ascii="Times New Roman" w:hAnsi="Times New Roman" w:cs="Bookman Old Style"/>
          <w:szCs w:val="20"/>
        </w:rPr>
        <w:t xml:space="preserve"> A nearby shop owner denounced her to the Tribunal for making counterrevolutionary remarks: lamenting the death of the king, the detention of the queen, and the current revolutionary government.</w:t>
      </w:r>
      <w:r w:rsidRPr="00717C20">
        <w:rPr>
          <w:rStyle w:val="FootnoteReference"/>
          <w:rFonts w:ascii="Times New Roman" w:hAnsi="Times New Roman" w:cs="Bookman Old Style"/>
          <w:szCs w:val="20"/>
        </w:rPr>
        <w:footnoteReference w:id="52"/>
      </w:r>
      <w:r w:rsidRPr="00717C20">
        <w:rPr>
          <w:rFonts w:ascii="Times New Roman" w:hAnsi="Times New Roman" w:cs="Bookman Old Style"/>
          <w:szCs w:val="20"/>
        </w:rPr>
        <w:t xml:space="preserve"> Although these incendiary comments </w:t>
      </w:r>
      <w:r>
        <w:rPr>
          <w:rFonts w:ascii="Times New Roman" w:hAnsi="Times New Roman" w:cs="Bookman Old Style"/>
          <w:szCs w:val="20"/>
        </w:rPr>
        <w:t>espoused</w:t>
      </w:r>
      <w:r w:rsidRPr="00717C20">
        <w:rPr>
          <w:rFonts w:ascii="Times New Roman" w:hAnsi="Times New Roman" w:cs="Bookman Old Style"/>
          <w:szCs w:val="20"/>
        </w:rPr>
        <w:t xml:space="preserve"> counterrevolutionary</w:t>
      </w:r>
      <w:r>
        <w:rPr>
          <w:rFonts w:ascii="Times New Roman" w:hAnsi="Times New Roman" w:cs="Bookman Old Style"/>
          <w:szCs w:val="20"/>
        </w:rPr>
        <w:t xml:space="preserve"> thought</w:t>
      </w:r>
      <w:r w:rsidRPr="00717C20">
        <w:rPr>
          <w:rFonts w:ascii="Times New Roman" w:hAnsi="Times New Roman" w:cs="Bookman Old Style"/>
          <w:szCs w:val="20"/>
        </w:rPr>
        <w:t>, the Tribunal hesitated. No record survives of the oral defense employed by femme Cameron during her trial—and perhaps there was none—but something convinced the Tribunal to acquit femme Cameron of all counterrevolutionary charges.</w:t>
      </w:r>
      <w:r w:rsidRPr="00717C20">
        <w:rPr>
          <w:rStyle w:val="FootnoteReference"/>
          <w:rFonts w:ascii="Times New Roman" w:hAnsi="Times New Roman" w:cs="Bookman Old Style"/>
          <w:szCs w:val="20"/>
        </w:rPr>
        <w:footnoteReference w:id="53"/>
      </w:r>
      <w:r w:rsidRPr="00717C20">
        <w:rPr>
          <w:rFonts w:ascii="Times New Roman" w:hAnsi="Times New Roman" w:cs="Bookman Old Style"/>
          <w:szCs w:val="20"/>
        </w:rPr>
        <w:t xml:space="preserve"> Was it the lack of physical evidence? Perhaps, but t</w:t>
      </w:r>
      <w:r>
        <w:rPr>
          <w:rFonts w:ascii="Times New Roman" w:hAnsi="Times New Roman" w:cs="Bookman Old Style"/>
          <w:szCs w:val="20"/>
        </w:rPr>
        <w:t xml:space="preserve">he Tribunal had no qualms about </w:t>
      </w:r>
      <w:r w:rsidRPr="00717C20">
        <w:rPr>
          <w:rFonts w:ascii="Times New Roman" w:hAnsi="Times New Roman" w:cs="Bookman Old Style"/>
          <w:szCs w:val="20"/>
        </w:rPr>
        <w:t>convicting women for other crimes that lacked physical evidence.</w:t>
      </w:r>
      <w:r w:rsidRPr="00717C20">
        <w:rPr>
          <w:rStyle w:val="FootnoteReference"/>
          <w:rFonts w:ascii="Times New Roman" w:hAnsi="Times New Roman" w:cs="Bookman Old Style"/>
          <w:szCs w:val="20"/>
        </w:rPr>
        <w:footnoteReference w:id="54"/>
      </w:r>
      <w:r w:rsidRPr="00717C20">
        <w:rPr>
          <w:rFonts w:ascii="Times New Roman" w:hAnsi="Times New Roman" w:cs="Bookman Old Style"/>
          <w:szCs w:val="20"/>
        </w:rPr>
        <w:t xml:space="preserve"> Was it the unreliab</w:t>
      </w:r>
      <w:r>
        <w:rPr>
          <w:rFonts w:ascii="Times New Roman" w:hAnsi="Times New Roman" w:cs="Bookman Old Style"/>
          <w:szCs w:val="20"/>
        </w:rPr>
        <w:t>il</w:t>
      </w:r>
      <w:r w:rsidRPr="00717C20">
        <w:rPr>
          <w:rFonts w:ascii="Times New Roman" w:hAnsi="Times New Roman" w:cs="Bookman Old Style"/>
          <w:szCs w:val="20"/>
        </w:rPr>
        <w:t xml:space="preserve">ity of the witness? If so, the Tribunal did not choose to seek out other witnesses or cross-examine the original denouncer. </w:t>
      </w:r>
    </w:p>
    <w:p w:rsidR="001C5440" w:rsidRDefault="001C5440" w:rsidP="00E41716">
      <w:pPr>
        <w:spacing w:line="480" w:lineRule="auto"/>
        <w:ind w:firstLine="720"/>
        <w:contextualSpacing/>
        <w:rPr>
          <w:rFonts w:ascii="Times New Roman" w:hAnsi="Times New Roman" w:cs="Bookman Old Style"/>
          <w:szCs w:val="20"/>
        </w:rPr>
      </w:pPr>
      <w:r w:rsidRPr="00717C20">
        <w:rPr>
          <w:rFonts w:ascii="Times New Roman" w:hAnsi="Times New Roman" w:cs="Bookman Old Style"/>
          <w:szCs w:val="20"/>
        </w:rPr>
        <w:t>Rather, it appears that the Tribunal did not perceive femme Cameron’s counterrevolutionary outburst to be very important</w:t>
      </w:r>
      <w:r>
        <w:rPr>
          <w:rFonts w:ascii="Times New Roman" w:hAnsi="Times New Roman" w:cs="Bookman Old Style"/>
          <w:szCs w:val="20"/>
        </w:rPr>
        <w:t xml:space="preserve">. The social class of the defendant certainly played a role in the Tribunal’s evaluation, but in many ways this information only reinforced the preconceptions that the Tribunal already held about counterrevolutionary culpability. The Tribunal viewed speech acts through a prism that equated oral outbursts with the working classes, and the working classes with the Revolution. Femme Cameron’s form of counterrevolutionary expression, not her individual circumstances, allied her with the pro-revolutionary working class in the mind of the Tribunal. </w:t>
      </w:r>
    </w:p>
    <w:p w:rsidR="001C5440" w:rsidRPr="00717C20" w:rsidRDefault="001C5440" w:rsidP="00E41716">
      <w:pPr>
        <w:spacing w:line="480" w:lineRule="auto"/>
        <w:ind w:firstLine="720"/>
        <w:contextualSpacing/>
        <w:rPr>
          <w:rFonts w:ascii="Times New Roman" w:hAnsi="Times New Roman" w:cs="Bookman Old Style"/>
          <w:szCs w:val="20"/>
        </w:rPr>
      </w:pPr>
      <w:r w:rsidRPr="00717C20">
        <w:rPr>
          <w:rFonts w:ascii="Times New Roman" w:hAnsi="Times New Roman" w:cs="Bookman Old Style"/>
          <w:szCs w:val="20"/>
        </w:rPr>
        <w:lastRenderedPageBreak/>
        <w:t xml:space="preserve">The </w:t>
      </w:r>
      <w:r>
        <w:rPr>
          <w:rFonts w:ascii="Times New Roman" w:hAnsi="Times New Roman" w:cs="Bookman Old Style"/>
          <w:szCs w:val="20"/>
        </w:rPr>
        <w:t>case of Françoise Dethorre played</w:t>
      </w:r>
      <w:r w:rsidRPr="00717C20">
        <w:rPr>
          <w:rFonts w:ascii="Times New Roman" w:hAnsi="Times New Roman" w:cs="Bookman Old Style"/>
          <w:szCs w:val="20"/>
        </w:rPr>
        <w:t xml:space="preserve"> out in much the same way. </w:t>
      </w:r>
      <w:r>
        <w:rPr>
          <w:rFonts w:ascii="Times New Roman" w:hAnsi="Times New Roman" w:cs="Bookman Old Style"/>
          <w:szCs w:val="20"/>
        </w:rPr>
        <w:t xml:space="preserve">A neighbor indicted </w:t>
      </w:r>
      <w:r w:rsidRPr="00717C20">
        <w:rPr>
          <w:rFonts w:ascii="Times New Roman" w:hAnsi="Times New Roman" w:cs="Bookman Old Style"/>
          <w:szCs w:val="20"/>
        </w:rPr>
        <w:t>femme Dethorre</w:t>
      </w:r>
      <w:r>
        <w:rPr>
          <w:rFonts w:ascii="Times New Roman" w:hAnsi="Times New Roman" w:cs="Bookman Old Style"/>
          <w:szCs w:val="20"/>
        </w:rPr>
        <w:t xml:space="preserve">, a </w:t>
      </w:r>
      <w:r>
        <w:rPr>
          <w:rFonts w:ascii="Times New Roman" w:hAnsi="Times New Roman" w:cs="Bookman Old Style"/>
          <w:i/>
          <w:szCs w:val="20"/>
        </w:rPr>
        <w:t>marchande de modes</w:t>
      </w:r>
      <w:r>
        <w:rPr>
          <w:rFonts w:ascii="Times New Roman" w:hAnsi="Times New Roman" w:cs="Bookman Old Style"/>
          <w:szCs w:val="20"/>
        </w:rPr>
        <w:t>, for</w:t>
      </w:r>
      <w:r w:rsidRPr="00717C20">
        <w:rPr>
          <w:rFonts w:ascii="Times New Roman" w:hAnsi="Times New Roman" w:cs="Bookman Old Style"/>
          <w:szCs w:val="20"/>
        </w:rPr>
        <w:t xml:space="preserve"> uttering counterrevolutionary remarks against the current government and in support of the king.</w:t>
      </w:r>
      <w:r w:rsidRPr="00717C20">
        <w:rPr>
          <w:rStyle w:val="FootnoteReference"/>
          <w:rFonts w:ascii="Times New Roman" w:hAnsi="Times New Roman" w:cs="Bookman Old Style"/>
          <w:szCs w:val="20"/>
        </w:rPr>
        <w:footnoteReference w:id="55"/>
      </w:r>
      <w:r w:rsidRPr="00717C20">
        <w:rPr>
          <w:rFonts w:ascii="Times New Roman" w:hAnsi="Times New Roman" w:cs="Bookman Old Style"/>
          <w:szCs w:val="20"/>
        </w:rPr>
        <w:t xml:space="preserve"> Her remarks, that the country “will pay very dearly for the execution of th</w:t>
      </w:r>
      <w:r>
        <w:rPr>
          <w:rFonts w:ascii="Times New Roman" w:hAnsi="Times New Roman" w:cs="Bookman Old Style"/>
          <w:szCs w:val="20"/>
        </w:rPr>
        <w:t>e best of kings” and that she was</w:t>
      </w:r>
      <w:r w:rsidRPr="00717C20">
        <w:rPr>
          <w:rFonts w:ascii="Times New Roman" w:hAnsi="Times New Roman" w:cs="Bookman Old Style"/>
          <w:szCs w:val="20"/>
        </w:rPr>
        <w:t xml:space="preserve"> quite “satisfied” by the execution of Marat </w:t>
      </w:r>
      <w:r>
        <w:rPr>
          <w:rFonts w:ascii="Times New Roman" w:hAnsi="Times New Roman" w:cs="Bookman Old Style"/>
          <w:szCs w:val="20"/>
        </w:rPr>
        <w:t>blatantly criticized the R</w:t>
      </w:r>
      <w:r w:rsidRPr="00717C20">
        <w:rPr>
          <w:rFonts w:ascii="Times New Roman" w:hAnsi="Times New Roman" w:cs="Bookman Old Style"/>
          <w:szCs w:val="20"/>
        </w:rPr>
        <w:t>evolution.</w:t>
      </w:r>
      <w:r w:rsidRPr="00717C20">
        <w:rPr>
          <w:rStyle w:val="FootnoteReference"/>
          <w:rFonts w:ascii="Times New Roman" w:hAnsi="Times New Roman" w:cs="Bookman Old Style"/>
          <w:szCs w:val="20"/>
        </w:rPr>
        <w:footnoteReference w:id="56"/>
      </w:r>
      <w:r w:rsidRPr="00717C20">
        <w:rPr>
          <w:rFonts w:ascii="Times New Roman" w:hAnsi="Times New Roman" w:cs="Bookman Old Style"/>
          <w:szCs w:val="20"/>
        </w:rPr>
        <w:t xml:space="preserve"> When brought to trial, femme Dethorre </w:t>
      </w:r>
      <w:r>
        <w:rPr>
          <w:rFonts w:ascii="Times New Roman" w:hAnsi="Times New Roman" w:cs="Bookman Old Style"/>
          <w:szCs w:val="20"/>
        </w:rPr>
        <w:t>denied having made any</w:t>
      </w:r>
      <w:r w:rsidRPr="00717C20">
        <w:rPr>
          <w:rFonts w:ascii="Times New Roman" w:hAnsi="Times New Roman" w:cs="Bookman Old Style"/>
          <w:szCs w:val="20"/>
        </w:rPr>
        <w:t xml:space="preserve"> counterrevolutionary remark.</w:t>
      </w:r>
      <w:r w:rsidRPr="00717C20">
        <w:rPr>
          <w:rStyle w:val="FootnoteReference"/>
          <w:rFonts w:ascii="Times New Roman" w:hAnsi="Times New Roman" w:cs="Bookman Old Style"/>
          <w:szCs w:val="20"/>
        </w:rPr>
        <w:footnoteReference w:id="57"/>
      </w:r>
      <w:r>
        <w:rPr>
          <w:rFonts w:ascii="Times New Roman" w:hAnsi="Times New Roman" w:cs="Bookman Old Style"/>
          <w:szCs w:val="20"/>
        </w:rPr>
        <w:t xml:space="preserve"> She did</w:t>
      </w:r>
      <w:r w:rsidRPr="00717C20">
        <w:rPr>
          <w:rFonts w:ascii="Times New Roman" w:hAnsi="Times New Roman" w:cs="Bookman Old Style"/>
          <w:szCs w:val="20"/>
        </w:rPr>
        <w:t xml:space="preserve"> not extol her revolutionary activities, her support of the national t</w:t>
      </w:r>
      <w:r>
        <w:rPr>
          <w:rFonts w:ascii="Times New Roman" w:hAnsi="Times New Roman" w:cs="Bookman Old Style"/>
          <w:szCs w:val="20"/>
        </w:rPr>
        <w:t xml:space="preserve">roops, or mention anything else </w:t>
      </w:r>
      <w:r w:rsidRPr="00717C20">
        <w:rPr>
          <w:rFonts w:ascii="Times New Roman" w:hAnsi="Times New Roman" w:cs="Bookman Old Style"/>
          <w:szCs w:val="20"/>
        </w:rPr>
        <w:t>which would contradict</w:t>
      </w:r>
      <w:r>
        <w:rPr>
          <w:rFonts w:ascii="Times New Roman" w:hAnsi="Times New Roman" w:cs="Bookman Old Style"/>
          <w:szCs w:val="20"/>
        </w:rPr>
        <w:t xml:space="preserve"> her alleged counterrevolutionary remarks</w:t>
      </w:r>
      <w:r w:rsidRPr="00717C20">
        <w:rPr>
          <w:rFonts w:ascii="Times New Roman" w:hAnsi="Times New Roman" w:cs="Bookman Old Style"/>
          <w:szCs w:val="20"/>
        </w:rPr>
        <w:t>.</w:t>
      </w:r>
      <w:r>
        <w:rPr>
          <w:rFonts w:ascii="Times New Roman" w:hAnsi="Times New Roman" w:cs="Bookman Old Style"/>
          <w:szCs w:val="20"/>
        </w:rPr>
        <w:t xml:space="preserve"> She forced the Tribunal</w:t>
      </w:r>
      <w:r w:rsidRPr="00717C20">
        <w:rPr>
          <w:rFonts w:ascii="Times New Roman" w:hAnsi="Times New Roman" w:cs="Bookman Old Style"/>
          <w:szCs w:val="20"/>
        </w:rPr>
        <w:t xml:space="preserve"> to weigh her word agai</w:t>
      </w:r>
      <w:r>
        <w:rPr>
          <w:rFonts w:ascii="Times New Roman" w:hAnsi="Times New Roman" w:cs="Bookman Old Style"/>
          <w:szCs w:val="20"/>
        </w:rPr>
        <w:t>nst that of her neighbor. The Tribunal</w:t>
      </w:r>
      <w:r w:rsidRPr="00717C20">
        <w:rPr>
          <w:rFonts w:ascii="Times New Roman" w:hAnsi="Times New Roman" w:cs="Bookman Old Style"/>
          <w:szCs w:val="20"/>
        </w:rPr>
        <w:t xml:space="preserve"> acquit</w:t>
      </w:r>
      <w:r>
        <w:rPr>
          <w:rFonts w:ascii="Times New Roman" w:hAnsi="Times New Roman" w:cs="Bookman Old Style"/>
          <w:szCs w:val="20"/>
        </w:rPr>
        <w:t>ted</w:t>
      </w:r>
      <w:r w:rsidRPr="00717C20">
        <w:rPr>
          <w:rFonts w:ascii="Times New Roman" w:hAnsi="Times New Roman" w:cs="Bookman Old Style"/>
          <w:szCs w:val="20"/>
        </w:rPr>
        <w:t xml:space="preserve"> femme Dethorre of the alleged remarks.</w:t>
      </w:r>
      <w:r w:rsidRPr="00717C20">
        <w:rPr>
          <w:rStyle w:val="FootnoteReference"/>
          <w:rFonts w:ascii="Times New Roman" w:hAnsi="Times New Roman" w:cs="Bookman Old Style"/>
          <w:szCs w:val="20"/>
        </w:rPr>
        <w:footnoteReference w:id="58"/>
      </w:r>
    </w:p>
    <w:p w:rsidR="003C5BB0" w:rsidRDefault="001C5440" w:rsidP="00E41716">
      <w:pPr>
        <w:spacing w:line="480" w:lineRule="auto"/>
        <w:ind w:firstLine="720"/>
        <w:contextualSpacing/>
        <w:rPr>
          <w:rFonts w:ascii="Times New Roman" w:hAnsi="Times New Roman" w:cs="Bookman Old Style"/>
          <w:szCs w:val="20"/>
        </w:rPr>
      </w:pPr>
      <w:r>
        <w:rPr>
          <w:rFonts w:ascii="Times New Roman" w:hAnsi="Times New Roman" w:cs="Bookman Old Style"/>
          <w:szCs w:val="20"/>
        </w:rPr>
        <w:t>The Tribunal did not award w</w:t>
      </w:r>
      <w:r w:rsidRPr="00717C20">
        <w:rPr>
          <w:rFonts w:ascii="Times New Roman" w:hAnsi="Times New Roman" w:cs="Bookman Old Style"/>
          <w:szCs w:val="20"/>
        </w:rPr>
        <w:t>omen convicted of written acts, especially correspon</w:t>
      </w:r>
      <w:r w:rsidR="007E0037">
        <w:rPr>
          <w:rFonts w:ascii="Times New Roman" w:hAnsi="Times New Roman" w:cs="Bookman Old Style"/>
          <w:szCs w:val="20"/>
        </w:rPr>
        <w:t>ding with é</w:t>
      </w:r>
      <w:r w:rsidRPr="00717C20">
        <w:rPr>
          <w:rFonts w:ascii="Times New Roman" w:hAnsi="Times New Roman" w:cs="Bookman Old Style"/>
          <w:szCs w:val="20"/>
        </w:rPr>
        <w:t>m</w:t>
      </w:r>
      <w:r>
        <w:rPr>
          <w:rFonts w:ascii="Times New Roman" w:hAnsi="Times New Roman" w:cs="Bookman Old Style"/>
          <w:szCs w:val="20"/>
        </w:rPr>
        <w:t xml:space="preserve">igrés, </w:t>
      </w:r>
      <w:r w:rsidRPr="00717C20">
        <w:rPr>
          <w:rFonts w:ascii="Times New Roman" w:hAnsi="Times New Roman" w:cs="Bookman Old Style"/>
          <w:szCs w:val="20"/>
        </w:rPr>
        <w:t>equal leniency. Femme Dethorre’s rote denial convince</w:t>
      </w:r>
      <w:r>
        <w:rPr>
          <w:rFonts w:ascii="Times New Roman" w:hAnsi="Times New Roman" w:cs="Bookman Old Style"/>
          <w:szCs w:val="20"/>
        </w:rPr>
        <w:t>d</w:t>
      </w:r>
      <w:r w:rsidRPr="00717C20">
        <w:rPr>
          <w:rFonts w:ascii="Times New Roman" w:hAnsi="Times New Roman" w:cs="Bookman Old Style"/>
          <w:szCs w:val="20"/>
        </w:rPr>
        <w:t xml:space="preserve"> the Tribunal of her innocence. </w:t>
      </w:r>
      <w:r>
        <w:rPr>
          <w:rFonts w:ascii="Times New Roman" w:hAnsi="Times New Roman" w:cs="Bookman Old Style"/>
          <w:szCs w:val="20"/>
        </w:rPr>
        <w:t>Femme</w:t>
      </w:r>
      <w:r w:rsidRPr="00717C20">
        <w:rPr>
          <w:rFonts w:ascii="Times New Roman" w:hAnsi="Times New Roman" w:cs="Bookman Old Style"/>
          <w:szCs w:val="20"/>
        </w:rPr>
        <w:t xml:space="preserve"> Boucherin</w:t>
      </w:r>
      <w:r>
        <w:rPr>
          <w:rFonts w:ascii="Times New Roman" w:hAnsi="Times New Roman" w:cs="Bookman Old Style"/>
          <w:szCs w:val="20"/>
        </w:rPr>
        <w:t>’s insistence on</w:t>
      </w:r>
      <w:r w:rsidRPr="00717C20">
        <w:rPr>
          <w:rFonts w:ascii="Times New Roman" w:hAnsi="Times New Roman" w:cs="Bookman Old Style"/>
          <w:szCs w:val="20"/>
        </w:rPr>
        <w:t xml:space="preserve"> the domestic quality of her corresp</w:t>
      </w:r>
      <w:r>
        <w:rPr>
          <w:rFonts w:ascii="Times New Roman" w:hAnsi="Times New Roman" w:cs="Bookman Old Style"/>
          <w:szCs w:val="20"/>
        </w:rPr>
        <w:t xml:space="preserve">ondence, in contrast, could not sway </w:t>
      </w:r>
      <w:r w:rsidRPr="00717C20">
        <w:rPr>
          <w:rFonts w:ascii="Times New Roman" w:hAnsi="Times New Roman" w:cs="Bookman Old Style"/>
          <w:szCs w:val="20"/>
        </w:rPr>
        <w:t xml:space="preserve">the Tribunal. These differing forms of justice </w:t>
      </w:r>
      <w:r>
        <w:rPr>
          <w:rFonts w:ascii="Times New Roman" w:hAnsi="Times New Roman" w:cs="Bookman Old Style"/>
          <w:szCs w:val="20"/>
        </w:rPr>
        <w:t>are understandable</w:t>
      </w:r>
      <w:r w:rsidRPr="00717C20">
        <w:rPr>
          <w:rFonts w:ascii="Times New Roman" w:hAnsi="Times New Roman" w:cs="Bookman Old Style"/>
          <w:szCs w:val="20"/>
        </w:rPr>
        <w:t xml:space="preserve"> only when </w:t>
      </w:r>
      <w:r>
        <w:rPr>
          <w:rFonts w:ascii="Times New Roman" w:hAnsi="Times New Roman" w:cs="Bookman Old Style"/>
          <w:szCs w:val="20"/>
        </w:rPr>
        <w:t xml:space="preserve">the Tribunal’s equation of criminal expression and social class is acknowledged. </w:t>
      </w:r>
    </w:p>
    <w:p w:rsidR="001C5440" w:rsidRPr="00717C20" w:rsidRDefault="001C5440" w:rsidP="00E41716">
      <w:pPr>
        <w:spacing w:line="480" w:lineRule="auto"/>
        <w:ind w:firstLine="720"/>
        <w:contextualSpacing/>
        <w:rPr>
          <w:rFonts w:ascii="Times New Roman" w:hAnsi="Times New Roman" w:cs="Bookman Old Style"/>
          <w:szCs w:val="20"/>
        </w:rPr>
      </w:pPr>
    </w:p>
    <w:p w:rsidR="001C5440" w:rsidRPr="003C5BB0" w:rsidRDefault="003C5BB0" w:rsidP="00E41716">
      <w:pPr>
        <w:spacing w:line="480" w:lineRule="auto"/>
        <w:contextualSpacing/>
        <w:rPr>
          <w:rFonts w:ascii="Times New Roman" w:hAnsi="Times New Roman" w:cs="Bookman Old Style"/>
          <w:smallCaps/>
          <w:color w:val="000000"/>
          <w:szCs w:val="20"/>
        </w:rPr>
      </w:pPr>
      <w:r>
        <w:rPr>
          <w:rFonts w:ascii="Times New Roman" w:hAnsi="Times New Roman" w:cs="Bookman Old Style"/>
          <w:smallCaps/>
          <w:color w:val="000000"/>
          <w:szCs w:val="20"/>
        </w:rPr>
        <w:t>Shared Culpability for Relatives’ Crimes</w:t>
      </w:r>
    </w:p>
    <w:p w:rsidR="001C5440" w:rsidRPr="00717C20" w:rsidRDefault="001C5440" w:rsidP="00E41716">
      <w:pPr>
        <w:spacing w:line="480" w:lineRule="auto"/>
        <w:ind w:firstLine="720"/>
        <w:contextualSpacing/>
        <w:rPr>
          <w:rFonts w:ascii="Times New Roman" w:hAnsi="Times New Roman" w:cs="Bookman Old Style"/>
          <w:color w:val="000000"/>
          <w:szCs w:val="20"/>
        </w:rPr>
      </w:pPr>
      <w:r w:rsidRPr="00717C20">
        <w:rPr>
          <w:rFonts w:ascii="Times New Roman" w:hAnsi="Times New Roman" w:cs="Bookman Old Style"/>
          <w:color w:val="000000"/>
          <w:szCs w:val="20"/>
        </w:rPr>
        <w:t xml:space="preserve">Although the revolutionary government and </w:t>
      </w:r>
      <w:r>
        <w:rPr>
          <w:rFonts w:ascii="Times New Roman" w:hAnsi="Times New Roman" w:cs="Bookman Old Style"/>
          <w:color w:val="000000"/>
          <w:szCs w:val="20"/>
        </w:rPr>
        <w:t>the Tribunal feared women’s</w:t>
      </w:r>
      <w:r w:rsidRPr="00717C20">
        <w:rPr>
          <w:rFonts w:ascii="Times New Roman" w:hAnsi="Times New Roman" w:cs="Bookman Old Style"/>
          <w:color w:val="000000"/>
          <w:szCs w:val="20"/>
        </w:rPr>
        <w:t xml:space="preserve"> direct and indirect influence within politics, it encouraged and even demanded </w:t>
      </w:r>
      <w:r>
        <w:rPr>
          <w:rFonts w:ascii="Times New Roman" w:hAnsi="Times New Roman" w:cs="Bookman Old Style"/>
          <w:color w:val="000000"/>
          <w:szCs w:val="20"/>
        </w:rPr>
        <w:t>that they wield their influence for other</w:t>
      </w:r>
      <w:r w:rsidRPr="00717C20">
        <w:rPr>
          <w:rFonts w:ascii="Times New Roman" w:hAnsi="Times New Roman" w:cs="Bookman Old Style"/>
          <w:color w:val="000000"/>
          <w:szCs w:val="20"/>
        </w:rPr>
        <w:t xml:space="preserve"> revolutionary matters. </w:t>
      </w:r>
      <w:r>
        <w:rPr>
          <w:rFonts w:ascii="Times New Roman" w:hAnsi="Times New Roman" w:cs="Bookman Old Style"/>
          <w:color w:val="000000"/>
          <w:szCs w:val="20"/>
        </w:rPr>
        <w:t>The Tribunal</w:t>
      </w:r>
      <w:r w:rsidRPr="00717C20">
        <w:rPr>
          <w:rFonts w:ascii="Times New Roman" w:hAnsi="Times New Roman" w:cs="Bookman Old Style"/>
          <w:color w:val="000000"/>
          <w:szCs w:val="20"/>
        </w:rPr>
        <w:t xml:space="preserve"> expected</w:t>
      </w:r>
      <w:r>
        <w:rPr>
          <w:rFonts w:ascii="Times New Roman" w:hAnsi="Times New Roman" w:cs="Bookman Old Style"/>
          <w:color w:val="000000"/>
          <w:szCs w:val="20"/>
        </w:rPr>
        <w:t xml:space="preserve"> women</w:t>
      </w:r>
      <w:r w:rsidRPr="00717C20">
        <w:rPr>
          <w:rFonts w:ascii="Times New Roman" w:hAnsi="Times New Roman" w:cs="Bookman Old Style"/>
          <w:color w:val="000000"/>
          <w:szCs w:val="20"/>
        </w:rPr>
        <w:t xml:space="preserve"> not only to </w:t>
      </w:r>
      <w:r w:rsidRPr="00717C20">
        <w:rPr>
          <w:rFonts w:ascii="Times New Roman" w:hAnsi="Times New Roman" w:cs="Bookman Old Style"/>
          <w:color w:val="000000"/>
          <w:szCs w:val="20"/>
        </w:rPr>
        <w:lastRenderedPageBreak/>
        <w:t>inculcate revolutionary values, but also to vehemently oppose counterrevolutionary tendencies among their kin. Women, the logic follows</w:t>
      </w:r>
      <w:r>
        <w:rPr>
          <w:rFonts w:ascii="Times New Roman" w:hAnsi="Times New Roman" w:cs="Bookman Old Style"/>
          <w:color w:val="000000"/>
          <w:szCs w:val="20"/>
        </w:rPr>
        <w:t>, were also</w:t>
      </w:r>
      <w:r w:rsidRPr="00717C20">
        <w:rPr>
          <w:rFonts w:ascii="Times New Roman" w:hAnsi="Times New Roman" w:cs="Bookman Old Style"/>
          <w:color w:val="000000"/>
          <w:szCs w:val="20"/>
        </w:rPr>
        <w:t xml:space="preserve"> responsible for the counterrevolutionary actions of their families. </w:t>
      </w:r>
    </w:p>
    <w:p w:rsidR="001C5440" w:rsidRPr="00717C20" w:rsidRDefault="001C5440" w:rsidP="00E41716">
      <w:pPr>
        <w:spacing w:line="480" w:lineRule="auto"/>
        <w:ind w:firstLine="720"/>
        <w:contextualSpacing/>
        <w:rPr>
          <w:rFonts w:ascii="Times New Roman" w:hAnsi="Times New Roman" w:cs="Bookman Old Style"/>
          <w:color w:val="000000"/>
          <w:szCs w:val="20"/>
        </w:rPr>
      </w:pPr>
      <w:r w:rsidRPr="00717C20">
        <w:rPr>
          <w:rFonts w:ascii="Times New Roman" w:hAnsi="Times New Roman" w:cs="Bookman Old Style"/>
          <w:color w:val="000000"/>
          <w:szCs w:val="20"/>
        </w:rPr>
        <w:t xml:space="preserve">Jean Jacques Rousseau </w:t>
      </w:r>
      <w:r>
        <w:rPr>
          <w:rFonts w:ascii="Times New Roman" w:hAnsi="Times New Roman" w:cs="Bookman Old Style"/>
          <w:color w:val="000000"/>
          <w:szCs w:val="20"/>
        </w:rPr>
        <w:t>helped cultivate t</w:t>
      </w:r>
      <w:r w:rsidRPr="00717C20">
        <w:rPr>
          <w:rFonts w:ascii="Times New Roman" w:hAnsi="Times New Roman" w:cs="Bookman Old Style"/>
          <w:color w:val="000000"/>
          <w:szCs w:val="20"/>
        </w:rPr>
        <w:t>his</w:t>
      </w:r>
      <w:r>
        <w:rPr>
          <w:rFonts w:ascii="Times New Roman" w:hAnsi="Times New Roman" w:cs="Bookman Old Style"/>
          <w:color w:val="000000"/>
          <w:szCs w:val="20"/>
        </w:rPr>
        <w:t xml:space="preserve"> stylized and overly simplistic understanding of women’s role in society</w:t>
      </w:r>
      <w:r w:rsidRPr="00717C20">
        <w:rPr>
          <w:rFonts w:ascii="Times New Roman" w:hAnsi="Times New Roman" w:cs="Bookman Old Style"/>
          <w:color w:val="000000"/>
          <w:szCs w:val="20"/>
        </w:rPr>
        <w:t xml:space="preserve">. Like the Tribunal, Rousseau formally denied women a position within </w:t>
      </w:r>
      <w:r>
        <w:rPr>
          <w:rFonts w:ascii="Times New Roman" w:hAnsi="Times New Roman" w:cs="Bookman Old Style"/>
          <w:color w:val="000000"/>
          <w:szCs w:val="20"/>
        </w:rPr>
        <w:t>politics</w:t>
      </w:r>
      <w:r w:rsidRPr="00717C20">
        <w:rPr>
          <w:rFonts w:ascii="Times New Roman" w:hAnsi="Times New Roman" w:cs="Bookman Old Style"/>
          <w:color w:val="000000"/>
          <w:szCs w:val="20"/>
        </w:rPr>
        <w:t xml:space="preserve">, but nonetheless recognized the influence and power </w:t>
      </w:r>
      <w:r>
        <w:rPr>
          <w:rFonts w:ascii="Times New Roman" w:hAnsi="Times New Roman" w:cs="Bookman Old Style"/>
          <w:color w:val="000000"/>
          <w:szCs w:val="20"/>
        </w:rPr>
        <w:t>of women within their own domain</w:t>
      </w:r>
      <w:r w:rsidRPr="00717C20">
        <w:rPr>
          <w:rFonts w:ascii="Times New Roman" w:hAnsi="Times New Roman" w:cs="Bookman Old Style"/>
          <w:color w:val="000000"/>
          <w:szCs w:val="20"/>
        </w:rPr>
        <w:t>, the family.</w:t>
      </w:r>
      <w:r w:rsidRPr="00717C20">
        <w:rPr>
          <w:rStyle w:val="FootnoteReference"/>
          <w:rFonts w:ascii="Times New Roman" w:hAnsi="Times New Roman" w:cs="Bookman Old Style"/>
          <w:color w:val="000000"/>
          <w:szCs w:val="20"/>
        </w:rPr>
        <w:footnoteReference w:id="59"/>
      </w:r>
      <w:r w:rsidRPr="00717C20">
        <w:rPr>
          <w:rFonts w:ascii="Times New Roman" w:hAnsi="Times New Roman" w:cs="Bookman Old Style"/>
          <w:color w:val="000000"/>
          <w:szCs w:val="20"/>
        </w:rPr>
        <w:t xml:space="preserve"> Rousseau’s Sophie—</w:t>
      </w:r>
      <w:r>
        <w:rPr>
          <w:rFonts w:ascii="Times New Roman" w:hAnsi="Times New Roman" w:cs="Bookman Old Style"/>
          <w:color w:val="000000"/>
          <w:szCs w:val="20"/>
        </w:rPr>
        <w:t>a paradigm of chastity</w:t>
      </w:r>
      <w:r w:rsidRPr="00717C20">
        <w:rPr>
          <w:rFonts w:ascii="Times New Roman" w:hAnsi="Times New Roman" w:cs="Bookman Old Style"/>
          <w:color w:val="000000"/>
          <w:szCs w:val="20"/>
        </w:rPr>
        <w:t>, domestic</w:t>
      </w:r>
      <w:r>
        <w:rPr>
          <w:rFonts w:ascii="Times New Roman" w:hAnsi="Times New Roman" w:cs="Bookman Old Style"/>
          <w:color w:val="000000"/>
          <w:szCs w:val="20"/>
        </w:rPr>
        <w:t xml:space="preserve">ity, and virtue—profoundly shaped social ideals of the period. </w:t>
      </w:r>
      <w:r w:rsidRPr="00717C20">
        <w:rPr>
          <w:rFonts w:ascii="Times New Roman" w:hAnsi="Times New Roman" w:cs="Bookman Old Style"/>
          <w:color w:val="000000"/>
          <w:szCs w:val="20"/>
        </w:rPr>
        <w:t>Public discourse rejected the</w:t>
      </w:r>
      <w:r>
        <w:rPr>
          <w:rFonts w:ascii="Times New Roman" w:hAnsi="Times New Roman" w:cs="Bookman Old Style"/>
          <w:color w:val="000000"/>
          <w:szCs w:val="20"/>
        </w:rPr>
        <w:t xml:space="preserve"> </w:t>
      </w:r>
      <w:r w:rsidRPr="00717C20">
        <w:rPr>
          <w:rFonts w:ascii="Times New Roman" w:hAnsi="Times New Roman" w:cs="Bookman Old Style"/>
          <w:color w:val="000000"/>
          <w:szCs w:val="20"/>
        </w:rPr>
        <w:t>illicit inf</w:t>
      </w:r>
      <w:r>
        <w:rPr>
          <w:rFonts w:ascii="Times New Roman" w:hAnsi="Times New Roman" w:cs="Bookman Old Style"/>
          <w:color w:val="000000"/>
          <w:szCs w:val="20"/>
        </w:rPr>
        <w:t>luence of mistresses and</w:t>
      </w:r>
      <w:r w:rsidRPr="00717C20">
        <w:rPr>
          <w:rFonts w:ascii="Times New Roman" w:hAnsi="Times New Roman" w:cs="Bookman Old Style"/>
          <w:color w:val="000000"/>
          <w:szCs w:val="20"/>
        </w:rPr>
        <w:t xml:space="preserve"> wives within politics and instead afforded women moral authority </w:t>
      </w:r>
      <w:r>
        <w:rPr>
          <w:rFonts w:ascii="Times New Roman" w:hAnsi="Times New Roman" w:cs="Bookman Old Style"/>
          <w:color w:val="000000"/>
          <w:szCs w:val="20"/>
        </w:rPr>
        <w:t>over their husbands and children</w:t>
      </w:r>
      <w:r w:rsidRPr="00717C20">
        <w:rPr>
          <w:rFonts w:ascii="Times New Roman" w:hAnsi="Times New Roman" w:cs="Bookman Old Style"/>
          <w:color w:val="000000"/>
          <w:szCs w:val="20"/>
        </w:rPr>
        <w:t>. While</w:t>
      </w:r>
      <w:r>
        <w:rPr>
          <w:rFonts w:ascii="Times New Roman" w:hAnsi="Times New Roman" w:cs="Bookman Old Style"/>
          <w:color w:val="000000"/>
          <w:szCs w:val="20"/>
        </w:rPr>
        <w:t xml:space="preserve"> society expected</w:t>
      </w:r>
      <w:r w:rsidRPr="00717C20">
        <w:rPr>
          <w:rFonts w:ascii="Times New Roman" w:hAnsi="Times New Roman" w:cs="Bookman Old Style"/>
          <w:color w:val="000000"/>
          <w:szCs w:val="20"/>
        </w:rPr>
        <w:t xml:space="preserve"> men to serve t</w:t>
      </w:r>
      <w:r>
        <w:rPr>
          <w:rFonts w:ascii="Times New Roman" w:hAnsi="Times New Roman" w:cs="Bookman Old Style"/>
          <w:color w:val="000000"/>
          <w:szCs w:val="20"/>
        </w:rPr>
        <w:t>he nation publically, women</w:t>
      </w:r>
      <w:r w:rsidRPr="00717C20">
        <w:rPr>
          <w:rFonts w:ascii="Times New Roman" w:hAnsi="Times New Roman" w:cs="Bookman Old Style"/>
          <w:color w:val="000000"/>
          <w:szCs w:val="20"/>
        </w:rPr>
        <w:t xml:space="preserve"> ideally (although often not in re</w:t>
      </w:r>
      <w:r>
        <w:rPr>
          <w:rFonts w:ascii="Times New Roman" w:hAnsi="Times New Roman" w:cs="Bookman Old Style"/>
          <w:color w:val="000000"/>
          <w:szCs w:val="20"/>
        </w:rPr>
        <w:t>ality) played an important, but ultimately supporting role</w:t>
      </w:r>
      <w:r w:rsidRPr="00717C20">
        <w:rPr>
          <w:rFonts w:ascii="Times New Roman" w:hAnsi="Times New Roman" w:cs="Bookman Old Style"/>
          <w:color w:val="000000"/>
          <w:szCs w:val="20"/>
        </w:rPr>
        <w:t>. Olwen Hufton’s vignette clearly illustrates this</w:t>
      </w:r>
      <w:r>
        <w:rPr>
          <w:rFonts w:ascii="Times New Roman" w:hAnsi="Times New Roman" w:cs="Bookman Old Style"/>
          <w:color w:val="000000"/>
          <w:szCs w:val="20"/>
        </w:rPr>
        <w:t xml:space="preserve"> romanticized</w:t>
      </w:r>
      <w:r w:rsidRPr="00717C20">
        <w:rPr>
          <w:rFonts w:ascii="Times New Roman" w:hAnsi="Times New Roman" w:cs="Bookman Old Style"/>
          <w:color w:val="000000"/>
          <w:szCs w:val="20"/>
        </w:rPr>
        <w:t xml:space="preserve"> division. </w:t>
      </w:r>
    </w:p>
    <w:p w:rsidR="001C5440" w:rsidRPr="00717C20" w:rsidRDefault="001C5440" w:rsidP="00E41716">
      <w:pPr>
        <w:ind w:left="720" w:right="720"/>
        <w:contextualSpacing/>
        <w:rPr>
          <w:rFonts w:ascii="Times New Roman" w:hAnsi="Times New Roman" w:cs="Bookman Old Style"/>
          <w:color w:val="000000"/>
          <w:szCs w:val="20"/>
        </w:rPr>
      </w:pPr>
      <w:r w:rsidRPr="00717C20">
        <w:rPr>
          <w:rFonts w:ascii="Times New Roman" w:hAnsi="Times New Roman" w:cs="Bookman Old Style"/>
          <w:color w:val="000000"/>
          <w:szCs w:val="20"/>
        </w:rPr>
        <w:t xml:space="preserve">Public man, like David’s </w:t>
      </w:r>
      <w:r w:rsidRPr="00717C20">
        <w:rPr>
          <w:rFonts w:ascii="Times New Roman" w:hAnsi="Times New Roman" w:cs="Bookman Old Style"/>
          <w:i/>
          <w:color w:val="000000"/>
          <w:szCs w:val="20"/>
        </w:rPr>
        <w:t xml:space="preserve">Horatti </w:t>
      </w:r>
      <w:r w:rsidRPr="00717C20">
        <w:rPr>
          <w:rFonts w:ascii="Times New Roman" w:hAnsi="Times New Roman" w:cs="Bookman Old Style"/>
          <w:color w:val="000000"/>
          <w:szCs w:val="20"/>
        </w:rPr>
        <w:t xml:space="preserve">in one of the most reproduced image of fraternal revolutionary </w:t>
      </w:r>
      <w:r w:rsidRPr="00717C20">
        <w:rPr>
          <w:rFonts w:ascii="Times New Roman" w:hAnsi="Times New Roman" w:cs="Bookman Old Style"/>
          <w:i/>
          <w:color w:val="000000"/>
          <w:szCs w:val="20"/>
        </w:rPr>
        <w:t>Zeitgeist</w:t>
      </w:r>
      <w:r w:rsidRPr="00717C20">
        <w:rPr>
          <w:rFonts w:ascii="Times New Roman" w:hAnsi="Times New Roman" w:cs="Bookman Old Style"/>
          <w:color w:val="000000"/>
          <w:szCs w:val="20"/>
        </w:rPr>
        <w:t xml:space="preserve">, was prepared to lay down his life in defense of republican values. His wife’s only task was to produce and nurture citizens who would count themselves honoured to die for the Republic of </w:t>
      </w:r>
      <w:r w:rsidR="00AD0377" w:rsidRPr="00717C20">
        <w:rPr>
          <w:rFonts w:ascii="Times New Roman" w:hAnsi="Times New Roman" w:cs="Bookman Old Style"/>
          <w:color w:val="000000"/>
          <w:szCs w:val="20"/>
        </w:rPr>
        <w:t>Virtue</w:t>
      </w:r>
      <w:r w:rsidRPr="00717C20">
        <w:rPr>
          <w:rFonts w:ascii="Times New Roman" w:hAnsi="Times New Roman" w:cs="Bookman Old Style"/>
          <w:color w:val="000000"/>
          <w:szCs w:val="20"/>
        </w:rPr>
        <w:t xml:space="preserve">. </w:t>
      </w:r>
      <w:r w:rsidRPr="00717C20">
        <w:rPr>
          <w:rFonts w:ascii="Times New Roman" w:hAnsi="Times New Roman" w:cs="Bookman Old Style"/>
          <w:i/>
          <w:color w:val="000000"/>
          <w:szCs w:val="20"/>
        </w:rPr>
        <w:t>Voilà la citoyenne.</w:t>
      </w:r>
      <w:r w:rsidRPr="00717C20">
        <w:rPr>
          <w:rStyle w:val="FootnoteReference"/>
          <w:rFonts w:ascii="Times New Roman" w:hAnsi="Times New Roman" w:cs="Bookman Old Style"/>
          <w:i/>
          <w:color w:val="000000"/>
          <w:szCs w:val="20"/>
        </w:rPr>
        <w:footnoteReference w:id="60"/>
      </w:r>
      <w:r w:rsidRPr="00717C20">
        <w:rPr>
          <w:rFonts w:ascii="Times New Roman" w:hAnsi="Times New Roman" w:cs="Bookman Old Style"/>
          <w:color w:val="000000"/>
          <w:szCs w:val="20"/>
        </w:rPr>
        <w:t xml:space="preserve"> </w:t>
      </w:r>
    </w:p>
    <w:p w:rsidR="001C5440" w:rsidRPr="00717C20" w:rsidRDefault="001C5440" w:rsidP="00E41716">
      <w:pPr>
        <w:ind w:left="720" w:right="720"/>
        <w:contextualSpacing/>
        <w:rPr>
          <w:rFonts w:ascii="Times New Roman" w:hAnsi="Times New Roman" w:cs="Bookman Old Style"/>
          <w:color w:val="000000"/>
          <w:szCs w:val="20"/>
        </w:rPr>
      </w:pPr>
    </w:p>
    <w:p w:rsidR="001C5440" w:rsidRPr="00717C20" w:rsidRDefault="001C5440" w:rsidP="00E41716">
      <w:pPr>
        <w:spacing w:line="480" w:lineRule="auto"/>
        <w:contextualSpacing/>
        <w:rPr>
          <w:rFonts w:ascii="Times New Roman" w:hAnsi="Times New Roman" w:cs="Bookman Old Style"/>
          <w:color w:val="000000"/>
          <w:szCs w:val="20"/>
        </w:rPr>
      </w:pPr>
      <w:r>
        <w:rPr>
          <w:rFonts w:ascii="Times New Roman" w:hAnsi="Times New Roman" w:cs="Bookman Old Style"/>
          <w:color w:val="000000"/>
          <w:szCs w:val="20"/>
        </w:rPr>
        <w:t>The Tribunal</w:t>
      </w:r>
      <w:r w:rsidRPr="00717C20">
        <w:rPr>
          <w:rFonts w:ascii="Times New Roman" w:hAnsi="Times New Roman" w:cs="Bookman Old Style"/>
          <w:color w:val="000000"/>
          <w:szCs w:val="20"/>
        </w:rPr>
        <w:t xml:space="preserve"> strongly </w:t>
      </w:r>
      <w:r>
        <w:rPr>
          <w:rFonts w:ascii="Times New Roman" w:hAnsi="Times New Roman" w:cs="Bookman Old Style"/>
          <w:color w:val="000000"/>
          <w:szCs w:val="20"/>
        </w:rPr>
        <w:t>advocated the moral responsibility of women within their families.</w:t>
      </w:r>
      <w:r w:rsidRPr="00717C20">
        <w:rPr>
          <w:rFonts w:ascii="Times New Roman" w:hAnsi="Times New Roman" w:cs="Bookman Old Style"/>
          <w:color w:val="000000"/>
          <w:szCs w:val="20"/>
        </w:rPr>
        <w:t xml:space="preserve"> </w:t>
      </w:r>
      <w:r>
        <w:rPr>
          <w:rFonts w:ascii="Times New Roman" w:hAnsi="Times New Roman" w:cs="Bookman Old Style"/>
          <w:color w:val="000000"/>
          <w:szCs w:val="20"/>
        </w:rPr>
        <w:t>The Tribunal did not want women to undertake this task lightly; the future of the Republic depended upon the careful upbringing of new patriots. As a result, the Tribunal</w:t>
      </w:r>
      <w:r w:rsidRPr="00717C20">
        <w:rPr>
          <w:rFonts w:ascii="Times New Roman" w:hAnsi="Times New Roman" w:cs="Bookman Old Style"/>
          <w:color w:val="000000"/>
          <w:szCs w:val="20"/>
        </w:rPr>
        <w:t xml:space="preserve"> consistent</w:t>
      </w:r>
      <w:r>
        <w:rPr>
          <w:rFonts w:ascii="Times New Roman" w:hAnsi="Times New Roman" w:cs="Bookman Old Style"/>
          <w:color w:val="000000"/>
          <w:szCs w:val="20"/>
        </w:rPr>
        <w:t xml:space="preserve">ly held </w:t>
      </w:r>
      <w:r w:rsidRPr="00717C20">
        <w:rPr>
          <w:rFonts w:ascii="Times New Roman" w:hAnsi="Times New Roman" w:cs="Bookman Old Style"/>
          <w:color w:val="000000"/>
          <w:szCs w:val="20"/>
        </w:rPr>
        <w:t>women responsible for the counterrevolutionary actions of their children and male relatives, ev</w:t>
      </w:r>
      <w:r>
        <w:rPr>
          <w:rFonts w:ascii="Times New Roman" w:hAnsi="Times New Roman" w:cs="Bookman Old Style"/>
          <w:color w:val="000000"/>
          <w:szCs w:val="20"/>
        </w:rPr>
        <w:t>en when the female defendant herself</w:t>
      </w:r>
      <w:r w:rsidRPr="00717C20">
        <w:rPr>
          <w:rFonts w:ascii="Times New Roman" w:hAnsi="Times New Roman" w:cs="Bookman Old Style"/>
          <w:color w:val="000000"/>
          <w:szCs w:val="20"/>
        </w:rPr>
        <w:t xml:space="preserve"> committed no credible crime.</w:t>
      </w:r>
      <w:r w:rsidR="007E0037">
        <w:rPr>
          <w:rFonts w:ascii="Times New Roman" w:hAnsi="Times New Roman" w:cs="Bookman Old Style"/>
          <w:color w:val="000000"/>
          <w:szCs w:val="20"/>
        </w:rPr>
        <w:t xml:space="preserve"> </w:t>
      </w:r>
    </w:p>
    <w:p w:rsidR="001C5440" w:rsidRPr="00717C20" w:rsidRDefault="001C5440" w:rsidP="00E41716">
      <w:pPr>
        <w:spacing w:line="480" w:lineRule="auto"/>
        <w:contextualSpacing/>
        <w:rPr>
          <w:rFonts w:ascii="Times New Roman" w:hAnsi="Times New Roman" w:cs="Bookman Old Style"/>
          <w:color w:val="000000"/>
          <w:szCs w:val="20"/>
        </w:rPr>
      </w:pPr>
      <w:r w:rsidRPr="00717C20">
        <w:rPr>
          <w:rFonts w:ascii="Times New Roman" w:hAnsi="Times New Roman" w:cs="Bookman Old Style"/>
          <w:color w:val="000000"/>
          <w:szCs w:val="20"/>
        </w:rPr>
        <w:lastRenderedPageBreak/>
        <w:tab/>
        <w:t>Louise-Catherine-Angélique Lefèvre, veuve Ricard, ha</w:t>
      </w:r>
      <w:r>
        <w:rPr>
          <w:rFonts w:ascii="Times New Roman" w:hAnsi="Times New Roman" w:cs="Bookman Old Style"/>
          <w:color w:val="000000"/>
          <w:szCs w:val="20"/>
        </w:rPr>
        <w:t>d the unfortunate position</w:t>
      </w:r>
      <w:r w:rsidRPr="00717C20">
        <w:rPr>
          <w:rFonts w:ascii="Times New Roman" w:hAnsi="Times New Roman" w:cs="Bookman Old Style"/>
          <w:color w:val="000000"/>
          <w:szCs w:val="20"/>
        </w:rPr>
        <w:t xml:space="preserve"> of being the </w:t>
      </w:r>
      <w:r w:rsidRPr="00717C20">
        <w:rPr>
          <w:rFonts w:ascii="Times New Roman" w:hAnsi="Times New Roman" w:cs="Bookman Old Style"/>
          <w:i/>
          <w:color w:val="000000"/>
          <w:szCs w:val="20"/>
        </w:rPr>
        <w:t xml:space="preserve">belle-mère </w:t>
      </w:r>
      <w:r>
        <w:rPr>
          <w:rFonts w:ascii="Times New Roman" w:hAnsi="Times New Roman" w:cs="Bookman Old Style"/>
          <w:color w:val="000000"/>
          <w:szCs w:val="20"/>
        </w:rPr>
        <w:t xml:space="preserve">of </w:t>
      </w:r>
      <w:r w:rsidRPr="00717C20">
        <w:rPr>
          <w:rFonts w:ascii="Times New Roman" w:hAnsi="Times New Roman" w:cs="Bookman Old Style"/>
          <w:color w:val="000000"/>
          <w:szCs w:val="20"/>
        </w:rPr>
        <w:t>Jérome Pétion.</w:t>
      </w:r>
      <w:r w:rsidRPr="00717C20">
        <w:rPr>
          <w:rStyle w:val="FootnoteReference"/>
          <w:rFonts w:ascii="Times New Roman" w:hAnsi="Times New Roman" w:cs="Bookman Old Style"/>
          <w:color w:val="000000"/>
          <w:szCs w:val="20"/>
        </w:rPr>
        <w:footnoteReference w:id="61"/>
      </w:r>
      <w:r w:rsidRPr="00717C20">
        <w:rPr>
          <w:rFonts w:ascii="Times New Roman" w:hAnsi="Times New Roman" w:cs="Bookman Old Style"/>
          <w:color w:val="000000"/>
          <w:szCs w:val="20"/>
        </w:rPr>
        <w:t xml:space="preserve"> Trained as a lawyer, Pétion gained prominence through his career in revolutionary politics and eventually </w:t>
      </w:r>
      <w:r>
        <w:rPr>
          <w:rFonts w:ascii="Times New Roman" w:hAnsi="Times New Roman" w:cs="Bookman Old Style"/>
          <w:color w:val="000000"/>
          <w:szCs w:val="20"/>
        </w:rPr>
        <w:t>became</w:t>
      </w:r>
      <w:r w:rsidRPr="00717C20">
        <w:rPr>
          <w:rFonts w:ascii="Times New Roman" w:hAnsi="Times New Roman" w:cs="Bookman Old Style"/>
          <w:color w:val="000000"/>
          <w:szCs w:val="20"/>
        </w:rPr>
        <w:t xml:space="preserve"> a member of the Committee of Public Sa</w:t>
      </w:r>
      <w:r>
        <w:rPr>
          <w:rFonts w:ascii="Times New Roman" w:hAnsi="Times New Roman" w:cs="Bookman Old Style"/>
          <w:color w:val="000000"/>
          <w:szCs w:val="20"/>
        </w:rPr>
        <w:t>fety in March of 1793. After Pétion’s</w:t>
      </w:r>
      <w:r w:rsidRPr="00717C20">
        <w:rPr>
          <w:rFonts w:ascii="Times New Roman" w:hAnsi="Times New Roman" w:cs="Bookman Old Style"/>
          <w:color w:val="000000"/>
          <w:szCs w:val="20"/>
        </w:rPr>
        <w:t xml:space="preserve"> appointment, Robespierre </w:t>
      </w:r>
      <w:r>
        <w:rPr>
          <w:rFonts w:ascii="Times New Roman" w:hAnsi="Times New Roman" w:cs="Bookman Old Style"/>
          <w:color w:val="000000"/>
          <w:szCs w:val="20"/>
        </w:rPr>
        <w:t>claimed</w:t>
      </w:r>
      <w:r w:rsidRPr="00717C20">
        <w:rPr>
          <w:rFonts w:ascii="Times New Roman" w:hAnsi="Times New Roman" w:cs="Bookman Old Style"/>
          <w:color w:val="000000"/>
          <w:szCs w:val="20"/>
        </w:rPr>
        <w:t xml:space="preserve"> </w:t>
      </w:r>
      <w:r>
        <w:rPr>
          <w:rFonts w:ascii="Times New Roman" w:hAnsi="Times New Roman" w:cs="Bookman Old Style"/>
          <w:color w:val="000000"/>
          <w:szCs w:val="20"/>
        </w:rPr>
        <w:t>he knew of and supported G</w:t>
      </w:r>
      <w:r w:rsidRPr="00717C20">
        <w:rPr>
          <w:rFonts w:ascii="Times New Roman" w:hAnsi="Times New Roman" w:cs="Bookman Old Style"/>
          <w:color w:val="000000"/>
          <w:szCs w:val="20"/>
        </w:rPr>
        <w:t xml:space="preserve">eneral Dumoriez’s treason plot. Pétion fled </w:t>
      </w:r>
      <w:r>
        <w:rPr>
          <w:rFonts w:ascii="Times New Roman" w:hAnsi="Times New Roman" w:cs="Bookman Old Style"/>
          <w:color w:val="000000"/>
          <w:szCs w:val="20"/>
        </w:rPr>
        <w:t>to Caen soon after he was</w:t>
      </w:r>
      <w:r w:rsidRPr="00717C20">
        <w:rPr>
          <w:rFonts w:ascii="Times New Roman" w:hAnsi="Times New Roman" w:cs="Bookman Old Style"/>
          <w:color w:val="000000"/>
          <w:szCs w:val="20"/>
        </w:rPr>
        <w:t xml:space="preserve"> </w:t>
      </w:r>
      <w:r>
        <w:rPr>
          <w:rFonts w:ascii="Times New Roman" w:hAnsi="Times New Roman" w:cs="Bookman Old Style"/>
          <w:color w:val="000000"/>
          <w:szCs w:val="20"/>
        </w:rPr>
        <w:t>included on the list of twenty-two Girodin</w:t>
      </w:r>
      <w:r w:rsidRPr="00717C20">
        <w:rPr>
          <w:rFonts w:ascii="Times New Roman" w:hAnsi="Times New Roman" w:cs="Bookman Old Style"/>
          <w:color w:val="000000"/>
          <w:szCs w:val="20"/>
        </w:rPr>
        <w:t xml:space="preserve">s guilty of </w:t>
      </w:r>
      <w:r>
        <w:rPr>
          <w:rFonts w:ascii="Times New Roman" w:hAnsi="Times New Roman" w:cs="Bookman Old Style"/>
          <w:color w:val="000000"/>
          <w:szCs w:val="20"/>
        </w:rPr>
        <w:t xml:space="preserve">counterrevolutionary activities. </w:t>
      </w:r>
      <w:r w:rsidRPr="00717C20">
        <w:rPr>
          <w:rFonts w:ascii="Times New Roman" w:hAnsi="Times New Roman" w:cs="Bookman Old Style"/>
          <w:color w:val="000000"/>
          <w:szCs w:val="20"/>
        </w:rPr>
        <w:t>Fearing arrest, he took his own life to escape the clutches of the guillotine.</w:t>
      </w:r>
      <w:r w:rsidRPr="00717C20">
        <w:rPr>
          <w:rStyle w:val="FootnoteReference"/>
          <w:rFonts w:ascii="Times New Roman" w:hAnsi="Times New Roman" w:cs="Bookman Old Style"/>
          <w:color w:val="000000"/>
          <w:szCs w:val="20"/>
        </w:rPr>
        <w:footnoteReference w:id="62"/>
      </w:r>
    </w:p>
    <w:p w:rsidR="001C5440" w:rsidRPr="00717C20" w:rsidRDefault="001C5440" w:rsidP="00E41716">
      <w:pPr>
        <w:spacing w:line="480" w:lineRule="auto"/>
        <w:ind w:firstLine="720"/>
        <w:contextualSpacing/>
        <w:rPr>
          <w:rFonts w:ascii="Times New Roman" w:hAnsi="Times New Roman" w:cs="Bookman Old Style"/>
          <w:color w:val="000000"/>
          <w:szCs w:val="20"/>
        </w:rPr>
      </w:pPr>
      <w:r w:rsidRPr="00717C20">
        <w:rPr>
          <w:rFonts w:ascii="Times New Roman" w:hAnsi="Times New Roman" w:cs="Bookman Old Style"/>
          <w:color w:val="000000"/>
          <w:szCs w:val="20"/>
        </w:rPr>
        <w:t>The actions of veuve Ricard lack the dramatic flair and political content of Pétion</w:t>
      </w:r>
      <w:r>
        <w:rPr>
          <w:rFonts w:ascii="Times New Roman" w:hAnsi="Times New Roman" w:cs="Bookman Old Style"/>
          <w:color w:val="000000"/>
          <w:szCs w:val="20"/>
        </w:rPr>
        <w:t>’s</w:t>
      </w:r>
      <w:r w:rsidRPr="00717C20">
        <w:rPr>
          <w:rFonts w:ascii="Times New Roman" w:hAnsi="Times New Roman" w:cs="Bookman Old Style"/>
          <w:color w:val="000000"/>
          <w:szCs w:val="20"/>
        </w:rPr>
        <w:t>. The Tribunal, which assiduously recorded the occupation of each and every defendant, chose to list hers as “belle-mère de Pétion.”</w:t>
      </w:r>
      <w:r w:rsidRPr="00717C20">
        <w:rPr>
          <w:rStyle w:val="FootnoteReference"/>
          <w:rFonts w:ascii="Times New Roman" w:hAnsi="Times New Roman" w:cs="Bookman Old Style"/>
          <w:color w:val="000000"/>
          <w:szCs w:val="20"/>
        </w:rPr>
        <w:footnoteReference w:id="63"/>
      </w:r>
      <w:r w:rsidRPr="00717C20">
        <w:rPr>
          <w:rFonts w:ascii="Times New Roman" w:hAnsi="Times New Roman" w:cs="Bookman Old Style"/>
          <w:color w:val="000000"/>
          <w:szCs w:val="20"/>
        </w:rPr>
        <w:t xml:space="preserve"> While</w:t>
      </w:r>
      <w:r>
        <w:rPr>
          <w:rFonts w:ascii="Times New Roman" w:hAnsi="Times New Roman" w:cs="Bookman Old Style"/>
          <w:color w:val="000000"/>
          <w:szCs w:val="20"/>
        </w:rPr>
        <w:t xml:space="preserve"> the Tribunal marked</w:t>
      </w:r>
      <w:r w:rsidRPr="00717C20">
        <w:rPr>
          <w:rFonts w:ascii="Times New Roman" w:hAnsi="Times New Roman" w:cs="Bookman Old Style"/>
          <w:color w:val="000000"/>
          <w:szCs w:val="20"/>
        </w:rPr>
        <w:t xml:space="preserve"> other women who lacked a clea</w:t>
      </w:r>
      <w:r>
        <w:rPr>
          <w:rFonts w:ascii="Times New Roman" w:hAnsi="Times New Roman" w:cs="Bookman Old Style"/>
          <w:color w:val="000000"/>
          <w:szCs w:val="20"/>
        </w:rPr>
        <w:t>r profession as</w:t>
      </w:r>
      <w:r w:rsidRPr="00717C20">
        <w:rPr>
          <w:rFonts w:ascii="Times New Roman" w:hAnsi="Times New Roman" w:cs="Bookman Old Style"/>
          <w:color w:val="000000"/>
          <w:szCs w:val="20"/>
        </w:rPr>
        <w:t xml:space="preserve"> “</w:t>
      </w:r>
      <w:r w:rsidRPr="00717C20">
        <w:rPr>
          <w:rFonts w:ascii="Times New Roman" w:hAnsi="Times New Roman" w:cs="Bookman Old Style"/>
          <w:i/>
          <w:color w:val="000000"/>
          <w:szCs w:val="20"/>
        </w:rPr>
        <w:t xml:space="preserve">sans profession,” </w:t>
      </w:r>
      <w:r>
        <w:rPr>
          <w:rFonts w:ascii="Times New Roman" w:hAnsi="Times New Roman" w:cs="Bookman Old Style"/>
          <w:color w:val="000000"/>
          <w:szCs w:val="20"/>
        </w:rPr>
        <w:t>it</w:t>
      </w:r>
      <w:r w:rsidRPr="00717C20">
        <w:rPr>
          <w:rFonts w:ascii="Times New Roman" w:hAnsi="Times New Roman" w:cs="Bookman Old Style"/>
          <w:color w:val="000000"/>
          <w:szCs w:val="20"/>
        </w:rPr>
        <w:t xml:space="preserve"> wanted to emphasize her relationship to the disgraced politician.</w:t>
      </w:r>
      <w:r w:rsidRPr="00717C20">
        <w:rPr>
          <w:rStyle w:val="FootnoteReference"/>
          <w:rFonts w:ascii="Times New Roman" w:hAnsi="Times New Roman" w:cs="Bookman Old Style"/>
          <w:color w:val="000000"/>
          <w:szCs w:val="20"/>
        </w:rPr>
        <w:footnoteReference w:id="64"/>
      </w:r>
      <w:r>
        <w:rPr>
          <w:rFonts w:ascii="Times New Roman" w:hAnsi="Times New Roman" w:cs="Bookman Old Style"/>
          <w:color w:val="000000"/>
          <w:szCs w:val="20"/>
        </w:rPr>
        <w:t xml:space="preserve"> Although Old Regime society also defined women vis-à-vis their husband, the practice continued within the Revolutionary Tribunal only when the court wanted to strongly emphasize the defendants’ moral failure.</w:t>
      </w:r>
      <w:r>
        <w:rPr>
          <w:rStyle w:val="FootnoteReference"/>
          <w:rFonts w:ascii="Times New Roman" w:hAnsi="Times New Roman" w:cs="Bookman Old Style"/>
          <w:color w:val="000000"/>
          <w:szCs w:val="20"/>
        </w:rPr>
        <w:footnoteReference w:id="65"/>
      </w:r>
      <w:r>
        <w:rPr>
          <w:rFonts w:ascii="Times New Roman" w:hAnsi="Times New Roman" w:cs="Bookman Old Style"/>
          <w:color w:val="000000"/>
          <w:szCs w:val="20"/>
        </w:rPr>
        <w:t xml:space="preserve"> Indicted officially for “unpatriotic</w:t>
      </w:r>
      <w:r w:rsidRPr="00717C20">
        <w:rPr>
          <w:rFonts w:ascii="Times New Roman" w:hAnsi="Times New Roman" w:cs="Bookman Old Style"/>
          <w:color w:val="000000"/>
          <w:szCs w:val="20"/>
        </w:rPr>
        <w:t xml:space="preserve"> opinions, tending to the reestablishment of royalty,” </w:t>
      </w:r>
      <w:r>
        <w:rPr>
          <w:rFonts w:ascii="Times New Roman" w:hAnsi="Times New Roman" w:cs="Bookman Old Style"/>
          <w:color w:val="000000"/>
          <w:szCs w:val="20"/>
        </w:rPr>
        <w:t xml:space="preserve">the Tribunal cited </w:t>
      </w:r>
      <w:r w:rsidRPr="00717C20">
        <w:rPr>
          <w:rFonts w:ascii="Times New Roman" w:hAnsi="Times New Roman" w:cs="Bookman Old Style"/>
          <w:color w:val="000000"/>
          <w:szCs w:val="20"/>
        </w:rPr>
        <w:t xml:space="preserve">no specific example or evidence </w:t>
      </w:r>
      <w:r>
        <w:rPr>
          <w:rFonts w:ascii="Times New Roman" w:hAnsi="Times New Roman" w:cs="Bookman Old Style"/>
          <w:color w:val="000000"/>
          <w:szCs w:val="20"/>
        </w:rPr>
        <w:t>for</w:t>
      </w:r>
      <w:r w:rsidRPr="00717C20">
        <w:rPr>
          <w:rFonts w:ascii="Times New Roman" w:hAnsi="Times New Roman" w:cs="Bookman Old Style"/>
          <w:color w:val="000000"/>
          <w:szCs w:val="20"/>
        </w:rPr>
        <w:t xml:space="preserve"> these counterrevolutionary opinions.</w:t>
      </w:r>
      <w:r w:rsidRPr="00717C20">
        <w:rPr>
          <w:rStyle w:val="FootnoteReference"/>
          <w:rFonts w:ascii="Times New Roman" w:hAnsi="Times New Roman" w:cs="Bookman Old Style"/>
          <w:color w:val="000000"/>
          <w:szCs w:val="20"/>
        </w:rPr>
        <w:footnoteReference w:id="66"/>
      </w:r>
      <w:r w:rsidRPr="00717C20">
        <w:rPr>
          <w:rFonts w:ascii="Times New Roman" w:hAnsi="Times New Roman" w:cs="Bookman Old Style"/>
          <w:color w:val="000000"/>
          <w:szCs w:val="20"/>
        </w:rPr>
        <w:t xml:space="preserve"> Under a thinly veiled pretext, </w:t>
      </w:r>
      <w:r>
        <w:rPr>
          <w:rFonts w:ascii="Times New Roman" w:hAnsi="Times New Roman" w:cs="Bookman Old Style"/>
          <w:color w:val="000000"/>
          <w:szCs w:val="20"/>
        </w:rPr>
        <w:t xml:space="preserve">the Tribunal held veuve Ricard unceremoniously </w:t>
      </w:r>
      <w:r w:rsidRPr="00717C20">
        <w:rPr>
          <w:rFonts w:ascii="Times New Roman" w:hAnsi="Times New Roman" w:cs="Bookman Old Style"/>
          <w:color w:val="000000"/>
          <w:szCs w:val="20"/>
        </w:rPr>
        <w:t>accountable for the perceived c</w:t>
      </w:r>
      <w:r>
        <w:rPr>
          <w:rFonts w:ascii="Times New Roman" w:hAnsi="Times New Roman" w:cs="Bookman Old Style"/>
          <w:color w:val="000000"/>
          <w:szCs w:val="20"/>
        </w:rPr>
        <w:t>ounterrevolution of Pétion. The judge and jury swiftly condemned her to the guillotine.</w:t>
      </w:r>
    </w:p>
    <w:p w:rsidR="001C5440" w:rsidRPr="00717C20" w:rsidRDefault="001C5440" w:rsidP="00E41716">
      <w:pPr>
        <w:spacing w:line="480" w:lineRule="auto"/>
        <w:ind w:firstLine="720"/>
        <w:contextualSpacing/>
        <w:rPr>
          <w:rFonts w:ascii="Times New Roman" w:hAnsi="Times New Roman" w:cs="Bookman Old Style"/>
          <w:color w:val="000000"/>
          <w:szCs w:val="20"/>
        </w:rPr>
      </w:pPr>
      <w:r w:rsidRPr="00717C20">
        <w:rPr>
          <w:rFonts w:ascii="Times New Roman" w:hAnsi="Times New Roman" w:cs="Bookman Old Style"/>
          <w:color w:val="000000"/>
          <w:szCs w:val="20"/>
        </w:rPr>
        <w:lastRenderedPageBreak/>
        <w:t>Jeanne-Daniel Chapus-Dubost, femme Teyras, suffered a similar, if not quite as dramatic, fate due to the counterrevolutionary actions of her husband and two sons.</w:t>
      </w:r>
      <w:r w:rsidRPr="00717C20">
        <w:rPr>
          <w:rStyle w:val="FootnoteReference"/>
          <w:rFonts w:ascii="Times New Roman" w:hAnsi="Times New Roman" w:cs="Bookman Old Style"/>
          <w:color w:val="000000"/>
          <w:szCs w:val="20"/>
        </w:rPr>
        <w:footnoteReference w:id="67"/>
      </w:r>
      <w:r w:rsidRPr="00717C20">
        <w:rPr>
          <w:rFonts w:ascii="Times New Roman" w:hAnsi="Times New Roman" w:cs="Bookman Old Style"/>
          <w:color w:val="000000"/>
          <w:szCs w:val="20"/>
        </w:rPr>
        <w:t xml:space="preserve"> </w:t>
      </w:r>
      <w:r>
        <w:rPr>
          <w:rFonts w:ascii="Times New Roman" w:hAnsi="Times New Roman" w:cs="Bookman Old Style"/>
          <w:color w:val="000000"/>
          <w:szCs w:val="20"/>
        </w:rPr>
        <w:t>The Tribunal tried a</w:t>
      </w:r>
      <w:r w:rsidRPr="00717C20">
        <w:rPr>
          <w:rFonts w:ascii="Times New Roman" w:hAnsi="Times New Roman" w:cs="Bookman Old Style"/>
          <w:color w:val="000000"/>
          <w:szCs w:val="20"/>
        </w:rPr>
        <w:t xml:space="preserve">ll four family members </w:t>
      </w:r>
      <w:r>
        <w:rPr>
          <w:rFonts w:ascii="Times New Roman" w:hAnsi="Times New Roman" w:cs="Bookman Old Style"/>
          <w:color w:val="000000"/>
          <w:szCs w:val="20"/>
        </w:rPr>
        <w:t>as one group, but accused each family member of related but fundamentally different crimes in</w:t>
      </w:r>
      <w:r w:rsidRPr="00717C20">
        <w:rPr>
          <w:rFonts w:ascii="Times New Roman" w:hAnsi="Times New Roman" w:cs="Bookman Old Style"/>
          <w:color w:val="000000"/>
          <w:szCs w:val="20"/>
        </w:rPr>
        <w:t xml:space="preserve"> the official </w:t>
      </w:r>
      <w:r w:rsidRPr="00717C20">
        <w:rPr>
          <w:rFonts w:ascii="Times New Roman" w:hAnsi="Times New Roman" w:cs="Bookman Old Style"/>
          <w:i/>
          <w:color w:val="000000"/>
          <w:szCs w:val="20"/>
        </w:rPr>
        <w:t>Acte d’Accusation.</w:t>
      </w:r>
      <w:r w:rsidRPr="00717C20">
        <w:rPr>
          <w:rFonts w:ascii="Times New Roman" w:hAnsi="Times New Roman" w:cs="Bookman Old Style"/>
          <w:color w:val="000000"/>
          <w:szCs w:val="20"/>
        </w:rPr>
        <w:t xml:space="preserve"> The accusation, phra</w:t>
      </w:r>
      <w:r>
        <w:rPr>
          <w:rFonts w:ascii="Times New Roman" w:hAnsi="Times New Roman" w:cs="Bookman Old Style"/>
          <w:color w:val="000000"/>
          <w:szCs w:val="20"/>
        </w:rPr>
        <w:t>sed as a question, first demanded</w:t>
      </w:r>
      <w:r w:rsidRPr="00717C20">
        <w:rPr>
          <w:rFonts w:ascii="Times New Roman" w:hAnsi="Times New Roman" w:cs="Bookman Old Style"/>
          <w:color w:val="000000"/>
          <w:szCs w:val="20"/>
        </w:rPr>
        <w:t xml:space="preserve"> of the father: “</w:t>
      </w:r>
      <w:r>
        <w:rPr>
          <w:rFonts w:ascii="Times New Roman" w:hAnsi="Times New Roman" w:cs="Bookman Old Style"/>
          <w:color w:val="000000"/>
          <w:szCs w:val="20"/>
        </w:rPr>
        <w:t>did you not post [a broadsheet] condemning the proclamation of the events of 20 June?</w:t>
      </w:r>
      <w:r w:rsidRPr="00717C20">
        <w:rPr>
          <w:rFonts w:ascii="Times New Roman" w:hAnsi="Times New Roman" w:cs="Bookman Old Style"/>
          <w:color w:val="000000"/>
          <w:szCs w:val="20"/>
        </w:rPr>
        <w:t xml:space="preserve">” </w:t>
      </w:r>
      <w:r>
        <w:rPr>
          <w:rFonts w:ascii="Times New Roman" w:hAnsi="Times New Roman" w:cs="Bookman Old Style"/>
          <w:color w:val="000000"/>
          <w:szCs w:val="20"/>
        </w:rPr>
        <w:t>It next accused the two sons</w:t>
      </w:r>
      <w:r w:rsidRPr="00717C20">
        <w:rPr>
          <w:rFonts w:ascii="Times New Roman" w:hAnsi="Times New Roman" w:cs="Bookman Old Style"/>
          <w:color w:val="000000"/>
          <w:szCs w:val="20"/>
        </w:rPr>
        <w:t>: “have you not held counterrevolutionary opinions?” Last,</w:t>
      </w:r>
      <w:r>
        <w:rPr>
          <w:rFonts w:ascii="Times New Roman" w:hAnsi="Times New Roman" w:cs="Bookman Old Style"/>
          <w:color w:val="000000"/>
          <w:szCs w:val="20"/>
        </w:rPr>
        <w:t xml:space="preserve"> the Tribunal charges femme Teyras</w:t>
      </w:r>
      <w:r w:rsidRPr="00717C20">
        <w:rPr>
          <w:rFonts w:ascii="Times New Roman" w:hAnsi="Times New Roman" w:cs="Bookman Old Style"/>
          <w:color w:val="000000"/>
          <w:szCs w:val="20"/>
        </w:rPr>
        <w:t>: “do you know the Dubosts?”</w:t>
      </w:r>
      <w:r w:rsidRPr="00717C20">
        <w:rPr>
          <w:rStyle w:val="FootnoteReference"/>
          <w:rFonts w:ascii="Times New Roman" w:hAnsi="Times New Roman" w:cs="Bookman Old Style"/>
          <w:color w:val="000000"/>
          <w:szCs w:val="20"/>
        </w:rPr>
        <w:footnoteReference w:id="68"/>
      </w:r>
      <w:r>
        <w:rPr>
          <w:rFonts w:ascii="Times New Roman" w:hAnsi="Times New Roman" w:cs="Bookman Old Style"/>
          <w:color w:val="000000"/>
          <w:szCs w:val="20"/>
        </w:rPr>
        <w:t xml:space="preserve"> The </w:t>
      </w:r>
      <w:r>
        <w:rPr>
          <w:rFonts w:ascii="Times New Roman" w:hAnsi="Times New Roman" w:cs="Bookman Old Style"/>
          <w:i/>
          <w:color w:val="000000"/>
          <w:szCs w:val="20"/>
        </w:rPr>
        <w:t xml:space="preserve">Acte d’Accusation </w:t>
      </w:r>
      <w:r>
        <w:rPr>
          <w:rFonts w:ascii="Times New Roman" w:hAnsi="Times New Roman" w:cs="Bookman Old Style"/>
          <w:color w:val="000000"/>
          <w:szCs w:val="20"/>
        </w:rPr>
        <w:t>did not indict her for any specific crime, or even for</w:t>
      </w:r>
      <w:r w:rsidRPr="00717C20">
        <w:rPr>
          <w:rFonts w:ascii="Times New Roman" w:hAnsi="Times New Roman" w:cs="Bookman Old Style"/>
          <w:color w:val="000000"/>
          <w:szCs w:val="20"/>
        </w:rPr>
        <w:t xml:space="preserve"> holding counterrevolutionary opinions; </w:t>
      </w:r>
      <w:r>
        <w:rPr>
          <w:rFonts w:ascii="Times New Roman" w:hAnsi="Times New Roman" w:cs="Bookman Old Style"/>
          <w:color w:val="000000"/>
          <w:szCs w:val="20"/>
        </w:rPr>
        <w:t>it merely accused her of</w:t>
      </w:r>
      <w:r w:rsidRPr="00717C20">
        <w:rPr>
          <w:rFonts w:ascii="Times New Roman" w:hAnsi="Times New Roman" w:cs="Bookman Old Style"/>
          <w:color w:val="000000"/>
          <w:szCs w:val="20"/>
        </w:rPr>
        <w:t xml:space="preserve"> knowing her fami</w:t>
      </w:r>
      <w:r>
        <w:rPr>
          <w:rFonts w:ascii="Times New Roman" w:hAnsi="Times New Roman" w:cs="Bookman Old Style"/>
          <w:color w:val="000000"/>
          <w:szCs w:val="20"/>
        </w:rPr>
        <w:t>ly. Her interrogation reinforced</w:t>
      </w:r>
      <w:r w:rsidRPr="00717C20">
        <w:rPr>
          <w:rFonts w:ascii="Times New Roman" w:hAnsi="Times New Roman" w:cs="Bookman Old Style"/>
          <w:color w:val="000000"/>
          <w:szCs w:val="20"/>
        </w:rPr>
        <w:t xml:space="preserve"> the Tribunal’s emphasis on guilt through association. </w:t>
      </w:r>
      <w:r>
        <w:rPr>
          <w:rFonts w:ascii="Times New Roman" w:hAnsi="Times New Roman" w:cs="Bookman Old Style"/>
          <w:color w:val="000000"/>
          <w:szCs w:val="20"/>
        </w:rPr>
        <w:t>The interrogator first asked her if she knew</w:t>
      </w:r>
      <w:r w:rsidRPr="00717C20">
        <w:rPr>
          <w:rFonts w:ascii="Times New Roman" w:hAnsi="Times New Roman" w:cs="Bookman Old Style"/>
          <w:color w:val="000000"/>
          <w:szCs w:val="20"/>
        </w:rPr>
        <w:t xml:space="preserve"> the other people on trial (her family) and</w:t>
      </w:r>
      <w:r>
        <w:rPr>
          <w:rFonts w:ascii="Times New Roman" w:hAnsi="Times New Roman" w:cs="Bookman Old Style"/>
          <w:color w:val="000000"/>
          <w:szCs w:val="20"/>
        </w:rPr>
        <w:t xml:space="preserve"> she responded</w:t>
      </w:r>
      <w:r w:rsidRPr="00717C20">
        <w:rPr>
          <w:rFonts w:ascii="Times New Roman" w:hAnsi="Times New Roman" w:cs="Bookman Old Style"/>
          <w:color w:val="000000"/>
          <w:szCs w:val="20"/>
        </w:rPr>
        <w:t xml:space="preserve"> in the affirmative. </w:t>
      </w:r>
      <w:r>
        <w:rPr>
          <w:rFonts w:ascii="Times New Roman" w:hAnsi="Times New Roman" w:cs="Bookman Old Style"/>
          <w:color w:val="000000"/>
          <w:szCs w:val="20"/>
        </w:rPr>
        <w:t>The interrogator</w:t>
      </w:r>
      <w:r w:rsidRPr="00717C20">
        <w:rPr>
          <w:rFonts w:ascii="Times New Roman" w:hAnsi="Times New Roman" w:cs="Bookman Old Style"/>
          <w:color w:val="000000"/>
          <w:szCs w:val="20"/>
        </w:rPr>
        <w:t xml:space="preserve"> then </w:t>
      </w:r>
      <w:r>
        <w:rPr>
          <w:rFonts w:ascii="Times New Roman" w:hAnsi="Times New Roman" w:cs="Bookman Old Style"/>
          <w:color w:val="000000"/>
          <w:szCs w:val="20"/>
        </w:rPr>
        <w:t>asked if she conspired with her family</w:t>
      </w:r>
      <w:r w:rsidRPr="00717C20">
        <w:rPr>
          <w:rFonts w:ascii="Times New Roman" w:hAnsi="Times New Roman" w:cs="Bookman Old Style"/>
          <w:color w:val="000000"/>
          <w:szCs w:val="20"/>
        </w:rPr>
        <w:t xml:space="preserve"> aga</w:t>
      </w:r>
      <w:r>
        <w:rPr>
          <w:rFonts w:ascii="Times New Roman" w:hAnsi="Times New Roman" w:cs="Bookman Old Style"/>
          <w:color w:val="000000"/>
          <w:szCs w:val="20"/>
        </w:rPr>
        <w:t>inst the interest of the people; she responded with a simple</w:t>
      </w:r>
      <w:r w:rsidRPr="00717C20">
        <w:rPr>
          <w:rFonts w:ascii="Times New Roman" w:hAnsi="Times New Roman" w:cs="Bookman Old Style"/>
          <w:color w:val="000000"/>
          <w:szCs w:val="20"/>
        </w:rPr>
        <w:t xml:space="preserve"> “no</w:t>
      </w:r>
      <w:r>
        <w:rPr>
          <w:rFonts w:ascii="Times New Roman" w:hAnsi="Times New Roman" w:cs="Bookman Old Style"/>
          <w:color w:val="000000"/>
          <w:szCs w:val="20"/>
        </w:rPr>
        <w:t>n</w:t>
      </w:r>
      <w:r w:rsidRPr="00717C20">
        <w:rPr>
          <w:rFonts w:ascii="Times New Roman" w:hAnsi="Times New Roman" w:cs="Bookman Old Style"/>
          <w:color w:val="000000"/>
          <w:szCs w:val="20"/>
        </w:rPr>
        <w:t>”.</w:t>
      </w:r>
      <w:r w:rsidRPr="00717C20">
        <w:rPr>
          <w:rStyle w:val="FootnoteReference"/>
          <w:rFonts w:ascii="Times New Roman" w:hAnsi="Times New Roman" w:cs="Bookman Old Style"/>
          <w:color w:val="000000"/>
          <w:szCs w:val="20"/>
        </w:rPr>
        <w:footnoteReference w:id="69"/>
      </w:r>
      <w:r>
        <w:rPr>
          <w:rFonts w:ascii="Times New Roman" w:hAnsi="Times New Roman" w:cs="Bookman Old Style"/>
          <w:color w:val="000000"/>
          <w:szCs w:val="20"/>
        </w:rPr>
        <w:t xml:space="preserve"> She further denied</w:t>
      </w:r>
      <w:r w:rsidRPr="00717C20">
        <w:rPr>
          <w:rFonts w:ascii="Times New Roman" w:hAnsi="Times New Roman" w:cs="Bookman Old Style"/>
          <w:color w:val="000000"/>
          <w:szCs w:val="20"/>
        </w:rPr>
        <w:t xml:space="preserve"> having held any counterrev</w:t>
      </w:r>
      <w:r>
        <w:rPr>
          <w:rFonts w:ascii="Times New Roman" w:hAnsi="Times New Roman" w:cs="Bookman Old Style"/>
          <w:color w:val="000000"/>
          <w:szCs w:val="20"/>
        </w:rPr>
        <w:t>olutionary opinions. Despite the</w:t>
      </w:r>
      <w:r w:rsidRPr="00717C20">
        <w:rPr>
          <w:rFonts w:ascii="Times New Roman" w:hAnsi="Times New Roman" w:cs="Bookman Old Style"/>
          <w:color w:val="000000"/>
          <w:szCs w:val="20"/>
        </w:rPr>
        <w:t xml:space="preserve"> denials,</w:t>
      </w:r>
      <w:r>
        <w:rPr>
          <w:rFonts w:ascii="Times New Roman" w:hAnsi="Times New Roman" w:cs="Bookman Old Style"/>
          <w:color w:val="000000"/>
          <w:szCs w:val="20"/>
        </w:rPr>
        <w:t xml:space="preserve"> the Tribunal sentenced</w:t>
      </w:r>
      <w:r w:rsidRPr="00717C20">
        <w:rPr>
          <w:rFonts w:ascii="Times New Roman" w:hAnsi="Times New Roman" w:cs="Bookman Old Style"/>
          <w:color w:val="000000"/>
          <w:szCs w:val="20"/>
        </w:rPr>
        <w:t xml:space="preserve"> femme Teyras to death along with her husband and sons</w:t>
      </w:r>
      <w:r>
        <w:rPr>
          <w:rFonts w:ascii="Times New Roman" w:hAnsi="Times New Roman" w:cs="Bookman Old Style"/>
          <w:color w:val="000000"/>
          <w:szCs w:val="20"/>
        </w:rPr>
        <w:t>. The Tribunal</w:t>
      </w:r>
      <w:r w:rsidRPr="00717C20">
        <w:rPr>
          <w:rFonts w:ascii="Times New Roman" w:hAnsi="Times New Roman" w:cs="Bookman Old Style"/>
          <w:color w:val="000000"/>
          <w:szCs w:val="20"/>
        </w:rPr>
        <w:t xml:space="preserve"> based </w:t>
      </w:r>
      <w:r>
        <w:rPr>
          <w:rFonts w:ascii="Times New Roman" w:hAnsi="Times New Roman" w:cs="Bookman Old Style"/>
          <w:color w:val="000000"/>
          <w:szCs w:val="20"/>
        </w:rPr>
        <w:t xml:space="preserve">this verdict </w:t>
      </w:r>
      <w:r w:rsidRPr="00717C20">
        <w:rPr>
          <w:rFonts w:ascii="Times New Roman" w:hAnsi="Times New Roman" w:cs="Bookman Old Style"/>
          <w:color w:val="000000"/>
          <w:szCs w:val="20"/>
        </w:rPr>
        <w:t xml:space="preserve">upon the alleged counterrevolutionary actions and opinions of her male family members. </w:t>
      </w:r>
    </w:p>
    <w:p w:rsidR="001C5440" w:rsidRPr="00717C20" w:rsidRDefault="001C5440" w:rsidP="00E41716">
      <w:pPr>
        <w:spacing w:line="480" w:lineRule="auto"/>
        <w:ind w:firstLine="720"/>
        <w:contextualSpacing/>
        <w:rPr>
          <w:rFonts w:ascii="Times New Roman" w:hAnsi="Times New Roman" w:cs="Bookman Old Style"/>
          <w:color w:val="000000"/>
          <w:szCs w:val="20"/>
        </w:rPr>
      </w:pPr>
      <w:r>
        <w:rPr>
          <w:rFonts w:ascii="Times New Roman" w:hAnsi="Times New Roman" w:cs="Bookman Old Style"/>
          <w:color w:val="000000"/>
          <w:szCs w:val="20"/>
        </w:rPr>
        <w:t>The Tribunal held Femme Teyras, l</w:t>
      </w:r>
      <w:r w:rsidRPr="00717C20">
        <w:rPr>
          <w:rFonts w:ascii="Times New Roman" w:hAnsi="Times New Roman" w:cs="Bookman Old Style"/>
          <w:color w:val="000000"/>
          <w:szCs w:val="20"/>
        </w:rPr>
        <w:t xml:space="preserve">ike veuve Ricard, unsparingly accountable for the actions of </w:t>
      </w:r>
      <w:r>
        <w:rPr>
          <w:rFonts w:ascii="Times New Roman" w:hAnsi="Times New Roman" w:cs="Bookman Old Style"/>
          <w:color w:val="000000"/>
          <w:szCs w:val="20"/>
        </w:rPr>
        <w:t>her</w:t>
      </w:r>
      <w:r w:rsidRPr="00717C20">
        <w:rPr>
          <w:rFonts w:ascii="Times New Roman" w:hAnsi="Times New Roman" w:cs="Bookman Old Style"/>
          <w:color w:val="000000"/>
          <w:szCs w:val="20"/>
        </w:rPr>
        <w:t xml:space="preserve"> family, even when this guilt surpassed the bounds of plausibility. The</w:t>
      </w:r>
      <w:r>
        <w:rPr>
          <w:rFonts w:ascii="Times New Roman" w:hAnsi="Times New Roman" w:cs="Bookman Old Style"/>
          <w:color w:val="000000"/>
          <w:szCs w:val="20"/>
        </w:rPr>
        <w:t xml:space="preserve"> Tribunal directly attributed </w:t>
      </w:r>
      <w:r w:rsidRPr="00717C20">
        <w:rPr>
          <w:rFonts w:ascii="Times New Roman" w:hAnsi="Times New Roman" w:cs="Bookman Old Style"/>
          <w:color w:val="000000"/>
          <w:szCs w:val="20"/>
        </w:rPr>
        <w:t>actions of a woman’s family to the woman herself</w:t>
      </w:r>
      <w:r>
        <w:rPr>
          <w:rFonts w:ascii="Times New Roman" w:hAnsi="Times New Roman" w:cs="Bookman Old Style"/>
          <w:color w:val="000000"/>
          <w:szCs w:val="20"/>
        </w:rPr>
        <w:t>.</w:t>
      </w:r>
      <w:r w:rsidRPr="00717C20">
        <w:rPr>
          <w:rFonts w:ascii="Times New Roman" w:hAnsi="Times New Roman" w:cs="Bookman Old Style"/>
          <w:color w:val="000000"/>
          <w:szCs w:val="20"/>
        </w:rPr>
        <w:t xml:space="preserve"> </w:t>
      </w:r>
      <w:r>
        <w:rPr>
          <w:rFonts w:ascii="Times New Roman" w:hAnsi="Times New Roman" w:cs="Bookman Old Style"/>
          <w:color w:val="000000"/>
          <w:szCs w:val="20"/>
        </w:rPr>
        <w:t>A defendant could only rarely convince</w:t>
      </w:r>
      <w:r w:rsidRPr="00717C20">
        <w:rPr>
          <w:rFonts w:ascii="Times New Roman" w:hAnsi="Times New Roman" w:cs="Bookman Old Style"/>
          <w:color w:val="000000"/>
          <w:szCs w:val="20"/>
        </w:rPr>
        <w:t xml:space="preserve"> the Tribunal that </w:t>
      </w:r>
      <w:r>
        <w:rPr>
          <w:rFonts w:ascii="Times New Roman" w:hAnsi="Times New Roman" w:cs="Bookman Old Style"/>
          <w:color w:val="000000"/>
          <w:szCs w:val="20"/>
        </w:rPr>
        <w:t>she had</w:t>
      </w:r>
      <w:r w:rsidRPr="00717C20">
        <w:rPr>
          <w:rFonts w:ascii="Times New Roman" w:hAnsi="Times New Roman" w:cs="Bookman Old Style"/>
          <w:color w:val="000000"/>
          <w:szCs w:val="20"/>
        </w:rPr>
        <w:t xml:space="preserve"> actively opposed the decisions of her male relatives.</w:t>
      </w:r>
      <w:r>
        <w:rPr>
          <w:rFonts w:ascii="Times New Roman" w:hAnsi="Times New Roman" w:cs="Bookman Old Style"/>
          <w:color w:val="000000"/>
          <w:szCs w:val="20"/>
        </w:rPr>
        <w:t xml:space="preserve"> Matters of emigration magnified these concerns because a</w:t>
      </w:r>
      <w:r w:rsidRPr="00717C20">
        <w:rPr>
          <w:rFonts w:ascii="Times New Roman" w:hAnsi="Times New Roman" w:cs="Bookman Old Style"/>
          <w:color w:val="000000"/>
          <w:szCs w:val="20"/>
        </w:rPr>
        <w:t xml:space="preserve"> woman’s </w:t>
      </w:r>
      <w:r w:rsidRPr="00717C20">
        <w:rPr>
          <w:rFonts w:ascii="Times New Roman" w:hAnsi="Times New Roman" w:cs="Bookman Old Style"/>
          <w:color w:val="000000"/>
          <w:szCs w:val="20"/>
        </w:rPr>
        <w:lastRenderedPageBreak/>
        <w:t>husband had</w:t>
      </w:r>
      <w:r>
        <w:rPr>
          <w:rFonts w:ascii="Times New Roman" w:hAnsi="Times New Roman" w:cs="Bookman Old Style"/>
          <w:color w:val="000000"/>
          <w:szCs w:val="20"/>
        </w:rPr>
        <w:t xml:space="preserve"> almost complete</w:t>
      </w:r>
      <w:r w:rsidRPr="00717C20">
        <w:rPr>
          <w:rFonts w:ascii="Times New Roman" w:hAnsi="Times New Roman" w:cs="Bookman Old Style"/>
          <w:color w:val="000000"/>
          <w:szCs w:val="20"/>
        </w:rPr>
        <w:t xml:space="preserve"> control over where the household would be situated. </w:t>
      </w:r>
      <w:r>
        <w:rPr>
          <w:rFonts w:ascii="Times New Roman" w:hAnsi="Times New Roman" w:cs="Bookman Old Style"/>
          <w:color w:val="000000"/>
          <w:szCs w:val="20"/>
        </w:rPr>
        <w:t>The law prohibited l</w:t>
      </w:r>
      <w:r w:rsidRPr="00717C20">
        <w:rPr>
          <w:rFonts w:ascii="Times New Roman" w:hAnsi="Times New Roman" w:cs="Bookman Old Style"/>
          <w:color w:val="000000"/>
          <w:szCs w:val="20"/>
        </w:rPr>
        <w:t>eaving</w:t>
      </w:r>
      <w:r>
        <w:rPr>
          <w:rFonts w:ascii="Times New Roman" w:hAnsi="Times New Roman" w:cs="Bookman Old Style"/>
          <w:color w:val="000000"/>
          <w:szCs w:val="20"/>
        </w:rPr>
        <w:t xml:space="preserve"> and reentering</w:t>
      </w:r>
      <w:r w:rsidRPr="00717C20">
        <w:rPr>
          <w:rFonts w:ascii="Times New Roman" w:hAnsi="Times New Roman" w:cs="Bookman Old Style"/>
          <w:color w:val="000000"/>
          <w:szCs w:val="20"/>
        </w:rPr>
        <w:t xml:space="preserve"> France without explicit permission </w:t>
      </w:r>
      <w:r>
        <w:rPr>
          <w:rFonts w:ascii="Times New Roman" w:hAnsi="Times New Roman" w:cs="Bookman Old Style"/>
          <w:color w:val="000000"/>
          <w:szCs w:val="20"/>
        </w:rPr>
        <w:t xml:space="preserve">and the Tribunal fiercely </w:t>
      </w:r>
      <w:r w:rsidRPr="00717C20">
        <w:rPr>
          <w:rFonts w:ascii="Times New Roman" w:hAnsi="Times New Roman" w:cs="Bookman Old Style"/>
          <w:color w:val="000000"/>
          <w:szCs w:val="20"/>
        </w:rPr>
        <w:t xml:space="preserve">prosecuted </w:t>
      </w:r>
      <w:r>
        <w:rPr>
          <w:rFonts w:ascii="Times New Roman" w:hAnsi="Times New Roman" w:cs="Bookman Old Style"/>
          <w:color w:val="000000"/>
          <w:szCs w:val="20"/>
        </w:rPr>
        <w:t>men and women for ignoring this law.</w:t>
      </w:r>
      <w:r w:rsidR="00841642">
        <w:rPr>
          <w:rStyle w:val="FootnoteReference"/>
          <w:rFonts w:ascii="Times New Roman" w:hAnsi="Times New Roman"/>
          <w:color w:val="000000"/>
          <w:szCs w:val="20"/>
        </w:rPr>
        <w:footnoteReference w:id="70"/>
      </w:r>
      <w:r>
        <w:rPr>
          <w:rFonts w:ascii="Times New Roman" w:hAnsi="Times New Roman" w:cs="Bookman Old Style"/>
          <w:color w:val="000000"/>
          <w:szCs w:val="20"/>
        </w:rPr>
        <w:t xml:space="preserve"> The Tribunal charged</w:t>
      </w:r>
      <w:r w:rsidRPr="00717C20">
        <w:rPr>
          <w:rFonts w:ascii="Times New Roman" w:hAnsi="Times New Roman" w:cs="Bookman Old Style"/>
          <w:color w:val="000000"/>
          <w:szCs w:val="20"/>
        </w:rPr>
        <w:t xml:space="preserve"> Charlotte-Félicité Charry, femme Luppé, </w:t>
      </w:r>
      <w:r>
        <w:rPr>
          <w:rFonts w:ascii="Times New Roman" w:hAnsi="Times New Roman" w:cs="Bookman Old Style"/>
          <w:color w:val="000000"/>
          <w:szCs w:val="20"/>
        </w:rPr>
        <w:t>for just this crime</w:t>
      </w:r>
      <w:r w:rsidRPr="00717C20">
        <w:rPr>
          <w:rFonts w:ascii="Times New Roman" w:hAnsi="Times New Roman" w:cs="Bookman Old Style"/>
          <w:color w:val="000000"/>
          <w:szCs w:val="20"/>
        </w:rPr>
        <w:t>.</w:t>
      </w:r>
      <w:r w:rsidR="00841642" w:rsidRPr="00841642">
        <w:rPr>
          <w:rStyle w:val="FootnoteReference"/>
          <w:rFonts w:ascii="Times New Roman" w:hAnsi="Times New Roman" w:cs="Bookman Old Style"/>
          <w:color w:val="000000"/>
          <w:szCs w:val="20"/>
        </w:rPr>
        <w:t xml:space="preserve"> </w:t>
      </w:r>
      <w:r w:rsidR="00841642" w:rsidRPr="00717C20">
        <w:rPr>
          <w:rStyle w:val="FootnoteReference"/>
          <w:rFonts w:ascii="Times New Roman" w:hAnsi="Times New Roman" w:cs="Bookman Old Style"/>
          <w:color w:val="000000"/>
          <w:szCs w:val="20"/>
        </w:rPr>
        <w:footnoteReference w:id="71"/>
      </w:r>
    </w:p>
    <w:p w:rsidR="001C5440" w:rsidRPr="00717C20" w:rsidRDefault="001C5440" w:rsidP="00E41716">
      <w:pPr>
        <w:spacing w:line="480" w:lineRule="auto"/>
        <w:ind w:firstLine="720"/>
        <w:contextualSpacing/>
        <w:rPr>
          <w:rFonts w:ascii="Times New Roman" w:hAnsi="Times New Roman" w:cs="Bookman Old Style"/>
          <w:color w:val="000000"/>
          <w:szCs w:val="20"/>
        </w:rPr>
      </w:pPr>
      <w:r>
        <w:rPr>
          <w:rFonts w:ascii="Times New Roman" w:hAnsi="Times New Roman" w:cs="Bookman Old Style"/>
          <w:color w:val="000000"/>
          <w:szCs w:val="20"/>
        </w:rPr>
        <w:t xml:space="preserve">The court indicted </w:t>
      </w:r>
      <w:r w:rsidRPr="00717C20">
        <w:rPr>
          <w:rFonts w:ascii="Times New Roman" w:hAnsi="Times New Roman" w:cs="Bookman Old Style"/>
          <w:color w:val="000000"/>
          <w:szCs w:val="20"/>
        </w:rPr>
        <w:t xml:space="preserve">Femme Luppé, </w:t>
      </w:r>
      <w:r w:rsidRPr="00717C20">
        <w:rPr>
          <w:rFonts w:ascii="Times New Roman" w:hAnsi="Times New Roman" w:cs="Bookman Old Style"/>
          <w:i/>
          <w:color w:val="000000"/>
          <w:szCs w:val="20"/>
        </w:rPr>
        <w:t>ci devant</w:t>
      </w:r>
      <w:r>
        <w:rPr>
          <w:rFonts w:ascii="Times New Roman" w:hAnsi="Times New Roman" w:cs="Bookman Old Style"/>
          <w:color w:val="000000"/>
          <w:szCs w:val="20"/>
        </w:rPr>
        <w:t xml:space="preserve"> noble,</w:t>
      </w:r>
      <w:r w:rsidRPr="00717C20">
        <w:rPr>
          <w:rFonts w:ascii="Times New Roman" w:hAnsi="Times New Roman" w:cs="Bookman Old Style"/>
          <w:color w:val="000000"/>
          <w:szCs w:val="20"/>
        </w:rPr>
        <w:t xml:space="preserve"> </w:t>
      </w:r>
      <w:r>
        <w:rPr>
          <w:rFonts w:ascii="Times New Roman" w:hAnsi="Times New Roman" w:cs="Bookman Old Style"/>
          <w:color w:val="000000"/>
          <w:szCs w:val="20"/>
        </w:rPr>
        <w:t xml:space="preserve">for emigrating </w:t>
      </w:r>
      <w:r w:rsidRPr="00717C20">
        <w:rPr>
          <w:rFonts w:ascii="Times New Roman" w:hAnsi="Times New Roman" w:cs="Bookman Old Style"/>
          <w:color w:val="000000"/>
          <w:szCs w:val="20"/>
        </w:rPr>
        <w:t xml:space="preserve">with her husband in 1791, returning in May 1792, </w:t>
      </w:r>
      <w:r>
        <w:rPr>
          <w:rFonts w:ascii="Times New Roman" w:hAnsi="Times New Roman" w:cs="Bookman Old Style"/>
          <w:color w:val="000000"/>
          <w:szCs w:val="20"/>
        </w:rPr>
        <w:t>and leaving</w:t>
      </w:r>
      <w:r w:rsidRPr="00717C20">
        <w:rPr>
          <w:rFonts w:ascii="Times New Roman" w:hAnsi="Times New Roman" w:cs="Bookman Old Style"/>
          <w:color w:val="000000"/>
          <w:szCs w:val="20"/>
        </w:rPr>
        <w:t xml:space="preserve"> again in January 1793, </w:t>
      </w:r>
      <w:r>
        <w:rPr>
          <w:rFonts w:ascii="Times New Roman" w:hAnsi="Times New Roman" w:cs="Bookman Old Style"/>
          <w:color w:val="000000"/>
          <w:szCs w:val="20"/>
        </w:rPr>
        <w:t>only to return</w:t>
      </w:r>
      <w:r w:rsidRPr="00717C20">
        <w:rPr>
          <w:rFonts w:ascii="Times New Roman" w:hAnsi="Times New Roman" w:cs="Bookman Old Style"/>
          <w:color w:val="000000"/>
          <w:szCs w:val="20"/>
        </w:rPr>
        <w:t xml:space="preserve"> two months later. </w:t>
      </w:r>
      <w:r>
        <w:rPr>
          <w:rFonts w:ascii="Times New Roman" w:hAnsi="Times New Roman" w:cs="Bookman Old Style"/>
          <w:color w:val="000000"/>
          <w:szCs w:val="20"/>
        </w:rPr>
        <w:t>The law clearly stated that femme Luppé had committed multiple crimes.</w:t>
      </w:r>
      <w:r w:rsidRPr="00717C20">
        <w:rPr>
          <w:rFonts w:ascii="Times New Roman" w:hAnsi="Times New Roman" w:cs="Bookman Old Style"/>
          <w:color w:val="000000"/>
          <w:szCs w:val="20"/>
        </w:rPr>
        <w:t xml:space="preserve"> </w:t>
      </w:r>
      <w:r>
        <w:rPr>
          <w:rFonts w:ascii="Times New Roman" w:hAnsi="Times New Roman" w:cs="Bookman Old Style"/>
          <w:color w:val="000000"/>
          <w:szCs w:val="20"/>
        </w:rPr>
        <w:t>However, in reality she</w:t>
      </w:r>
      <w:r w:rsidRPr="00717C20">
        <w:rPr>
          <w:rFonts w:ascii="Times New Roman" w:hAnsi="Times New Roman" w:cs="Bookman Old Style"/>
          <w:color w:val="000000"/>
          <w:szCs w:val="20"/>
        </w:rPr>
        <w:t xml:space="preserve"> had limited control over the decisions of her husband and could not </w:t>
      </w:r>
      <w:r>
        <w:rPr>
          <w:rFonts w:ascii="Times New Roman" w:hAnsi="Times New Roman" w:cs="Bookman Old Style"/>
          <w:color w:val="000000"/>
          <w:szCs w:val="20"/>
        </w:rPr>
        <w:t xml:space="preserve">have </w:t>
      </w:r>
      <w:r w:rsidRPr="00717C20">
        <w:rPr>
          <w:rFonts w:ascii="Times New Roman" w:hAnsi="Times New Roman" w:cs="Bookman Old Style"/>
          <w:color w:val="000000"/>
          <w:szCs w:val="20"/>
        </w:rPr>
        <w:t xml:space="preserve">lived apart from him against will. </w:t>
      </w:r>
      <w:r>
        <w:rPr>
          <w:rFonts w:ascii="Times New Roman" w:hAnsi="Times New Roman" w:cs="Bookman Old Style"/>
          <w:color w:val="000000"/>
          <w:szCs w:val="20"/>
        </w:rPr>
        <w:t>The Tribunal nonetheless viewed Femme Luppé as an equal parti</w:t>
      </w:r>
      <w:r w:rsidR="00AD0377">
        <w:rPr>
          <w:rFonts w:ascii="Times New Roman" w:hAnsi="Times New Roman" w:cs="Bookman Old Style"/>
          <w:color w:val="000000"/>
          <w:szCs w:val="20"/>
        </w:rPr>
        <w:t>ci</w:t>
      </w:r>
      <w:r>
        <w:rPr>
          <w:rFonts w:ascii="Times New Roman" w:hAnsi="Times New Roman" w:cs="Bookman Old Style"/>
          <w:color w:val="000000"/>
          <w:szCs w:val="20"/>
        </w:rPr>
        <w:t xml:space="preserve">pant in her husband’s </w:t>
      </w:r>
      <w:r w:rsidRPr="00717C20">
        <w:rPr>
          <w:rFonts w:ascii="Times New Roman" w:hAnsi="Times New Roman" w:cs="Bookman Old Style"/>
          <w:color w:val="000000"/>
          <w:szCs w:val="20"/>
        </w:rPr>
        <w:t>emigration</w:t>
      </w:r>
      <w:r>
        <w:rPr>
          <w:rFonts w:ascii="Times New Roman" w:hAnsi="Times New Roman" w:cs="Bookman Old Style"/>
          <w:color w:val="000000"/>
          <w:szCs w:val="20"/>
        </w:rPr>
        <w:t>s</w:t>
      </w:r>
      <w:r w:rsidRPr="00717C20">
        <w:rPr>
          <w:rFonts w:ascii="Times New Roman" w:hAnsi="Times New Roman" w:cs="Bookman Old Style"/>
          <w:color w:val="000000"/>
          <w:szCs w:val="20"/>
        </w:rPr>
        <w:t xml:space="preserve">. At a time when </w:t>
      </w:r>
      <w:r>
        <w:rPr>
          <w:rFonts w:ascii="Times New Roman" w:hAnsi="Times New Roman" w:cs="Bookman Old Style"/>
          <w:color w:val="000000"/>
          <w:szCs w:val="20"/>
        </w:rPr>
        <w:t>the law regarded women as</w:t>
      </w:r>
      <w:r w:rsidRPr="00717C20">
        <w:rPr>
          <w:rFonts w:ascii="Times New Roman" w:hAnsi="Times New Roman" w:cs="Bookman Old Style"/>
          <w:color w:val="000000"/>
          <w:szCs w:val="20"/>
        </w:rPr>
        <w:t>, in the words of Jennifer Heuer, “legally subordinate in the family” due to their marital status, the ac</w:t>
      </w:r>
      <w:r>
        <w:rPr>
          <w:rFonts w:ascii="Times New Roman" w:hAnsi="Times New Roman" w:cs="Bookman Old Style"/>
          <w:color w:val="000000"/>
          <w:szCs w:val="20"/>
        </w:rPr>
        <w:t xml:space="preserve">tions of the Tribunal require a </w:t>
      </w:r>
      <w:r w:rsidRPr="00717C20">
        <w:rPr>
          <w:rFonts w:ascii="Times New Roman" w:hAnsi="Times New Roman" w:cs="Bookman Old Style"/>
          <w:color w:val="000000"/>
          <w:szCs w:val="20"/>
        </w:rPr>
        <w:t>further explanation.</w:t>
      </w:r>
      <w:r w:rsidRPr="00717C20">
        <w:rPr>
          <w:rStyle w:val="FootnoteReference"/>
          <w:rFonts w:ascii="Times New Roman" w:hAnsi="Times New Roman" w:cs="Bookman Old Style"/>
          <w:color w:val="000000"/>
          <w:szCs w:val="20"/>
        </w:rPr>
        <w:footnoteReference w:id="72"/>
      </w:r>
      <w:r w:rsidRPr="00717C20">
        <w:rPr>
          <w:rFonts w:ascii="Times New Roman" w:hAnsi="Times New Roman" w:cs="Bookman Old Style"/>
          <w:color w:val="000000"/>
          <w:szCs w:val="20"/>
        </w:rPr>
        <w:t xml:space="preserve"> Subordinated to the will of their husband, especially in </w:t>
      </w:r>
      <w:r>
        <w:rPr>
          <w:rFonts w:ascii="Times New Roman" w:hAnsi="Times New Roman" w:cs="Bookman Old Style"/>
          <w:color w:val="000000"/>
          <w:szCs w:val="20"/>
        </w:rPr>
        <w:t xml:space="preserve">crucial </w:t>
      </w:r>
      <w:r w:rsidRPr="00717C20">
        <w:rPr>
          <w:rFonts w:ascii="Times New Roman" w:hAnsi="Times New Roman" w:cs="Bookman Old Style"/>
          <w:color w:val="000000"/>
          <w:szCs w:val="20"/>
        </w:rPr>
        <w:t>matters such as choice of domicile, how could women be held responsible for decisions of their husbands? One key to this mystery lies within the revolutionary government’s institution and liberalization of divorce.</w:t>
      </w:r>
    </w:p>
    <w:p w:rsidR="001C5440" w:rsidRPr="00717C20" w:rsidRDefault="001C5440" w:rsidP="00E41716">
      <w:pPr>
        <w:spacing w:line="480" w:lineRule="auto"/>
        <w:ind w:firstLine="720"/>
        <w:contextualSpacing/>
        <w:rPr>
          <w:rFonts w:ascii="Times New Roman" w:hAnsi="Times New Roman" w:cs="Bookman Old Style"/>
          <w:i/>
          <w:color w:val="000000"/>
          <w:szCs w:val="20"/>
        </w:rPr>
      </w:pPr>
      <w:r w:rsidRPr="00717C20">
        <w:rPr>
          <w:rFonts w:ascii="Times New Roman" w:hAnsi="Times New Roman" w:cs="Bookman Old Style"/>
          <w:color w:val="000000"/>
          <w:szCs w:val="20"/>
        </w:rPr>
        <w:t xml:space="preserve">With the introduction of </w:t>
      </w:r>
      <w:r>
        <w:rPr>
          <w:rFonts w:ascii="Times New Roman" w:hAnsi="Times New Roman" w:cs="Bookman Old Style"/>
          <w:color w:val="000000"/>
          <w:szCs w:val="20"/>
        </w:rPr>
        <w:t>divorce, women theoretically possessed</w:t>
      </w:r>
      <w:r w:rsidRPr="00717C20">
        <w:rPr>
          <w:rFonts w:ascii="Times New Roman" w:hAnsi="Times New Roman" w:cs="Bookman Old Style"/>
          <w:color w:val="000000"/>
          <w:szCs w:val="20"/>
        </w:rPr>
        <w:t xml:space="preserve"> legal means to separate themselves from the actions and decisions of</w:t>
      </w:r>
      <w:r>
        <w:rPr>
          <w:rFonts w:ascii="Times New Roman" w:hAnsi="Times New Roman" w:cs="Bookman Old Style"/>
          <w:color w:val="000000"/>
          <w:szCs w:val="20"/>
        </w:rPr>
        <w:t xml:space="preserve"> a counterrevolutionary husband. The Tribunal perceived a</w:t>
      </w:r>
      <w:r w:rsidRPr="00717C20">
        <w:rPr>
          <w:rFonts w:ascii="Times New Roman" w:hAnsi="Times New Roman" w:cs="Bookman Old Style"/>
          <w:color w:val="000000"/>
          <w:szCs w:val="20"/>
        </w:rPr>
        <w:t xml:space="preserve"> failure to do so as complicity and support</w:t>
      </w:r>
      <w:r>
        <w:rPr>
          <w:rFonts w:ascii="Times New Roman" w:hAnsi="Times New Roman" w:cs="Bookman Old Style"/>
          <w:color w:val="000000"/>
          <w:szCs w:val="20"/>
        </w:rPr>
        <w:t xml:space="preserve"> of the husband’s actions</w:t>
      </w:r>
      <w:r w:rsidRPr="00717C20">
        <w:rPr>
          <w:rFonts w:ascii="Times New Roman" w:hAnsi="Times New Roman" w:cs="Bookman Old Style"/>
          <w:color w:val="000000"/>
          <w:szCs w:val="20"/>
        </w:rPr>
        <w:t xml:space="preserve">. Institutionalized in September 1792, the </w:t>
      </w:r>
      <w:r>
        <w:rPr>
          <w:rFonts w:ascii="Times New Roman" w:hAnsi="Times New Roman" w:cs="Bookman Old Style"/>
          <w:color w:val="000000"/>
          <w:szCs w:val="20"/>
        </w:rPr>
        <w:t xml:space="preserve">divorce </w:t>
      </w:r>
      <w:r w:rsidRPr="00717C20">
        <w:rPr>
          <w:rFonts w:ascii="Times New Roman" w:hAnsi="Times New Roman" w:cs="Bookman Old Style"/>
          <w:color w:val="000000"/>
          <w:szCs w:val="20"/>
        </w:rPr>
        <w:t>law allowed</w:t>
      </w:r>
      <w:r>
        <w:rPr>
          <w:rFonts w:ascii="Times New Roman" w:hAnsi="Times New Roman" w:cs="Bookman Old Style"/>
          <w:color w:val="000000"/>
          <w:szCs w:val="20"/>
        </w:rPr>
        <w:t xml:space="preserve"> one spouse to instigate</w:t>
      </w:r>
      <w:r w:rsidRPr="00717C20">
        <w:rPr>
          <w:rFonts w:ascii="Times New Roman" w:hAnsi="Times New Roman" w:cs="Bookman Old Style"/>
          <w:color w:val="000000"/>
          <w:szCs w:val="20"/>
        </w:rPr>
        <w:t xml:space="preserve"> separation </w:t>
      </w:r>
      <w:r>
        <w:rPr>
          <w:rFonts w:ascii="Times New Roman" w:hAnsi="Times New Roman" w:cs="Bookman Old Style"/>
          <w:color w:val="000000"/>
          <w:szCs w:val="20"/>
        </w:rPr>
        <w:t>on a variety of grounds</w:t>
      </w:r>
      <w:r w:rsidRPr="00717C20">
        <w:rPr>
          <w:rFonts w:ascii="Times New Roman" w:hAnsi="Times New Roman" w:cs="Bookman Old Style"/>
          <w:color w:val="000000"/>
          <w:szCs w:val="20"/>
        </w:rPr>
        <w:t xml:space="preserve">, including emigration, abandonment, civil death, and </w:t>
      </w:r>
      <w:r w:rsidRPr="00717C20">
        <w:rPr>
          <w:rFonts w:ascii="Times New Roman" w:hAnsi="Times New Roman" w:cs="Bookman Old Style"/>
          <w:color w:val="000000"/>
          <w:szCs w:val="20"/>
        </w:rPr>
        <w:lastRenderedPageBreak/>
        <w:t>mutual incompatibility.</w:t>
      </w:r>
      <w:r w:rsidRPr="00717C20">
        <w:rPr>
          <w:rStyle w:val="FootnoteReference"/>
          <w:rFonts w:ascii="Times New Roman" w:hAnsi="Times New Roman" w:cs="Bookman Old Style"/>
          <w:color w:val="000000"/>
          <w:szCs w:val="20"/>
        </w:rPr>
        <w:footnoteReference w:id="73"/>
      </w:r>
      <w:r w:rsidRPr="00717C20">
        <w:rPr>
          <w:rFonts w:ascii="Times New Roman" w:hAnsi="Times New Roman" w:cs="Bookman Old Style"/>
          <w:color w:val="000000"/>
          <w:szCs w:val="20"/>
        </w:rPr>
        <w:t xml:space="preserve"> </w:t>
      </w:r>
      <w:r>
        <w:rPr>
          <w:rFonts w:ascii="Times New Roman" w:hAnsi="Times New Roman" w:cs="Bookman Old Style"/>
          <w:color w:val="000000"/>
          <w:szCs w:val="20"/>
        </w:rPr>
        <w:t>However, w</w:t>
      </w:r>
      <w:r w:rsidRPr="00717C20">
        <w:rPr>
          <w:rFonts w:ascii="Times New Roman" w:hAnsi="Times New Roman" w:cs="Bookman Old Style"/>
          <w:color w:val="000000"/>
          <w:szCs w:val="20"/>
        </w:rPr>
        <w:t xml:space="preserve">omen </w:t>
      </w:r>
      <w:r>
        <w:rPr>
          <w:rFonts w:ascii="Times New Roman" w:hAnsi="Times New Roman" w:cs="Bookman Old Style"/>
          <w:color w:val="000000"/>
          <w:szCs w:val="20"/>
        </w:rPr>
        <w:t>yearning to formally separate</w:t>
      </w:r>
      <w:r w:rsidRPr="00717C20">
        <w:rPr>
          <w:rFonts w:ascii="Times New Roman" w:hAnsi="Times New Roman" w:cs="Bookman Old Style"/>
          <w:color w:val="000000"/>
          <w:szCs w:val="20"/>
        </w:rPr>
        <w:t xml:space="preserve"> themselves from the counterrevolutionary actions of an </w:t>
      </w:r>
      <w:r>
        <w:rPr>
          <w:rFonts w:ascii="Times New Roman" w:hAnsi="Times New Roman" w:cs="Bookman Old Style"/>
          <w:color w:val="000000"/>
          <w:szCs w:val="20"/>
        </w:rPr>
        <w:t>é</w:t>
      </w:r>
      <w:r w:rsidRPr="00717C20">
        <w:rPr>
          <w:rFonts w:ascii="Times New Roman" w:hAnsi="Times New Roman" w:cs="Bookman Old Style"/>
          <w:color w:val="000000"/>
          <w:szCs w:val="20"/>
        </w:rPr>
        <w:t xml:space="preserve">migré husband faced a unique challenge: the confusion over civil death. Following a November 1792 law, </w:t>
      </w:r>
      <w:r>
        <w:rPr>
          <w:rFonts w:ascii="Times New Roman" w:hAnsi="Times New Roman" w:cs="Bookman Old Style"/>
          <w:color w:val="000000"/>
          <w:szCs w:val="20"/>
        </w:rPr>
        <w:t xml:space="preserve">the government banned </w:t>
      </w:r>
      <w:r w:rsidR="00AD0377">
        <w:rPr>
          <w:rFonts w:ascii="Times New Roman" w:hAnsi="Times New Roman" w:cs="Bookman Old Style"/>
          <w:color w:val="000000"/>
          <w:szCs w:val="20"/>
        </w:rPr>
        <w:t>all émigré</w:t>
      </w:r>
      <w:r w:rsidRPr="00717C20">
        <w:rPr>
          <w:rFonts w:ascii="Times New Roman" w:hAnsi="Times New Roman" w:cs="Bookman Old Style"/>
          <w:color w:val="000000"/>
          <w:szCs w:val="20"/>
        </w:rPr>
        <w:t>s from returning to any French territories</w:t>
      </w:r>
      <w:r>
        <w:rPr>
          <w:rFonts w:ascii="Times New Roman" w:hAnsi="Times New Roman" w:cs="Bookman Old Style"/>
          <w:color w:val="000000"/>
          <w:szCs w:val="20"/>
        </w:rPr>
        <w:t>. Further, the government created a new status for these citizens:</w:t>
      </w:r>
      <w:r w:rsidRPr="00717C20">
        <w:rPr>
          <w:rFonts w:ascii="Times New Roman" w:hAnsi="Times New Roman" w:cs="Bookman Old Style"/>
          <w:color w:val="000000"/>
          <w:szCs w:val="20"/>
        </w:rPr>
        <w:t xml:space="preserve"> </w:t>
      </w:r>
      <w:r>
        <w:rPr>
          <w:rFonts w:ascii="Times New Roman" w:hAnsi="Times New Roman" w:cs="Bookman Old Style"/>
          <w:color w:val="000000"/>
          <w:szCs w:val="20"/>
        </w:rPr>
        <w:t>civil death</w:t>
      </w:r>
      <w:r w:rsidRPr="00717C20">
        <w:rPr>
          <w:rFonts w:ascii="Times New Roman" w:hAnsi="Times New Roman" w:cs="Bookman Old Style"/>
          <w:color w:val="000000"/>
          <w:szCs w:val="20"/>
        </w:rPr>
        <w:t>.</w:t>
      </w:r>
      <w:r w:rsidRPr="00717C20">
        <w:rPr>
          <w:rStyle w:val="FootnoteReference"/>
          <w:rFonts w:ascii="Times New Roman" w:hAnsi="Times New Roman" w:cs="Bookman Old Style"/>
          <w:color w:val="000000"/>
          <w:szCs w:val="20"/>
        </w:rPr>
        <w:footnoteReference w:id="74"/>
      </w:r>
      <w:r w:rsidRPr="00717C20">
        <w:rPr>
          <w:rFonts w:ascii="Times New Roman" w:hAnsi="Times New Roman" w:cs="Bookman Old Style"/>
          <w:color w:val="000000"/>
          <w:szCs w:val="20"/>
        </w:rPr>
        <w:t xml:space="preserve"> The revolutionary government took this status very seriously and its implementation had </w:t>
      </w:r>
      <w:r>
        <w:rPr>
          <w:rFonts w:ascii="Times New Roman" w:hAnsi="Times New Roman" w:cs="Bookman Old Style"/>
          <w:color w:val="000000"/>
          <w:szCs w:val="20"/>
        </w:rPr>
        <w:t>tremendous</w:t>
      </w:r>
      <w:r w:rsidRPr="00717C20">
        <w:rPr>
          <w:rFonts w:ascii="Times New Roman" w:hAnsi="Times New Roman" w:cs="Bookman Old Style"/>
          <w:color w:val="000000"/>
          <w:szCs w:val="20"/>
        </w:rPr>
        <w:t xml:space="preserve"> consequences, especially for wives left in France by émigré husbands. Academically, the </w:t>
      </w:r>
      <w:r>
        <w:rPr>
          <w:rFonts w:ascii="Times New Roman" w:hAnsi="Times New Roman" w:cs="Bookman Old Style"/>
          <w:color w:val="000000"/>
          <w:szCs w:val="20"/>
        </w:rPr>
        <w:t xml:space="preserve">revolutionary </w:t>
      </w:r>
      <w:r w:rsidRPr="00717C20">
        <w:rPr>
          <w:rFonts w:ascii="Times New Roman" w:hAnsi="Times New Roman" w:cs="Bookman Old Style"/>
          <w:color w:val="000000"/>
          <w:szCs w:val="20"/>
        </w:rPr>
        <w:t>government and Tribunal recognized that “one cannot consider a woman to be married to a man who is civilly dead; she becomes a civil widow, and no longer needs to have recourse to divorce.”</w:t>
      </w:r>
      <w:r w:rsidRPr="00717C20">
        <w:rPr>
          <w:rStyle w:val="FootnoteReference"/>
          <w:rFonts w:ascii="Times New Roman" w:hAnsi="Times New Roman" w:cs="Bookman Old Style"/>
          <w:color w:val="000000"/>
          <w:szCs w:val="20"/>
        </w:rPr>
        <w:footnoteReference w:id="75"/>
      </w:r>
      <w:r w:rsidRPr="00717C20">
        <w:rPr>
          <w:rFonts w:ascii="Times New Roman" w:hAnsi="Times New Roman" w:cs="Bookman Old Style"/>
          <w:color w:val="000000"/>
          <w:szCs w:val="20"/>
        </w:rPr>
        <w:t xml:space="preserve"> In practice, however, the Tribunal recogn</w:t>
      </w:r>
      <w:r>
        <w:rPr>
          <w:rFonts w:ascii="Times New Roman" w:hAnsi="Times New Roman" w:cs="Bookman Old Style"/>
          <w:color w:val="000000"/>
          <w:szCs w:val="20"/>
        </w:rPr>
        <w:t>ized the “civil”</w:t>
      </w:r>
      <w:r w:rsidRPr="00717C20">
        <w:rPr>
          <w:rFonts w:ascii="Times New Roman" w:hAnsi="Times New Roman" w:cs="Bookman Old Style"/>
          <w:color w:val="000000"/>
          <w:szCs w:val="20"/>
        </w:rPr>
        <w:t xml:space="preserve"> widowhood of women left by émigré husbands in title alone. Despite the legal separation </w:t>
      </w:r>
      <w:r>
        <w:rPr>
          <w:rFonts w:ascii="Times New Roman" w:hAnsi="Times New Roman" w:cs="Bookman Old Style"/>
          <w:color w:val="000000"/>
          <w:szCs w:val="20"/>
        </w:rPr>
        <w:t>that occurred automatically upon a spouses “civil death”</w:t>
      </w:r>
      <w:r w:rsidRPr="00717C20">
        <w:rPr>
          <w:rFonts w:ascii="Times New Roman" w:hAnsi="Times New Roman" w:cs="Bookman Old Style"/>
          <w:color w:val="000000"/>
          <w:szCs w:val="20"/>
        </w:rPr>
        <w:t xml:space="preserve">, </w:t>
      </w:r>
      <w:r>
        <w:rPr>
          <w:rFonts w:ascii="Times New Roman" w:hAnsi="Times New Roman" w:cs="Bookman Old Style"/>
          <w:color w:val="000000"/>
          <w:szCs w:val="20"/>
        </w:rPr>
        <w:t>the Tribunal nonetheless demanded that civil widows demonstrate their patriotism</w:t>
      </w:r>
      <w:r w:rsidRPr="00717C20">
        <w:rPr>
          <w:rFonts w:ascii="Times New Roman" w:hAnsi="Times New Roman" w:cs="Bookman Old Style"/>
          <w:color w:val="000000"/>
          <w:szCs w:val="20"/>
        </w:rPr>
        <w:t xml:space="preserve"> through </w:t>
      </w:r>
      <w:r>
        <w:rPr>
          <w:rFonts w:ascii="Times New Roman" w:hAnsi="Times New Roman" w:cs="Bookman Old Style"/>
          <w:color w:val="000000"/>
          <w:szCs w:val="20"/>
        </w:rPr>
        <w:t>voluntary, redundant</w:t>
      </w:r>
      <w:r w:rsidRPr="00717C20">
        <w:rPr>
          <w:rFonts w:ascii="Times New Roman" w:hAnsi="Times New Roman" w:cs="Bookman Old Style"/>
          <w:color w:val="000000"/>
          <w:szCs w:val="20"/>
        </w:rPr>
        <w:t xml:space="preserve"> divorce proceedings. Even once formally divorced from an</w:t>
      </w:r>
      <w:r w:rsidR="007E0037">
        <w:rPr>
          <w:rFonts w:ascii="Times New Roman" w:hAnsi="Times New Roman" w:cs="Bookman Old Style"/>
          <w:color w:val="000000"/>
          <w:szCs w:val="20"/>
        </w:rPr>
        <w:t xml:space="preserve"> émigré</w:t>
      </w:r>
      <w:r w:rsidRPr="00717C20">
        <w:rPr>
          <w:rFonts w:ascii="Times New Roman" w:hAnsi="Times New Roman" w:cs="Bookman Old Style"/>
          <w:color w:val="000000"/>
          <w:szCs w:val="20"/>
        </w:rPr>
        <w:t xml:space="preserve"> husband, </w:t>
      </w:r>
      <w:r>
        <w:rPr>
          <w:rFonts w:ascii="Times New Roman" w:hAnsi="Times New Roman" w:cs="Bookman Old Style"/>
          <w:color w:val="000000"/>
          <w:szCs w:val="20"/>
        </w:rPr>
        <w:t xml:space="preserve">the Tribunal </w:t>
      </w:r>
      <w:r w:rsidRPr="00717C20">
        <w:rPr>
          <w:rFonts w:ascii="Times New Roman" w:hAnsi="Times New Roman" w:cs="Bookman Old Style"/>
          <w:color w:val="000000"/>
          <w:szCs w:val="20"/>
        </w:rPr>
        <w:t xml:space="preserve">routinely suspected </w:t>
      </w:r>
      <w:r>
        <w:rPr>
          <w:rFonts w:ascii="Times New Roman" w:hAnsi="Times New Roman" w:cs="Bookman Old Style"/>
          <w:color w:val="000000"/>
          <w:szCs w:val="20"/>
        </w:rPr>
        <w:t>that women</w:t>
      </w:r>
      <w:r w:rsidRPr="00717C20">
        <w:rPr>
          <w:rFonts w:ascii="Times New Roman" w:hAnsi="Times New Roman" w:cs="Bookman Old Style"/>
          <w:color w:val="000000"/>
          <w:szCs w:val="20"/>
        </w:rPr>
        <w:t xml:space="preserve"> secret</w:t>
      </w:r>
      <w:r>
        <w:rPr>
          <w:rFonts w:ascii="Times New Roman" w:hAnsi="Times New Roman" w:cs="Bookman Old Style"/>
          <w:color w:val="000000"/>
          <w:szCs w:val="20"/>
        </w:rPr>
        <w:t>ly placed</w:t>
      </w:r>
      <w:r w:rsidRPr="00717C20">
        <w:rPr>
          <w:rFonts w:ascii="Times New Roman" w:hAnsi="Times New Roman" w:cs="Bookman Old Style"/>
          <w:color w:val="000000"/>
          <w:szCs w:val="20"/>
        </w:rPr>
        <w:t xml:space="preserve"> their loyalty to their families over duty to the </w:t>
      </w:r>
      <w:r w:rsidRPr="00717C20">
        <w:rPr>
          <w:rFonts w:ascii="Times New Roman" w:hAnsi="Times New Roman" w:cs="Bookman Old Style"/>
          <w:i/>
          <w:color w:val="000000"/>
          <w:szCs w:val="20"/>
        </w:rPr>
        <w:t>patrie.</w:t>
      </w:r>
    </w:p>
    <w:p w:rsidR="00CB0720" w:rsidRDefault="001C5440" w:rsidP="00525111">
      <w:pPr>
        <w:spacing w:line="480" w:lineRule="auto"/>
        <w:ind w:firstLine="720"/>
        <w:contextualSpacing/>
        <w:rPr>
          <w:rFonts w:ascii="Times New Roman" w:hAnsi="Times New Roman" w:cs="Bookman Old Style"/>
          <w:color w:val="000000"/>
          <w:szCs w:val="20"/>
        </w:rPr>
      </w:pPr>
      <w:r w:rsidRPr="00717C20">
        <w:rPr>
          <w:rFonts w:ascii="Times New Roman" w:hAnsi="Times New Roman" w:cs="Bookman Old Style"/>
          <w:color w:val="000000"/>
          <w:szCs w:val="20"/>
        </w:rPr>
        <w:t xml:space="preserve">Within this context, </w:t>
      </w:r>
      <w:r>
        <w:rPr>
          <w:rFonts w:ascii="Times New Roman" w:hAnsi="Times New Roman" w:cs="Bookman Old Style"/>
          <w:color w:val="000000"/>
          <w:szCs w:val="20"/>
        </w:rPr>
        <w:t>women struggled to separate themselves from a</w:t>
      </w:r>
      <w:r w:rsidRPr="00717C20">
        <w:rPr>
          <w:rFonts w:ascii="Times New Roman" w:hAnsi="Times New Roman" w:cs="Bookman Old Style"/>
          <w:color w:val="000000"/>
          <w:szCs w:val="20"/>
        </w:rPr>
        <w:t xml:space="preserve"> husband’s actions while on trial before the Revolutionary Tribunal. </w:t>
      </w:r>
      <w:r>
        <w:rPr>
          <w:rFonts w:ascii="Times New Roman" w:hAnsi="Times New Roman" w:cs="Bookman Old Style"/>
          <w:color w:val="000000"/>
          <w:szCs w:val="20"/>
        </w:rPr>
        <w:t xml:space="preserve">The Tribunal had no mercy for </w:t>
      </w:r>
      <w:r w:rsidRPr="00717C20">
        <w:rPr>
          <w:rFonts w:ascii="Times New Roman" w:hAnsi="Times New Roman" w:cs="Bookman Old Style"/>
          <w:color w:val="000000"/>
          <w:szCs w:val="20"/>
        </w:rPr>
        <w:t>Femme Luppé, despite her assertion that she repeatedly left and returned to France at her husband’s wi</w:t>
      </w:r>
      <w:r>
        <w:rPr>
          <w:rFonts w:ascii="Times New Roman" w:hAnsi="Times New Roman" w:cs="Bookman Old Style"/>
          <w:color w:val="000000"/>
          <w:szCs w:val="20"/>
        </w:rPr>
        <w:t>shes.</w:t>
      </w:r>
      <w:r w:rsidRPr="00717C20">
        <w:rPr>
          <w:rStyle w:val="FootnoteReference"/>
          <w:rFonts w:ascii="Times New Roman" w:hAnsi="Times New Roman" w:cs="Bookman Old Style"/>
          <w:color w:val="000000"/>
          <w:szCs w:val="20"/>
        </w:rPr>
        <w:footnoteReference w:id="76"/>
      </w:r>
      <w:r>
        <w:rPr>
          <w:rFonts w:ascii="Times New Roman" w:hAnsi="Times New Roman" w:cs="Bookman Old Style"/>
          <w:color w:val="000000"/>
          <w:szCs w:val="20"/>
        </w:rPr>
        <w:t xml:space="preserve"> Her protestations and</w:t>
      </w:r>
      <w:r w:rsidRPr="00717C20">
        <w:rPr>
          <w:rFonts w:ascii="Times New Roman" w:hAnsi="Times New Roman" w:cs="Bookman Old Style"/>
          <w:color w:val="000000"/>
          <w:szCs w:val="20"/>
        </w:rPr>
        <w:t xml:space="preserve"> civil widowhood</w:t>
      </w:r>
      <w:r>
        <w:rPr>
          <w:rFonts w:ascii="Times New Roman" w:hAnsi="Times New Roman" w:cs="Bookman Old Style"/>
          <w:color w:val="000000"/>
          <w:szCs w:val="20"/>
        </w:rPr>
        <w:t xml:space="preserve"> did</w:t>
      </w:r>
      <w:r w:rsidRPr="00717C20">
        <w:rPr>
          <w:rFonts w:ascii="Times New Roman" w:hAnsi="Times New Roman" w:cs="Bookman Old Style"/>
          <w:color w:val="000000"/>
          <w:szCs w:val="20"/>
        </w:rPr>
        <w:t xml:space="preserve"> not sufficiently convince the Tribunal of her patriotism and </w:t>
      </w:r>
      <w:r>
        <w:rPr>
          <w:rFonts w:ascii="Times New Roman" w:hAnsi="Times New Roman" w:cs="Bookman Old Style"/>
          <w:color w:val="000000"/>
          <w:szCs w:val="20"/>
        </w:rPr>
        <w:t>her opposition towards</w:t>
      </w:r>
      <w:r w:rsidRPr="00717C20">
        <w:rPr>
          <w:rFonts w:ascii="Times New Roman" w:hAnsi="Times New Roman" w:cs="Bookman Old Style"/>
          <w:color w:val="000000"/>
          <w:szCs w:val="20"/>
        </w:rPr>
        <w:t xml:space="preserve"> of the actions of her</w:t>
      </w:r>
      <w:r w:rsidR="007E0037">
        <w:rPr>
          <w:rFonts w:ascii="Times New Roman" w:hAnsi="Times New Roman" w:cs="Bookman Old Style"/>
          <w:color w:val="000000"/>
          <w:szCs w:val="20"/>
        </w:rPr>
        <w:t xml:space="preserve"> émigré</w:t>
      </w:r>
      <w:r w:rsidRPr="00717C20">
        <w:rPr>
          <w:rFonts w:ascii="Times New Roman" w:hAnsi="Times New Roman" w:cs="Bookman Old Style"/>
          <w:color w:val="000000"/>
          <w:szCs w:val="20"/>
        </w:rPr>
        <w:t xml:space="preserve"> </w:t>
      </w:r>
      <w:r w:rsidRPr="00717C20">
        <w:rPr>
          <w:rFonts w:ascii="Times New Roman" w:hAnsi="Times New Roman" w:cs="Bookman Old Style"/>
          <w:color w:val="000000"/>
          <w:szCs w:val="20"/>
        </w:rPr>
        <w:lastRenderedPageBreak/>
        <w:t xml:space="preserve">husband. From the Tribunal’s perspective, a truly patriotic </w:t>
      </w:r>
      <w:r w:rsidRPr="00717C20">
        <w:rPr>
          <w:rFonts w:ascii="Times New Roman" w:hAnsi="Times New Roman" w:cs="Bookman Old Style"/>
          <w:i/>
          <w:color w:val="000000"/>
          <w:szCs w:val="20"/>
        </w:rPr>
        <w:t>citoyenne</w:t>
      </w:r>
      <w:r w:rsidRPr="00717C20">
        <w:rPr>
          <w:rFonts w:ascii="Times New Roman" w:hAnsi="Times New Roman" w:cs="Bookman Old Style"/>
          <w:color w:val="000000"/>
          <w:szCs w:val="20"/>
        </w:rPr>
        <w:t xml:space="preserve"> would have convinced her husband to stay in Fran</w:t>
      </w:r>
      <w:r>
        <w:rPr>
          <w:rFonts w:ascii="Times New Roman" w:hAnsi="Times New Roman" w:cs="Bookman Old Style"/>
          <w:color w:val="000000"/>
          <w:szCs w:val="20"/>
        </w:rPr>
        <w:t>ce, and if that proved impossible</w:t>
      </w:r>
      <w:r w:rsidRPr="00717C20">
        <w:rPr>
          <w:rFonts w:ascii="Times New Roman" w:hAnsi="Times New Roman" w:cs="Bookman Old Style"/>
          <w:color w:val="000000"/>
          <w:szCs w:val="20"/>
        </w:rPr>
        <w:t xml:space="preserve">, divorced him as soon as it was legalized in September 1792. In this way, the Tribunal held women, especially wives, responsible for the counterrevolutionary activities of their husbands and sons, and expected women not only to foster revolutionary values in their relatives, but also to actively oppose and separate themselves from counterrevolutionary activities. </w:t>
      </w:r>
    </w:p>
    <w:p w:rsidR="001C5440" w:rsidRPr="00717C20" w:rsidRDefault="001C5440" w:rsidP="00525111">
      <w:pPr>
        <w:spacing w:line="480" w:lineRule="auto"/>
        <w:ind w:firstLine="720"/>
        <w:contextualSpacing/>
        <w:rPr>
          <w:rFonts w:ascii="Times New Roman" w:hAnsi="Times New Roman" w:cs="Bookman Old Style"/>
          <w:color w:val="000000"/>
          <w:szCs w:val="20"/>
        </w:rPr>
      </w:pPr>
    </w:p>
    <w:p w:rsidR="001C5440" w:rsidRPr="00CB0720" w:rsidRDefault="001C5440" w:rsidP="00525111">
      <w:pPr>
        <w:spacing w:line="480" w:lineRule="auto"/>
        <w:contextualSpacing/>
        <w:rPr>
          <w:rFonts w:ascii="Times New Roman" w:hAnsi="Times New Roman" w:cs="Bookman Old Style"/>
          <w:smallCaps/>
          <w:color w:val="000000"/>
          <w:szCs w:val="20"/>
        </w:rPr>
      </w:pPr>
      <w:r w:rsidRPr="00CB0720">
        <w:rPr>
          <w:rFonts w:ascii="Times New Roman" w:hAnsi="Times New Roman" w:cs="Bookman Old Style"/>
          <w:smallCaps/>
          <w:color w:val="000000"/>
          <w:szCs w:val="20"/>
        </w:rPr>
        <w:t xml:space="preserve">Women’s Religious Crimes </w:t>
      </w:r>
    </w:p>
    <w:p w:rsidR="001C5440" w:rsidRPr="00717C20" w:rsidRDefault="001C5440" w:rsidP="00525111">
      <w:pPr>
        <w:spacing w:line="480" w:lineRule="auto"/>
        <w:ind w:firstLine="720"/>
        <w:contextualSpacing/>
        <w:rPr>
          <w:rFonts w:ascii="Times New Roman" w:hAnsi="Times New Roman" w:cs="Bookman Old Style"/>
          <w:color w:val="000000"/>
          <w:szCs w:val="20"/>
        </w:rPr>
      </w:pPr>
      <w:r w:rsidRPr="00717C20">
        <w:rPr>
          <w:rFonts w:ascii="Times New Roman" w:hAnsi="Times New Roman" w:cs="Bookman Old Style"/>
          <w:color w:val="000000"/>
          <w:szCs w:val="20"/>
        </w:rPr>
        <w:t>Although the Revolutionary Tribunal’s fear over the influence of women resulted in harsh treatment for unproved or minor counterrevolutionary crim</w:t>
      </w:r>
      <w:r>
        <w:rPr>
          <w:rFonts w:ascii="Times New Roman" w:hAnsi="Times New Roman" w:cs="Bookman Old Style"/>
          <w:color w:val="000000"/>
          <w:szCs w:val="20"/>
        </w:rPr>
        <w:t xml:space="preserve">es, in other situations, women </w:t>
      </w:r>
      <w:r w:rsidRPr="00717C20">
        <w:rPr>
          <w:rFonts w:ascii="Times New Roman" w:hAnsi="Times New Roman" w:cs="Bookman Old Style"/>
          <w:color w:val="000000"/>
          <w:szCs w:val="20"/>
        </w:rPr>
        <w:t xml:space="preserve">could use the Tribunal’s apathy to their advantage. </w:t>
      </w:r>
      <w:r>
        <w:rPr>
          <w:rFonts w:ascii="Times New Roman" w:hAnsi="Times New Roman" w:cs="Bookman Old Style"/>
          <w:color w:val="000000"/>
          <w:szCs w:val="20"/>
        </w:rPr>
        <w:t>Specifically, w</w:t>
      </w:r>
      <w:r w:rsidRPr="00717C20">
        <w:rPr>
          <w:rFonts w:ascii="Times New Roman" w:hAnsi="Times New Roman" w:cs="Bookman Old Style"/>
          <w:color w:val="000000"/>
          <w:szCs w:val="20"/>
        </w:rPr>
        <w:t xml:space="preserve">omen’s religious crimes </w:t>
      </w:r>
      <w:r>
        <w:rPr>
          <w:rFonts w:ascii="Times New Roman" w:hAnsi="Times New Roman" w:cs="Bookman Old Style"/>
          <w:color w:val="000000"/>
          <w:szCs w:val="20"/>
        </w:rPr>
        <w:t>threatened the Tribunal less</w:t>
      </w:r>
      <w:r w:rsidRPr="00717C20">
        <w:rPr>
          <w:rFonts w:ascii="Times New Roman" w:hAnsi="Times New Roman" w:cs="Bookman Old Style"/>
          <w:color w:val="000000"/>
          <w:szCs w:val="20"/>
        </w:rPr>
        <w:t xml:space="preserve"> than similar crimes committed by men</w:t>
      </w:r>
      <w:r>
        <w:rPr>
          <w:rFonts w:ascii="Times New Roman" w:hAnsi="Times New Roman" w:cs="Bookman Old Style"/>
          <w:color w:val="000000"/>
          <w:szCs w:val="20"/>
        </w:rPr>
        <w:t xml:space="preserve"> because women possessed limited power in the church hierarchy and because women’s religious charity provided vital social services</w:t>
      </w:r>
      <w:r w:rsidRPr="00717C20">
        <w:rPr>
          <w:rFonts w:ascii="Times New Roman" w:hAnsi="Times New Roman" w:cs="Bookman Old Style"/>
          <w:color w:val="000000"/>
          <w:szCs w:val="20"/>
        </w:rPr>
        <w:t>. Nuns and priests from the same convent, brought to trial at the same time, consistently faced divergent outcomes. Former nuns and laywomen benefited from th</w:t>
      </w:r>
      <w:r>
        <w:rPr>
          <w:rFonts w:ascii="Times New Roman" w:hAnsi="Times New Roman" w:cs="Bookman Old Style"/>
          <w:color w:val="000000"/>
          <w:szCs w:val="20"/>
        </w:rPr>
        <w:t>e Tribunal’s relaxed,</w:t>
      </w:r>
      <w:r w:rsidRPr="00717C20">
        <w:rPr>
          <w:rFonts w:ascii="Times New Roman" w:hAnsi="Times New Roman" w:cs="Bookman Old Style"/>
          <w:color w:val="000000"/>
          <w:szCs w:val="20"/>
        </w:rPr>
        <w:t xml:space="preserve"> even understanding, perception of religious activity among women. </w:t>
      </w:r>
    </w:p>
    <w:p w:rsidR="001C5440" w:rsidRPr="00717C20" w:rsidRDefault="001C5440" w:rsidP="00525111">
      <w:pPr>
        <w:spacing w:line="480" w:lineRule="auto"/>
        <w:contextualSpacing/>
        <w:rPr>
          <w:rFonts w:ascii="Times New Roman" w:hAnsi="Times New Roman" w:cs="Bookman Old Style"/>
          <w:color w:val="000000"/>
          <w:szCs w:val="20"/>
        </w:rPr>
      </w:pPr>
      <w:r w:rsidRPr="00717C20">
        <w:rPr>
          <w:rFonts w:ascii="Times New Roman" w:hAnsi="Times New Roman" w:cs="Bookman Old Style"/>
          <w:color w:val="000000"/>
          <w:szCs w:val="20"/>
        </w:rPr>
        <w:tab/>
        <w:t>“Dimorphism according to sex,” according to Michel Vovelle, became increasingly common in religious practice of the eighteenth century, with women showing a greater attachment to religion than men.</w:t>
      </w:r>
      <w:r w:rsidRPr="00717C20">
        <w:rPr>
          <w:rStyle w:val="FootnoteReference"/>
          <w:rFonts w:ascii="Times New Roman" w:hAnsi="Times New Roman" w:cs="Bookman Old Style"/>
          <w:color w:val="000000"/>
          <w:szCs w:val="20"/>
        </w:rPr>
        <w:footnoteReference w:id="77"/>
      </w:r>
      <w:r w:rsidRPr="00717C20">
        <w:rPr>
          <w:rFonts w:ascii="Times New Roman" w:hAnsi="Times New Roman" w:cs="Bookman Old Style"/>
          <w:color w:val="000000"/>
          <w:szCs w:val="20"/>
        </w:rPr>
        <w:t xml:space="preserve"> Writers and intellectuals of the period observed that religion, and the Catholic Church in particular, </w:t>
      </w:r>
      <w:r>
        <w:rPr>
          <w:rFonts w:ascii="Times New Roman" w:hAnsi="Times New Roman" w:cs="Bookman Old Style"/>
          <w:color w:val="000000"/>
          <w:szCs w:val="20"/>
        </w:rPr>
        <w:t>generally held</w:t>
      </w:r>
      <w:r w:rsidRPr="00717C20">
        <w:rPr>
          <w:rFonts w:ascii="Times New Roman" w:hAnsi="Times New Roman" w:cs="Bookman Old Style"/>
          <w:color w:val="000000"/>
          <w:szCs w:val="20"/>
        </w:rPr>
        <w:t xml:space="preserve"> greater importance in the lives of women than men. Women, Joseph-Marie Lequinio wrote in 1793, “were devout, </w:t>
      </w:r>
      <w:r w:rsidRPr="00717C20">
        <w:rPr>
          <w:rFonts w:ascii="Times New Roman" w:hAnsi="Times New Roman" w:cs="Bookman Old Style"/>
          <w:color w:val="000000"/>
          <w:szCs w:val="20"/>
        </w:rPr>
        <w:lastRenderedPageBreak/>
        <w:t>because they had a great need to love, and this was remarkable especially when their careers faded.” Religion provided women, he continued, an “inexpressible consolation…to love at least one ideal being.”</w:t>
      </w:r>
      <w:r w:rsidRPr="00717C20">
        <w:rPr>
          <w:rStyle w:val="FootnoteReference"/>
          <w:rFonts w:ascii="Times New Roman" w:hAnsi="Times New Roman" w:cs="Bookman Old Style"/>
          <w:color w:val="000000"/>
          <w:szCs w:val="20"/>
        </w:rPr>
        <w:footnoteReference w:id="78"/>
      </w:r>
      <w:r w:rsidRPr="00717C20">
        <w:rPr>
          <w:rFonts w:ascii="Times New Roman" w:hAnsi="Times New Roman" w:cs="Bookman Old Style"/>
          <w:color w:val="000000"/>
          <w:szCs w:val="20"/>
        </w:rPr>
        <w:t xml:space="preserve"> This attachment to religion, when combined with the dechristianization efforts of the Revolutionary government, resulted in the arrest and trial of many women for counterrevolutionary opinions and tendencies. </w:t>
      </w:r>
    </w:p>
    <w:p w:rsidR="001C5440" w:rsidRPr="00717C20" w:rsidRDefault="001C5440" w:rsidP="00525111">
      <w:pPr>
        <w:spacing w:line="480" w:lineRule="auto"/>
        <w:ind w:firstLine="720"/>
        <w:contextualSpacing/>
        <w:rPr>
          <w:rFonts w:ascii="Times New Roman" w:hAnsi="Times New Roman" w:cs="Bookman Old Style"/>
          <w:color w:val="000000"/>
          <w:szCs w:val="20"/>
        </w:rPr>
      </w:pPr>
      <w:r>
        <w:rPr>
          <w:rFonts w:ascii="Times New Roman" w:hAnsi="Times New Roman" w:cs="Bookman Old Style"/>
          <w:color w:val="000000"/>
          <w:szCs w:val="20"/>
        </w:rPr>
        <w:t>Earlier in the Revolution, m</w:t>
      </w:r>
      <w:r w:rsidRPr="00717C20">
        <w:rPr>
          <w:rFonts w:ascii="Times New Roman" w:hAnsi="Times New Roman" w:cs="Bookman Old Style"/>
          <w:color w:val="000000"/>
          <w:szCs w:val="20"/>
        </w:rPr>
        <w:t>any women refused to recogni</w:t>
      </w:r>
      <w:r>
        <w:rPr>
          <w:rFonts w:ascii="Times New Roman" w:hAnsi="Times New Roman" w:cs="Bookman Old Style"/>
          <w:color w:val="000000"/>
          <w:szCs w:val="20"/>
        </w:rPr>
        <w:t>ze the new organization of the C</w:t>
      </w:r>
      <w:r w:rsidRPr="00717C20">
        <w:rPr>
          <w:rFonts w:ascii="Times New Roman" w:hAnsi="Times New Roman" w:cs="Bookman Old Style"/>
          <w:color w:val="000000"/>
          <w:szCs w:val="20"/>
        </w:rPr>
        <w:t xml:space="preserve">hurch created by the Civil Constitution of the Clergy of 1791, which </w:t>
      </w:r>
      <w:r>
        <w:rPr>
          <w:rFonts w:ascii="Times New Roman" w:hAnsi="Times New Roman" w:cs="Bookman Old Style"/>
          <w:color w:val="000000"/>
          <w:szCs w:val="20"/>
        </w:rPr>
        <w:t>required</w:t>
      </w:r>
      <w:r w:rsidRPr="00717C20">
        <w:rPr>
          <w:rFonts w:ascii="Times New Roman" w:hAnsi="Times New Roman" w:cs="Bookman Old Style"/>
          <w:color w:val="000000"/>
          <w:szCs w:val="20"/>
        </w:rPr>
        <w:t xml:space="preserve"> priests to swear loyalty to the revolutionary government. </w:t>
      </w:r>
      <w:r>
        <w:rPr>
          <w:rFonts w:ascii="Times New Roman" w:hAnsi="Times New Roman" w:cs="Bookman Old Style"/>
          <w:color w:val="000000"/>
          <w:szCs w:val="20"/>
        </w:rPr>
        <w:t>The Revolutionary Tribunal condemned n</w:t>
      </w:r>
      <w:r w:rsidRPr="00717C20">
        <w:rPr>
          <w:rFonts w:ascii="Times New Roman" w:hAnsi="Times New Roman" w:cs="Bookman Old Style"/>
          <w:color w:val="000000"/>
          <w:szCs w:val="20"/>
        </w:rPr>
        <w:t>on-juring, refractory</w:t>
      </w:r>
      <w:r>
        <w:rPr>
          <w:rFonts w:ascii="Times New Roman" w:hAnsi="Times New Roman" w:cs="Bookman Old Style"/>
          <w:color w:val="000000"/>
          <w:szCs w:val="20"/>
        </w:rPr>
        <w:t xml:space="preserve"> priests</w:t>
      </w:r>
      <w:r w:rsidRPr="00717C20">
        <w:rPr>
          <w:rFonts w:ascii="Times New Roman" w:hAnsi="Times New Roman" w:cs="Bookman Old Style"/>
          <w:color w:val="000000"/>
          <w:szCs w:val="20"/>
        </w:rPr>
        <w:t xml:space="preserve"> for their </w:t>
      </w:r>
      <w:r>
        <w:rPr>
          <w:rFonts w:ascii="Times New Roman" w:hAnsi="Times New Roman" w:cs="Bookman Old Style"/>
          <w:color w:val="000000"/>
          <w:szCs w:val="20"/>
        </w:rPr>
        <w:t xml:space="preserve">supposedly </w:t>
      </w:r>
      <w:r w:rsidRPr="00717C20">
        <w:rPr>
          <w:rFonts w:ascii="Times New Roman" w:hAnsi="Times New Roman" w:cs="Bookman Old Style"/>
          <w:color w:val="000000"/>
          <w:szCs w:val="20"/>
        </w:rPr>
        <w:t xml:space="preserve">counterrevolutionary sentiments. Former nuns, </w:t>
      </w:r>
      <w:r>
        <w:rPr>
          <w:rFonts w:ascii="Times New Roman" w:hAnsi="Times New Roman" w:cs="Bookman Old Style"/>
          <w:color w:val="000000"/>
          <w:szCs w:val="20"/>
        </w:rPr>
        <w:t xml:space="preserve">as well as </w:t>
      </w:r>
      <w:r w:rsidRPr="00717C20">
        <w:rPr>
          <w:rFonts w:ascii="Times New Roman" w:hAnsi="Times New Roman" w:cs="Bookman Old Style"/>
          <w:color w:val="000000"/>
          <w:szCs w:val="20"/>
        </w:rPr>
        <w:t>women w</w:t>
      </w:r>
      <w:r>
        <w:rPr>
          <w:rFonts w:ascii="Times New Roman" w:hAnsi="Times New Roman" w:cs="Bookman Old Style"/>
          <w:color w:val="000000"/>
          <w:szCs w:val="20"/>
        </w:rPr>
        <w:t>ho sheltered non-juring priests and religious paraphernalia</w:t>
      </w:r>
      <w:r w:rsidRPr="00717C20">
        <w:rPr>
          <w:rFonts w:ascii="Times New Roman" w:hAnsi="Times New Roman" w:cs="Bookman Old Style"/>
          <w:color w:val="000000"/>
          <w:szCs w:val="20"/>
        </w:rPr>
        <w:t xml:space="preserve"> were </w:t>
      </w:r>
      <w:r>
        <w:rPr>
          <w:rFonts w:ascii="Times New Roman" w:hAnsi="Times New Roman" w:cs="Bookman Old Style"/>
          <w:color w:val="000000"/>
          <w:szCs w:val="20"/>
        </w:rPr>
        <w:t>likewise brought before the Tribunal. The Tribunal, however, seldom convicted these women of counterrevolution.</w:t>
      </w:r>
      <w:r w:rsidRPr="00717C20">
        <w:rPr>
          <w:rFonts w:ascii="Times New Roman" w:hAnsi="Times New Roman" w:cs="Bookman Old Style"/>
          <w:color w:val="000000"/>
          <w:szCs w:val="20"/>
        </w:rPr>
        <w:t xml:space="preserve"> </w:t>
      </w:r>
      <w:r>
        <w:rPr>
          <w:rFonts w:ascii="Times New Roman" w:hAnsi="Times New Roman" w:cs="Bookman Old Style"/>
          <w:color w:val="000000"/>
          <w:szCs w:val="20"/>
        </w:rPr>
        <w:t>T</w:t>
      </w:r>
      <w:r w:rsidRPr="00717C20">
        <w:rPr>
          <w:rFonts w:ascii="Times New Roman" w:hAnsi="Times New Roman" w:cs="Bookman Old Style"/>
          <w:color w:val="000000"/>
          <w:szCs w:val="20"/>
        </w:rPr>
        <w:t>he legacy of female religiosity and the role of women in the Catholic Church</w:t>
      </w:r>
      <w:r>
        <w:rPr>
          <w:rFonts w:ascii="Times New Roman" w:hAnsi="Times New Roman" w:cs="Bookman Old Style"/>
          <w:color w:val="000000"/>
          <w:szCs w:val="20"/>
        </w:rPr>
        <w:t xml:space="preserve"> accounts for</w:t>
      </w:r>
      <w:r w:rsidRPr="00717C20">
        <w:rPr>
          <w:rFonts w:ascii="Times New Roman" w:hAnsi="Times New Roman" w:cs="Bookman Old Style"/>
          <w:color w:val="000000"/>
          <w:szCs w:val="20"/>
        </w:rPr>
        <w:t xml:space="preserve"> </w:t>
      </w:r>
      <w:r>
        <w:rPr>
          <w:rFonts w:ascii="Times New Roman" w:hAnsi="Times New Roman" w:cs="Bookman Old Style"/>
          <w:color w:val="000000"/>
          <w:szCs w:val="20"/>
        </w:rPr>
        <w:t>t</w:t>
      </w:r>
      <w:r w:rsidRPr="00717C20">
        <w:rPr>
          <w:rFonts w:ascii="Times New Roman" w:hAnsi="Times New Roman" w:cs="Bookman Old Style"/>
          <w:color w:val="000000"/>
          <w:szCs w:val="20"/>
        </w:rPr>
        <w:t>his discrepancy.</w:t>
      </w:r>
      <w:r w:rsidR="007E0037">
        <w:rPr>
          <w:rFonts w:ascii="Times New Roman" w:hAnsi="Times New Roman" w:cs="Bookman Old Style"/>
          <w:color w:val="000000"/>
          <w:szCs w:val="20"/>
        </w:rPr>
        <w:t xml:space="preserve"> </w:t>
      </w:r>
    </w:p>
    <w:p w:rsidR="001C5440" w:rsidRPr="00717C20" w:rsidRDefault="001C5440" w:rsidP="00525111">
      <w:pPr>
        <w:spacing w:line="480" w:lineRule="auto"/>
        <w:ind w:firstLine="720"/>
        <w:contextualSpacing/>
        <w:rPr>
          <w:rFonts w:ascii="Times New Roman" w:hAnsi="Times New Roman" w:cs="Bookman Old Style"/>
          <w:color w:val="000000"/>
          <w:szCs w:val="20"/>
        </w:rPr>
      </w:pPr>
      <w:r>
        <w:rPr>
          <w:rFonts w:ascii="Times New Roman" w:hAnsi="Times New Roman" w:cs="Bookman Old Style"/>
          <w:color w:val="000000"/>
          <w:szCs w:val="20"/>
        </w:rPr>
        <w:t xml:space="preserve">An anonymous neighbor denounced </w:t>
      </w:r>
      <w:r w:rsidRPr="00717C20">
        <w:rPr>
          <w:rFonts w:ascii="Times New Roman" w:hAnsi="Times New Roman" w:cs="Bookman Old Style"/>
          <w:color w:val="000000"/>
          <w:szCs w:val="20"/>
        </w:rPr>
        <w:t>Louise-Marguerite Leroy,</w:t>
      </w:r>
      <w:r>
        <w:rPr>
          <w:rFonts w:ascii="Times New Roman" w:hAnsi="Times New Roman" w:cs="Bookman Old Style"/>
          <w:color w:val="000000"/>
          <w:szCs w:val="20"/>
        </w:rPr>
        <w:t xml:space="preserve"> femme Goulet, and her neighbor Marie-Françoise Maure </w:t>
      </w:r>
      <w:r w:rsidRPr="00717C20">
        <w:rPr>
          <w:rFonts w:ascii="Times New Roman" w:hAnsi="Times New Roman" w:cs="Bookman Old Style"/>
          <w:color w:val="000000"/>
          <w:szCs w:val="20"/>
        </w:rPr>
        <w:t>to their local revolutionary committee for harboring a refractory priest.</w:t>
      </w:r>
      <w:r w:rsidRPr="00717C20">
        <w:rPr>
          <w:rStyle w:val="FootnoteReference"/>
          <w:rFonts w:ascii="Times New Roman" w:hAnsi="Times New Roman" w:cs="Bookman Old Style"/>
          <w:color w:val="000000"/>
          <w:szCs w:val="20"/>
        </w:rPr>
        <w:footnoteReference w:id="79"/>
      </w:r>
      <w:r>
        <w:rPr>
          <w:rFonts w:ascii="Times New Roman" w:hAnsi="Times New Roman" w:cs="Bookman Old Style"/>
          <w:color w:val="000000"/>
          <w:szCs w:val="20"/>
        </w:rPr>
        <w:t xml:space="preserve"> </w:t>
      </w:r>
      <w:r w:rsidRPr="00717C20">
        <w:rPr>
          <w:rFonts w:ascii="Times New Roman" w:hAnsi="Times New Roman" w:cs="Bookman Old Style"/>
          <w:color w:val="000000"/>
          <w:szCs w:val="20"/>
        </w:rPr>
        <w:t>After quickly discovering the apartment of the refrac</w:t>
      </w:r>
      <w:r>
        <w:rPr>
          <w:rFonts w:ascii="Times New Roman" w:hAnsi="Times New Roman" w:cs="Bookman Old Style"/>
          <w:color w:val="000000"/>
          <w:szCs w:val="20"/>
        </w:rPr>
        <w:t xml:space="preserve">tory priest, the committee </w:t>
      </w:r>
      <w:r w:rsidRPr="00717C20">
        <w:rPr>
          <w:rFonts w:ascii="Times New Roman" w:hAnsi="Times New Roman" w:cs="Bookman Old Style"/>
          <w:color w:val="000000"/>
          <w:szCs w:val="20"/>
        </w:rPr>
        <w:t xml:space="preserve">searched the apartments of other women in the house. </w:t>
      </w:r>
      <w:r>
        <w:rPr>
          <w:rFonts w:ascii="Times New Roman" w:hAnsi="Times New Roman" w:cs="Bookman Old Style"/>
          <w:color w:val="000000"/>
          <w:szCs w:val="20"/>
        </w:rPr>
        <w:t xml:space="preserve">The police discovered that </w:t>
      </w:r>
      <w:r w:rsidRPr="00717C20">
        <w:rPr>
          <w:rFonts w:ascii="Times New Roman" w:hAnsi="Times New Roman" w:cs="Bookman Old Style"/>
          <w:color w:val="000000"/>
          <w:szCs w:val="20"/>
        </w:rPr>
        <w:t xml:space="preserve">Femme Goulet </w:t>
      </w:r>
      <w:r>
        <w:rPr>
          <w:rFonts w:ascii="Times New Roman" w:hAnsi="Times New Roman" w:cs="Bookman Old Style"/>
          <w:color w:val="000000"/>
          <w:szCs w:val="20"/>
        </w:rPr>
        <w:t>harbored</w:t>
      </w:r>
      <w:r w:rsidRPr="00717C20">
        <w:rPr>
          <w:rFonts w:ascii="Times New Roman" w:hAnsi="Times New Roman" w:cs="Bookman Old Style"/>
          <w:color w:val="000000"/>
          <w:szCs w:val="20"/>
        </w:rPr>
        <w:t xml:space="preserve"> a treasure trove of liturgical objects: “a golden chalice,” a “</w:t>
      </w:r>
      <w:r>
        <w:rPr>
          <w:rFonts w:ascii="Times New Roman" w:hAnsi="Times New Roman" w:cs="Bookman Old Style"/>
          <w:color w:val="000000"/>
          <w:szCs w:val="20"/>
        </w:rPr>
        <w:t>baby Jesus</w:t>
      </w:r>
      <w:r w:rsidRPr="00717C20">
        <w:rPr>
          <w:rFonts w:ascii="Times New Roman" w:hAnsi="Times New Roman" w:cs="Bookman Old Style"/>
          <w:color w:val="000000"/>
          <w:szCs w:val="20"/>
        </w:rPr>
        <w:t>” in silver and gold, “</w:t>
      </w:r>
      <w:r>
        <w:rPr>
          <w:rFonts w:ascii="Times New Roman" w:hAnsi="Times New Roman"/>
        </w:rPr>
        <w:t>a purse containing</w:t>
      </w:r>
      <w:r w:rsidRPr="00717C20">
        <w:rPr>
          <w:rFonts w:ascii="Times New Roman" w:hAnsi="Times New Roman"/>
        </w:rPr>
        <w:t xml:space="preserve"> </w:t>
      </w:r>
      <w:r>
        <w:rPr>
          <w:rFonts w:ascii="Times New Roman" w:hAnsi="Times New Roman"/>
        </w:rPr>
        <w:t>the utensils and linens necessary</w:t>
      </w:r>
      <w:r w:rsidRPr="00717C20">
        <w:rPr>
          <w:rFonts w:ascii="Times New Roman" w:hAnsi="Times New Roman"/>
        </w:rPr>
        <w:t xml:space="preserve"> </w:t>
      </w:r>
      <w:r>
        <w:rPr>
          <w:rFonts w:ascii="Times New Roman" w:hAnsi="Times New Roman"/>
        </w:rPr>
        <w:t>for service,” “a little basket,” and “a chasuble” in imitation gold.</w:t>
      </w:r>
      <w:r w:rsidRPr="00717C20">
        <w:rPr>
          <w:rStyle w:val="FootnoteReference"/>
          <w:rFonts w:ascii="Times New Roman" w:hAnsi="Times New Roman"/>
        </w:rPr>
        <w:footnoteReference w:id="80"/>
      </w:r>
      <w:r w:rsidRPr="00717C20">
        <w:rPr>
          <w:rFonts w:ascii="Times New Roman" w:hAnsi="Times New Roman"/>
        </w:rPr>
        <w:t xml:space="preserve"> Femme Goulet </w:t>
      </w:r>
      <w:r w:rsidRPr="00717C20">
        <w:rPr>
          <w:rFonts w:ascii="Times New Roman" w:hAnsi="Times New Roman" w:cs="Bookman Old Style"/>
          <w:color w:val="000000"/>
          <w:szCs w:val="20"/>
        </w:rPr>
        <w:t>explained that these i</w:t>
      </w:r>
      <w:r>
        <w:rPr>
          <w:rFonts w:ascii="Times New Roman" w:hAnsi="Times New Roman" w:cs="Bookman Old Style"/>
          <w:color w:val="000000"/>
          <w:szCs w:val="20"/>
        </w:rPr>
        <w:t>tems belonged to the priest who currently lived</w:t>
      </w:r>
      <w:r w:rsidRPr="00717C20">
        <w:rPr>
          <w:rFonts w:ascii="Times New Roman" w:hAnsi="Times New Roman" w:cs="Bookman Old Style"/>
          <w:color w:val="000000"/>
          <w:szCs w:val="20"/>
        </w:rPr>
        <w:t xml:space="preserve"> with her, </w:t>
      </w:r>
      <w:r>
        <w:rPr>
          <w:rFonts w:ascii="Times New Roman" w:hAnsi="Times New Roman" w:cs="Bookman Old Style"/>
          <w:color w:val="000000"/>
          <w:szCs w:val="20"/>
        </w:rPr>
        <w:t xml:space="preserve">Pierre-Joachim </w:t>
      </w:r>
      <w:r>
        <w:rPr>
          <w:rFonts w:ascii="Times New Roman" w:hAnsi="Times New Roman" w:cs="Bookman Old Style"/>
          <w:color w:val="000000"/>
          <w:szCs w:val="20"/>
        </w:rPr>
        <w:lastRenderedPageBreak/>
        <w:t>Vancleemputte. He</w:t>
      </w:r>
      <w:r w:rsidRPr="00717C20">
        <w:rPr>
          <w:rFonts w:ascii="Times New Roman" w:hAnsi="Times New Roman" w:cs="Bookman Old Style"/>
          <w:color w:val="000000"/>
          <w:szCs w:val="20"/>
        </w:rPr>
        <w:t xml:space="preserve"> c</w:t>
      </w:r>
      <w:r>
        <w:rPr>
          <w:rFonts w:ascii="Times New Roman" w:hAnsi="Times New Roman" w:cs="Bookman Old Style"/>
          <w:color w:val="000000"/>
          <w:szCs w:val="20"/>
        </w:rPr>
        <w:t>ame</w:t>
      </w:r>
      <w:r w:rsidRPr="00717C20">
        <w:rPr>
          <w:rFonts w:ascii="Times New Roman" w:hAnsi="Times New Roman" w:cs="Bookman Old Style"/>
          <w:color w:val="000000"/>
          <w:szCs w:val="20"/>
        </w:rPr>
        <w:t xml:space="preserve"> to her room to say mass every “eight or fifteen days.”</w:t>
      </w:r>
      <w:r w:rsidRPr="00717C20">
        <w:rPr>
          <w:rStyle w:val="FootnoteReference"/>
          <w:rFonts w:ascii="Times New Roman" w:hAnsi="Times New Roman" w:cs="Bookman Old Style"/>
          <w:color w:val="000000"/>
          <w:szCs w:val="20"/>
        </w:rPr>
        <w:footnoteReference w:id="81"/>
      </w:r>
      <w:r>
        <w:rPr>
          <w:rFonts w:ascii="Times New Roman" w:hAnsi="Times New Roman" w:cs="Bookman Old Style"/>
          <w:color w:val="000000"/>
          <w:szCs w:val="20"/>
        </w:rPr>
        <w:t xml:space="preserve"> She freely admitted</w:t>
      </w:r>
      <w:r w:rsidRPr="00717C20">
        <w:rPr>
          <w:rFonts w:ascii="Times New Roman" w:hAnsi="Times New Roman" w:cs="Bookman Old Style"/>
          <w:color w:val="000000"/>
          <w:szCs w:val="20"/>
        </w:rPr>
        <w:t xml:space="preserve"> that many residents of the community attend</w:t>
      </w:r>
      <w:r>
        <w:rPr>
          <w:rFonts w:ascii="Times New Roman" w:hAnsi="Times New Roman" w:cs="Bookman Old Style"/>
          <w:color w:val="000000"/>
          <w:szCs w:val="20"/>
        </w:rPr>
        <w:t>ed</w:t>
      </w:r>
      <w:r w:rsidRPr="00717C20">
        <w:rPr>
          <w:rFonts w:ascii="Times New Roman" w:hAnsi="Times New Roman" w:cs="Bookman Old Style"/>
          <w:color w:val="000000"/>
          <w:szCs w:val="20"/>
        </w:rPr>
        <w:t xml:space="preserve"> this mass and that the gatherings </w:t>
      </w:r>
      <w:r>
        <w:rPr>
          <w:rFonts w:ascii="Times New Roman" w:hAnsi="Times New Roman" w:cs="Bookman Old Style"/>
          <w:color w:val="000000"/>
          <w:szCs w:val="20"/>
        </w:rPr>
        <w:t xml:space="preserve">had </w:t>
      </w:r>
      <w:r w:rsidRPr="00717C20">
        <w:rPr>
          <w:rFonts w:ascii="Times New Roman" w:hAnsi="Times New Roman" w:cs="Bookman Old Style"/>
          <w:color w:val="000000"/>
          <w:szCs w:val="20"/>
        </w:rPr>
        <w:t>occurred for the last two months. The interrogation of Marie-Franço</w:t>
      </w:r>
      <w:r>
        <w:rPr>
          <w:rFonts w:ascii="Times New Roman" w:hAnsi="Times New Roman" w:cs="Bookman Old Style"/>
          <w:color w:val="000000"/>
          <w:szCs w:val="20"/>
        </w:rPr>
        <w:t>ise Maure confirmed these facts. S</w:t>
      </w:r>
      <w:r w:rsidRPr="00717C20">
        <w:rPr>
          <w:rFonts w:ascii="Times New Roman" w:hAnsi="Times New Roman" w:cs="Bookman Old Style"/>
          <w:color w:val="000000"/>
          <w:szCs w:val="20"/>
        </w:rPr>
        <w:t xml:space="preserve">he </w:t>
      </w:r>
      <w:r>
        <w:rPr>
          <w:rFonts w:ascii="Times New Roman" w:hAnsi="Times New Roman" w:cs="Bookman Old Style"/>
          <w:color w:val="000000"/>
          <w:szCs w:val="20"/>
        </w:rPr>
        <w:t>declared</w:t>
      </w:r>
      <w:r w:rsidRPr="00717C20">
        <w:rPr>
          <w:rFonts w:ascii="Times New Roman" w:hAnsi="Times New Roman" w:cs="Bookman Old Style"/>
          <w:color w:val="000000"/>
          <w:szCs w:val="20"/>
        </w:rPr>
        <w:t xml:space="preserve"> that all women of the house attend</w:t>
      </w:r>
      <w:r>
        <w:rPr>
          <w:rFonts w:ascii="Times New Roman" w:hAnsi="Times New Roman" w:cs="Bookman Old Style"/>
          <w:color w:val="000000"/>
          <w:szCs w:val="20"/>
        </w:rPr>
        <w:t>ed</w:t>
      </w:r>
      <w:r w:rsidRPr="00717C20">
        <w:rPr>
          <w:rFonts w:ascii="Times New Roman" w:hAnsi="Times New Roman" w:cs="Bookman Old Style"/>
          <w:color w:val="000000"/>
          <w:szCs w:val="20"/>
        </w:rPr>
        <w:t xml:space="preserve"> mass with only one exception.</w:t>
      </w:r>
      <w:r w:rsidRPr="00717C20">
        <w:rPr>
          <w:rStyle w:val="FootnoteReference"/>
          <w:rFonts w:ascii="Times New Roman" w:hAnsi="Times New Roman" w:cs="Bookman Old Style"/>
          <w:color w:val="000000"/>
          <w:szCs w:val="20"/>
        </w:rPr>
        <w:footnoteReference w:id="82"/>
      </w:r>
      <w:r>
        <w:rPr>
          <w:rFonts w:ascii="Times New Roman" w:hAnsi="Times New Roman" w:cs="Bookman Old Style"/>
          <w:color w:val="000000"/>
          <w:szCs w:val="20"/>
        </w:rPr>
        <w:t xml:space="preserve"> Neither woman attempted to conceal her</w:t>
      </w:r>
      <w:r w:rsidRPr="00717C20">
        <w:rPr>
          <w:rFonts w:ascii="Times New Roman" w:hAnsi="Times New Roman" w:cs="Bookman Old Style"/>
          <w:color w:val="000000"/>
          <w:szCs w:val="20"/>
        </w:rPr>
        <w:t xml:space="preserve"> support o</w:t>
      </w:r>
      <w:r>
        <w:rPr>
          <w:rFonts w:ascii="Times New Roman" w:hAnsi="Times New Roman" w:cs="Bookman Old Style"/>
          <w:color w:val="000000"/>
          <w:szCs w:val="20"/>
        </w:rPr>
        <w:t>f the refractory priest or her</w:t>
      </w:r>
      <w:r w:rsidRPr="00717C20">
        <w:rPr>
          <w:rFonts w:ascii="Times New Roman" w:hAnsi="Times New Roman" w:cs="Bookman Old Style"/>
          <w:color w:val="000000"/>
          <w:szCs w:val="20"/>
        </w:rPr>
        <w:t xml:space="preserve"> participation in his ill</w:t>
      </w:r>
      <w:r>
        <w:rPr>
          <w:rFonts w:ascii="Times New Roman" w:hAnsi="Times New Roman" w:cs="Bookman Old Style"/>
          <w:color w:val="000000"/>
          <w:szCs w:val="20"/>
        </w:rPr>
        <w:t>egal masses. Further, neither woman expressed a fear of punishment for having revealed her actions.</w:t>
      </w:r>
    </w:p>
    <w:p w:rsidR="001C5440" w:rsidRPr="00717C20" w:rsidRDefault="001C5440" w:rsidP="00525111">
      <w:pPr>
        <w:spacing w:line="480" w:lineRule="auto"/>
        <w:ind w:firstLine="720"/>
        <w:contextualSpacing/>
        <w:rPr>
          <w:rFonts w:ascii="Times New Roman" w:hAnsi="Times New Roman" w:cs="Bookman Old Style"/>
          <w:color w:val="000000"/>
          <w:szCs w:val="20"/>
        </w:rPr>
      </w:pPr>
      <w:r w:rsidRPr="00717C20">
        <w:rPr>
          <w:rFonts w:ascii="Times New Roman" w:hAnsi="Times New Roman" w:cs="Bookman Old Style"/>
          <w:i/>
          <w:color w:val="000000"/>
          <w:szCs w:val="20"/>
        </w:rPr>
        <w:t xml:space="preserve">Prêtre </w:t>
      </w:r>
      <w:r w:rsidRPr="00717C20">
        <w:rPr>
          <w:rFonts w:ascii="Times New Roman" w:hAnsi="Times New Roman" w:cs="Bookman Old Style"/>
          <w:color w:val="000000"/>
          <w:szCs w:val="20"/>
        </w:rPr>
        <w:t xml:space="preserve">Pierre-Joachim Vancleemputte, on the other hand, </w:t>
      </w:r>
      <w:r>
        <w:rPr>
          <w:rFonts w:ascii="Times New Roman" w:hAnsi="Times New Roman" w:cs="Bookman Old Style"/>
          <w:color w:val="000000"/>
          <w:szCs w:val="20"/>
        </w:rPr>
        <w:t>challenged</w:t>
      </w:r>
      <w:r w:rsidRPr="00717C20">
        <w:rPr>
          <w:rFonts w:ascii="Times New Roman" w:hAnsi="Times New Roman" w:cs="Bookman Old Style"/>
          <w:color w:val="000000"/>
          <w:szCs w:val="20"/>
        </w:rPr>
        <w:t xml:space="preserve"> many of the accusations made during his interrogation. </w:t>
      </w:r>
      <w:r>
        <w:rPr>
          <w:rFonts w:ascii="Times New Roman" w:hAnsi="Times New Roman" w:cs="Bookman Old Style"/>
          <w:color w:val="000000"/>
          <w:szCs w:val="20"/>
        </w:rPr>
        <w:t>He contested</w:t>
      </w:r>
      <w:r w:rsidRPr="00717C20">
        <w:rPr>
          <w:rFonts w:ascii="Times New Roman" w:hAnsi="Times New Roman" w:cs="Bookman Old Style"/>
          <w:color w:val="000000"/>
          <w:szCs w:val="20"/>
        </w:rPr>
        <w:t xml:space="preserve"> having used the apartment of femme Goulet as </w:t>
      </w:r>
      <w:r>
        <w:rPr>
          <w:rFonts w:ascii="Times New Roman" w:hAnsi="Times New Roman" w:cs="Bookman Old Style"/>
          <w:color w:val="000000"/>
          <w:szCs w:val="20"/>
        </w:rPr>
        <w:t>a chapel and denied</w:t>
      </w:r>
      <w:r w:rsidRPr="00717C20">
        <w:rPr>
          <w:rFonts w:ascii="Times New Roman" w:hAnsi="Times New Roman" w:cs="Bookman Old Style"/>
          <w:color w:val="000000"/>
          <w:szCs w:val="20"/>
        </w:rPr>
        <w:t xml:space="preserve"> ownership of the religious articles f</w:t>
      </w:r>
      <w:r>
        <w:rPr>
          <w:rFonts w:ascii="Times New Roman" w:hAnsi="Times New Roman" w:cs="Bookman Old Style"/>
          <w:color w:val="000000"/>
          <w:szCs w:val="20"/>
        </w:rPr>
        <w:t>ound in her apartment. He claimed</w:t>
      </w:r>
      <w:r w:rsidRPr="00717C20">
        <w:rPr>
          <w:rFonts w:ascii="Times New Roman" w:hAnsi="Times New Roman" w:cs="Bookman Old Style"/>
          <w:color w:val="000000"/>
          <w:szCs w:val="20"/>
        </w:rPr>
        <w:t>, instead, that they belong</w:t>
      </w:r>
      <w:r>
        <w:rPr>
          <w:rFonts w:ascii="Times New Roman" w:hAnsi="Times New Roman" w:cs="Bookman Old Style"/>
          <w:color w:val="000000"/>
          <w:szCs w:val="20"/>
        </w:rPr>
        <w:t>ed</w:t>
      </w:r>
      <w:r w:rsidRPr="00717C20">
        <w:rPr>
          <w:rFonts w:ascii="Times New Roman" w:hAnsi="Times New Roman" w:cs="Bookman Old Style"/>
          <w:color w:val="000000"/>
          <w:szCs w:val="20"/>
        </w:rPr>
        <w:t xml:space="preserve"> </w:t>
      </w:r>
      <w:r>
        <w:rPr>
          <w:rFonts w:ascii="Times New Roman" w:hAnsi="Times New Roman" w:cs="Bookman Old Style"/>
          <w:color w:val="000000"/>
          <w:szCs w:val="20"/>
        </w:rPr>
        <w:t>to a different priest whom he had</w:t>
      </w:r>
      <w:r w:rsidRPr="00717C20">
        <w:rPr>
          <w:rFonts w:ascii="Times New Roman" w:hAnsi="Times New Roman" w:cs="Bookman Old Style"/>
          <w:color w:val="000000"/>
          <w:szCs w:val="20"/>
        </w:rPr>
        <w:t xml:space="preserve"> seen a few times, but “that he knows neither his name, nor his residence.”</w:t>
      </w:r>
      <w:r w:rsidRPr="00717C20">
        <w:rPr>
          <w:rStyle w:val="FootnoteReference"/>
          <w:rFonts w:ascii="Times New Roman" w:hAnsi="Times New Roman" w:cs="Bookman Old Style"/>
          <w:color w:val="000000"/>
          <w:szCs w:val="20"/>
        </w:rPr>
        <w:footnoteReference w:id="83"/>
      </w:r>
      <w:r>
        <w:rPr>
          <w:rFonts w:ascii="Times New Roman" w:hAnsi="Times New Roman" w:cs="Bookman Old Style"/>
          <w:color w:val="000000"/>
          <w:szCs w:val="20"/>
        </w:rPr>
        <w:t xml:space="preserve"> Although he </w:t>
      </w:r>
      <w:r w:rsidRPr="00717C20">
        <w:rPr>
          <w:rFonts w:ascii="Times New Roman" w:hAnsi="Times New Roman" w:cs="Bookman Old Style"/>
          <w:color w:val="000000"/>
          <w:szCs w:val="20"/>
        </w:rPr>
        <w:t>admit</w:t>
      </w:r>
      <w:r>
        <w:rPr>
          <w:rFonts w:ascii="Times New Roman" w:hAnsi="Times New Roman" w:cs="Bookman Old Style"/>
          <w:color w:val="000000"/>
          <w:szCs w:val="20"/>
        </w:rPr>
        <w:t>ted</w:t>
      </w:r>
      <w:r w:rsidRPr="00717C20">
        <w:rPr>
          <w:rFonts w:ascii="Times New Roman" w:hAnsi="Times New Roman" w:cs="Bookman Old Style"/>
          <w:color w:val="000000"/>
          <w:szCs w:val="20"/>
        </w:rPr>
        <w:t xml:space="preserve"> to giving confession and communion “sometimes,” the majority of Vancle</w:t>
      </w:r>
      <w:r>
        <w:rPr>
          <w:rFonts w:ascii="Times New Roman" w:hAnsi="Times New Roman" w:cs="Bookman Old Style"/>
          <w:color w:val="000000"/>
          <w:szCs w:val="20"/>
        </w:rPr>
        <w:t>emputte’s interrogation consisted</w:t>
      </w:r>
      <w:r w:rsidRPr="00717C20">
        <w:rPr>
          <w:rFonts w:ascii="Times New Roman" w:hAnsi="Times New Roman" w:cs="Bookman Old Style"/>
          <w:color w:val="000000"/>
          <w:szCs w:val="20"/>
        </w:rPr>
        <w:t xml:space="preserve"> of </w:t>
      </w:r>
      <w:r>
        <w:rPr>
          <w:rFonts w:ascii="Times New Roman" w:hAnsi="Times New Roman" w:cs="Bookman Old Style"/>
          <w:color w:val="000000"/>
          <w:szCs w:val="20"/>
        </w:rPr>
        <w:t>rebuttals</w:t>
      </w:r>
      <w:r w:rsidRPr="00717C20">
        <w:rPr>
          <w:rFonts w:ascii="Times New Roman" w:hAnsi="Times New Roman" w:cs="Bookman Old Style"/>
          <w:color w:val="000000"/>
          <w:szCs w:val="20"/>
        </w:rPr>
        <w:t xml:space="preserve"> and half-answers. In contrast</w:t>
      </w:r>
      <w:r w:rsidR="00AD0377">
        <w:rPr>
          <w:rFonts w:ascii="Times New Roman" w:hAnsi="Times New Roman" w:cs="Bookman Old Style"/>
          <w:color w:val="000000"/>
          <w:szCs w:val="20"/>
        </w:rPr>
        <w:t xml:space="preserve"> to his female protectors, Vanc</w:t>
      </w:r>
      <w:r w:rsidRPr="00717C20">
        <w:rPr>
          <w:rFonts w:ascii="Times New Roman" w:hAnsi="Times New Roman" w:cs="Bookman Old Style"/>
          <w:color w:val="000000"/>
          <w:szCs w:val="20"/>
        </w:rPr>
        <w:t xml:space="preserve">leemputte </w:t>
      </w:r>
      <w:r>
        <w:rPr>
          <w:rFonts w:ascii="Times New Roman" w:hAnsi="Times New Roman" w:cs="Bookman Old Style"/>
          <w:color w:val="000000"/>
          <w:szCs w:val="20"/>
        </w:rPr>
        <w:t>wanted to hide his religious proclivities, even at the expense of honesty. His actions demonstrated an acute awareness of the consequences for his actions and a fervent desire to avoid them if possible.</w:t>
      </w:r>
    </w:p>
    <w:p w:rsidR="001C5440" w:rsidRPr="00717C20" w:rsidRDefault="001C5440" w:rsidP="00525111">
      <w:pPr>
        <w:spacing w:line="480" w:lineRule="auto"/>
        <w:contextualSpacing/>
        <w:rPr>
          <w:rFonts w:ascii="Times New Roman" w:hAnsi="Times New Roman" w:cs="Bookman Old Style"/>
          <w:color w:val="000000"/>
          <w:szCs w:val="20"/>
        </w:rPr>
      </w:pPr>
      <w:r w:rsidRPr="00717C20">
        <w:rPr>
          <w:rFonts w:ascii="Times New Roman" w:hAnsi="Times New Roman" w:cs="Bookman Old Style"/>
          <w:color w:val="000000"/>
          <w:szCs w:val="20"/>
        </w:rPr>
        <w:tab/>
      </w:r>
      <w:r>
        <w:rPr>
          <w:rFonts w:ascii="Times New Roman" w:hAnsi="Times New Roman" w:cs="Bookman Old Style"/>
          <w:color w:val="000000"/>
          <w:szCs w:val="20"/>
        </w:rPr>
        <w:t>T</w:t>
      </w:r>
      <w:r w:rsidRPr="00717C20">
        <w:rPr>
          <w:rFonts w:ascii="Times New Roman" w:hAnsi="Times New Roman" w:cs="Bookman Old Style"/>
          <w:color w:val="000000"/>
          <w:szCs w:val="20"/>
        </w:rPr>
        <w:t>he local</w:t>
      </w:r>
      <w:r>
        <w:rPr>
          <w:rFonts w:ascii="Times New Roman" w:hAnsi="Times New Roman" w:cs="Bookman Old Style"/>
          <w:color w:val="000000"/>
          <w:szCs w:val="20"/>
        </w:rPr>
        <w:t xml:space="preserve"> section committee </w:t>
      </w:r>
      <w:r w:rsidRPr="00717C20">
        <w:rPr>
          <w:rFonts w:ascii="Times New Roman" w:hAnsi="Times New Roman" w:cs="Bookman Old Style"/>
          <w:color w:val="000000"/>
          <w:szCs w:val="20"/>
        </w:rPr>
        <w:t xml:space="preserve">transferred </w:t>
      </w:r>
      <w:r>
        <w:rPr>
          <w:rFonts w:ascii="Times New Roman" w:hAnsi="Times New Roman" w:cs="Bookman Old Style"/>
          <w:color w:val="000000"/>
          <w:szCs w:val="20"/>
        </w:rPr>
        <w:t xml:space="preserve">the trial </w:t>
      </w:r>
      <w:r w:rsidRPr="00717C20">
        <w:rPr>
          <w:rFonts w:ascii="Times New Roman" w:hAnsi="Times New Roman" w:cs="Bookman Old Style"/>
          <w:color w:val="000000"/>
          <w:szCs w:val="20"/>
        </w:rPr>
        <w:t>to the Rev</w:t>
      </w:r>
      <w:r>
        <w:rPr>
          <w:rFonts w:ascii="Times New Roman" w:hAnsi="Times New Roman" w:cs="Bookman Old Style"/>
          <w:color w:val="000000"/>
          <w:szCs w:val="20"/>
        </w:rPr>
        <w:t>olutionary Tribunal, which tried</w:t>
      </w:r>
      <w:r w:rsidRPr="00717C20">
        <w:rPr>
          <w:rFonts w:ascii="Times New Roman" w:hAnsi="Times New Roman" w:cs="Bookman Old Style"/>
          <w:color w:val="000000"/>
          <w:szCs w:val="20"/>
        </w:rPr>
        <w:t xml:space="preserve"> all three residents for their counterrevolutionary rejection of the Civil Constitution of the Clergy. The phrasing of the official accusation</w:t>
      </w:r>
      <w:r>
        <w:rPr>
          <w:rFonts w:ascii="Times New Roman" w:hAnsi="Times New Roman" w:cs="Bookman Old Style"/>
          <w:color w:val="000000"/>
          <w:szCs w:val="20"/>
        </w:rPr>
        <w:t>s brought against each defendant gave</w:t>
      </w:r>
      <w:r w:rsidRPr="00717C20">
        <w:rPr>
          <w:rFonts w:ascii="Times New Roman" w:hAnsi="Times New Roman" w:cs="Bookman Old Style"/>
          <w:color w:val="000000"/>
          <w:szCs w:val="20"/>
        </w:rPr>
        <w:t xml:space="preserve"> telling insight into the Tribunal’s understanding of female religiosity. After laying out the</w:t>
      </w:r>
      <w:r>
        <w:rPr>
          <w:rFonts w:ascii="Times New Roman" w:hAnsi="Times New Roman" w:cs="Bookman Old Style"/>
          <w:color w:val="000000"/>
          <w:szCs w:val="20"/>
        </w:rPr>
        <w:t xml:space="preserve"> charges, the accusation demanded</w:t>
      </w:r>
      <w:r w:rsidRPr="00717C20">
        <w:rPr>
          <w:rFonts w:ascii="Times New Roman" w:hAnsi="Times New Roman" w:cs="Bookman Old Style"/>
          <w:color w:val="000000"/>
          <w:szCs w:val="20"/>
        </w:rPr>
        <w:t xml:space="preserve"> of each defendant, first: “was she</w:t>
      </w:r>
      <w:r>
        <w:rPr>
          <w:rFonts w:ascii="Times New Roman" w:hAnsi="Times New Roman" w:cs="Bookman Old Style"/>
          <w:color w:val="000000"/>
          <w:szCs w:val="20"/>
        </w:rPr>
        <w:t xml:space="preserve"> [or he]</w:t>
      </w:r>
      <w:r w:rsidRPr="00717C20">
        <w:rPr>
          <w:rFonts w:ascii="Times New Roman" w:hAnsi="Times New Roman" w:cs="Bookman Old Style"/>
          <w:color w:val="000000"/>
          <w:szCs w:val="20"/>
        </w:rPr>
        <w:t xml:space="preserve"> </w:t>
      </w:r>
      <w:r w:rsidRPr="00717C20">
        <w:rPr>
          <w:rFonts w:ascii="Times New Roman" w:hAnsi="Times New Roman" w:cs="Bookman Old Style"/>
          <w:color w:val="000000"/>
          <w:szCs w:val="20"/>
        </w:rPr>
        <w:lastRenderedPageBreak/>
        <w:t>complicit in this conspiracy?” And second: “</w:t>
      </w:r>
      <w:r>
        <w:rPr>
          <w:rFonts w:ascii="Times New Roman" w:hAnsi="Times New Roman" w:cs="Bookman Old Style"/>
          <w:color w:val="000000"/>
          <w:szCs w:val="20"/>
        </w:rPr>
        <w:t>Did she [or he] do it consciously</w:t>
      </w:r>
      <w:r w:rsidRPr="00717C20">
        <w:rPr>
          <w:rFonts w:ascii="Times New Roman" w:hAnsi="Times New Roman" w:cs="Bookman Old Style"/>
          <w:color w:val="000000"/>
          <w:szCs w:val="20"/>
        </w:rPr>
        <w:t xml:space="preserve"> and with criminal or counterrevolutionary intentions?”</w:t>
      </w:r>
      <w:r w:rsidRPr="00717C20">
        <w:rPr>
          <w:rStyle w:val="FootnoteReference"/>
          <w:rFonts w:ascii="Times New Roman" w:hAnsi="Times New Roman" w:cs="Bookman Old Style"/>
          <w:color w:val="000000"/>
          <w:szCs w:val="20"/>
        </w:rPr>
        <w:footnoteReference w:id="84"/>
      </w:r>
      <w:r>
        <w:rPr>
          <w:rFonts w:ascii="Times New Roman" w:hAnsi="Times New Roman" w:cs="Bookman Old Style"/>
          <w:color w:val="000000"/>
          <w:szCs w:val="20"/>
        </w:rPr>
        <w:t xml:space="preserve"> The verdict acknowledged</w:t>
      </w:r>
      <w:r w:rsidRPr="00717C20">
        <w:rPr>
          <w:rFonts w:ascii="Times New Roman" w:hAnsi="Times New Roman" w:cs="Bookman Old Style"/>
          <w:color w:val="000000"/>
          <w:szCs w:val="20"/>
        </w:rPr>
        <w:t xml:space="preserve"> that the a</w:t>
      </w:r>
      <w:r>
        <w:rPr>
          <w:rFonts w:ascii="Times New Roman" w:hAnsi="Times New Roman" w:cs="Bookman Old Style"/>
          <w:color w:val="000000"/>
          <w:szCs w:val="20"/>
        </w:rPr>
        <w:t xml:space="preserve">lleged conspiracy had </w:t>
      </w:r>
      <w:r w:rsidRPr="00717C20">
        <w:rPr>
          <w:rFonts w:ascii="Times New Roman" w:hAnsi="Times New Roman" w:cs="Bookman Old Style"/>
          <w:color w:val="000000"/>
          <w:szCs w:val="20"/>
        </w:rPr>
        <w:t xml:space="preserve">existed, </w:t>
      </w:r>
      <w:r>
        <w:rPr>
          <w:rFonts w:ascii="Times New Roman" w:hAnsi="Times New Roman" w:cs="Bookman Old Style"/>
          <w:color w:val="000000"/>
          <w:szCs w:val="20"/>
        </w:rPr>
        <w:t xml:space="preserve">yet </w:t>
      </w:r>
      <w:r w:rsidRPr="00717C20">
        <w:rPr>
          <w:rFonts w:ascii="Times New Roman" w:hAnsi="Times New Roman" w:cs="Bookman Old Style"/>
          <w:color w:val="000000"/>
          <w:szCs w:val="20"/>
        </w:rPr>
        <w:t xml:space="preserve">nonetheless </w:t>
      </w:r>
      <w:r>
        <w:rPr>
          <w:rFonts w:ascii="Times New Roman" w:hAnsi="Times New Roman" w:cs="Bookman Old Style"/>
          <w:color w:val="000000"/>
          <w:szCs w:val="20"/>
        </w:rPr>
        <w:t xml:space="preserve">maintained that both </w:t>
      </w:r>
      <w:r w:rsidRPr="00717C20">
        <w:rPr>
          <w:rFonts w:ascii="Times New Roman" w:hAnsi="Times New Roman" w:cs="Bookman Old Style"/>
          <w:color w:val="000000"/>
          <w:szCs w:val="20"/>
        </w:rPr>
        <w:t xml:space="preserve">women </w:t>
      </w:r>
      <w:r>
        <w:rPr>
          <w:rFonts w:ascii="Times New Roman" w:hAnsi="Times New Roman" w:cs="Bookman Old Style"/>
          <w:color w:val="000000"/>
          <w:szCs w:val="20"/>
        </w:rPr>
        <w:t>lacked</w:t>
      </w:r>
      <w:r w:rsidRPr="00717C20">
        <w:rPr>
          <w:rFonts w:ascii="Times New Roman" w:hAnsi="Times New Roman" w:cs="Bookman Old Style"/>
          <w:color w:val="000000"/>
          <w:szCs w:val="20"/>
        </w:rPr>
        <w:t xml:space="preserve"> criminal or counterrevolutionary intentions. Priest Vancleemputte</w:t>
      </w:r>
      <w:r>
        <w:rPr>
          <w:rFonts w:ascii="Times New Roman" w:hAnsi="Times New Roman" w:cs="Bookman Old Style"/>
          <w:color w:val="000000"/>
          <w:szCs w:val="20"/>
        </w:rPr>
        <w:t xml:space="preserve"> received no such leniency. While the Tribunal indicted all three defendants of participation in the conspiracy, only Vancleemputte was understood as having done so with counterrevolutionary intentions. </w:t>
      </w:r>
    </w:p>
    <w:p w:rsidR="001C5440" w:rsidRDefault="001C5440" w:rsidP="00525111">
      <w:pPr>
        <w:spacing w:line="480" w:lineRule="auto"/>
        <w:contextualSpacing/>
        <w:rPr>
          <w:rFonts w:ascii="Times New Roman" w:hAnsi="Times New Roman" w:cs="Bookman Old Style"/>
          <w:color w:val="000000"/>
          <w:szCs w:val="20"/>
        </w:rPr>
      </w:pPr>
      <w:r w:rsidRPr="00717C20">
        <w:rPr>
          <w:rFonts w:ascii="Times New Roman" w:hAnsi="Times New Roman" w:cs="Bookman Old Style"/>
          <w:color w:val="000000"/>
          <w:szCs w:val="20"/>
        </w:rPr>
        <w:tab/>
      </w:r>
      <w:r>
        <w:rPr>
          <w:rFonts w:ascii="Times New Roman" w:hAnsi="Times New Roman" w:cs="Bookman Old Style"/>
          <w:color w:val="000000"/>
          <w:szCs w:val="20"/>
        </w:rPr>
        <w:t>These divergent</w:t>
      </w:r>
      <w:r w:rsidRPr="00717C20">
        <w:rPr>
          <w:rFonts w:ascii="Times New Roman" w:hAnsi="Times New Roman" w:cs="Bookman Old Style"/>
          <w:color w:val="000000"/>
          <w:szCs w:val="20"/>
        </w:rPr>
        <w:t xml:space="preserve"> fate</w:t>
      </w:r>
      <w:r>
        <w:rPr>
          <w:rFonts w:ascii="Times New Roman" w:hAnsi="Times New Roman" w:cs="Bookman Old Style"/>
          <w:color w:val="000000"/>
          <w:szCs w:val="20"/>
        </w:rPr>
        <w:t>s underline</w:t>
      </w:r>
      <w:r w:rsidRPr="00717C20">
        <w:rPr>
          <w:rFonts w:ascii="Times New Roman" w:hAnsi="Times New Roman" w:cs="Bookman Old Style"/>
          <w:color w:val="000000"/>
          <w:szCs w:val="20"/>
        </w:rPr>
        <w:t xml:space="preserve"> the fundamental difference that the Tribunal perceived within the religious counterrevolutionary acts of men and women.</w:t>
      </w:r>
      <w:r>
        <w:rPr>
          <w:rFonts w:ascii="Times New Roman" w:hAnsi="Times New Roman" w:cs="Bookman Old Style"/>
          <w:color w:val="000000"/>
          <w:szCs w:val="20"/>
        </w:rPr>
        <w:t xml:space="preserve"> While both sexes were capable of committing religious crimes, men, more often than women, did so with counterrevolutionary intention. The Tribunal did not explicitly link religious devotion among women with counterrevolution, as was the case with men. </w:t>
      </w:r>
    </w:p>
    <w:p w:rsidR="001C5440" w:rsidRPr="00717C20" w:rsidRDefault="001C5440" w:rsidP="00466325">
      <w:pPr>
        <w:spacing w:line="480" w:lineRule="auto"/>
        <w:ind w:firstLine="720"/>
        <w:contextualSpacing/>
        <w:rPr>
          <w:rFonts w:ascii="Times New Roman" w:hAnsi="Times New Roman" w:cs="Bookman Old Style"/>
          <w:color w:val="000000"/>
          <w:szCs w:val="20"/>
        </w:rPr>
      </w:pPr>
      <w:r>
        <w:rPr>
          <w:rFonts w:ascii="Times New Roman" w:hAnsi="Times New Roman" w:cs="Bookman Old Style"/>
          <w:color w:val="000000"/>
          <w:szCs w:val="20"/>
        </w:rPr>
        <w:t>The Tribunal interpreted the actions of</w:t>
      </w:r>
      <w:r w:rsidRPr="00717C20">
        <w:rPr>
          <w:rFonts w:ascii="Times New Roman" w:hAnsi="Times New Roman" w:cs="Bookman Old Style"/>
          <w:color w:val="000000"/>
          <w:szCs w:val="20"/>
        </w:rPr>
        <w:t xml:space="preserve"> nuns and priests</w:t>
      </w:r>
      <w:r>
        <w:rPr>
          <w:rFonts w:ascii="Times New Roman" w:hAnsi="Times New Roman" w:cs="Bookman Old Style"/>
          <w:color w:val="000000"/>
          <w:szCs w:val="20"/>
        </w:rPr>
        <w:t>, even when they</w:t>
      </w:r>
      <w:r w:rsidRPr="00717C20">
        <w:rPr>
          <w:rFonts w:ascii="Times New Roman" w:hAnsi="Times New Roman" w:cs="Bookman Old Style"/>
          <w:color w:val="000000"/>
          <w:szCs w:val="20"/>
        </w:rPr>
        <w:t xml:space="preserve"> from the same convent</w:t>
      </w:r>
      <w:r>
        <w:rPr>
          <w:rFonts w:ascii="Times New Roman" w:hAnsi="Times New Roman" w:cs="Bookman Old Style"/>
          <w:color w:val="000000"/>
          <w:szCs w:val="20"/>
        </w:rPr>
        <w:t xml:space="preserve"> and on trial together, in conflicting, disparate ways. In December of 1793, the Tribunal accused f</w:t>
      </w:r>
      <w:r w:rsidRPr="00717C20">
        <w:rPr>
          <w:rFonts w:ascii="Times New Roman" w:hAnsi="Times New Roman" w:cs="Bookman Old Style"/>
          <w:color w:val="000000"/>
          <w:szCs w:val="20"/>
        </w:rPr>
        <w:t>ive women, nuns before the aboliti</w:t>
      </w:r>
      <w:r>
        <w:rPr>
          <w:rFonts w:ascii="Times New Roman" w:hAnsi="Times New Roman" w:cs="Bookman Old Style"/>
          <w:color w:val="000000"/>
          <w:szCs w:val="20"/>
        </w:rPr>
        <w:t xml:space="preserve">on of monastic life, </w:t>
      </w:r>
      <w:r w:rsidRPr="00717C20">
        <w:rPr>
          <w:rFonts w:ascii="Times New Roman" w:hAnsi="Times New Roman" w:cs="Bookman Old Style"/>
          <w:color w:val="000000"/>
          <w:szCs w:val="20"/>
        </w:rPr>
        <w:t>two female domestic servants</w:t>
      </w:r>
      <w:r>
        <w:rPr>
          <w:rFonts w:ascii="Times New Roman" w:hAnsi="Times New Roman" w:cs="Bookman Old Style"/>
          <w:color w:val="000000"/>
          <w:szCs w:val="20"/>
        </w:rPr>
        <w:t>,</w:t>
      </w:r>
      <w:r w:rsidRPr="00717C20">
        <w:rPr>
          <w:rFonts w:ascii="Times New Roman" w:hAnsi="Times New Roman" w:cs="Bookman Old Style"/>
          <w:color w:val="000000"/>
          <w:szCs w:val="20"/>
        </w:rPr>
        <w:t xml:space="preserve"> and one refractory priest </w:t>
      </w:r>
      <w:r>
        <w:rPr>
          <w:rFonts w:ascii="Times New Roman" w:hAnsi="Times New Roman" w:cs="Bookman Old Style"/>
          <w:color w:val="000000"/>
          <w:szCs w:val="20"/>
        </w:rPr>
        <w:t>of counterrevolutionary opinions</w:t>
      </w:r>
      <w:r w:rsidRPr="00717C20">
        <w:rPr>
          <w:rFonts w:ascii="Times New Roman" w:hAnsi="Times New Roman" w:cs="Bookman Old Style"/>
          <w:color w:val="000000"/>
          <w:szCs w:val="20"/>
        </w:rPr>
        <w:t>.</w:t>
      </w:r>
      <w:r w:rsidRPr="00717C20">
        <w:rPr>
          <w:rStyle w:val="FootnoteReference"/>
          <w:rFonts w:ascii="Times New Roman" w:hAnsi="Times New Roman" w:cs="Bookman Old Style"/>
          <w:color w:val="000000"/>
          <w:szCs w:val="20"/>
        </w:rPr>
        <w:footnoteReference w:id="85"/>
      </w:r>
      <w:r>
        <w:rPr>
          <w:rFonts w:ascii="Times New Roman" w:hAnsi="Times New Roman" w:cs="Bookman Old Style"/>
          <w:color w:val="000000"/>
          <w:szCs w:val="20"/>
        </w:rPr>
        <w:t xml:space="preserve"> Although each</w:t>
      </w:r>
      <w:r w:rsidRPr="00717C20">
        <w:rPr>
          <w:rFonts w:ascii="Times New Roman" w:hAnsi="Times New Roman" w:cs="Bookman Old Style"/>
          <w:color w:val="000000"/>
          <w:szCs w:val="20"/>
        </w:rPr>
        <w:t xml:space="preserve"> defendant did not come </w:t>
      </w:r>
      <w:r>
        <w:rPr>
          <w:rFonts w:ascii="Times New Roman" w:hAnsi="Times New Roman" w:cs="Bookman Old Style"/>
          <w:color w:val="000000"/>
          <w:szCs w:val="20"/>
        </w:rPr>
        <w:t>from the same convent, the majority originated</w:t>
      </w:r>
      <w:r w:rsidRPr="00717C20">
        <w:rPr>
          <w:rFonts w:ascii="Times New Roman" w:hAnsi="Times New Roman" w:cs="Bookman Old Style"/>
          <w:color w:val="000000"/>
          <w:szCs w:val="20"/>
        </w:rPr>
        <w:t xml:space="preserve"> from the same two convents.</w:t>
      </w:r>
      <w:r>
        <w:rPr>
          <w:rFonts w:ascii="Times New Roman" w:hAnsi="Times New Roman" w:cs="Bookman Old Style"/>
          <w:color w:val="000000"/>
          <w:szCs w:val="20"/>
        </w:rPr>
        <w:t xml:space="preserve"> Unlike similar examples from the period, t</w:t>
      </w:r>
      <w:r w:rsidRPr="00717C20">
        <w:rPr>
          <w:rFonts w:ascii="Times New Roman" w:hAnsi="Times New Roman" w:cs="Bookman Old Style"/>
          <w:color w:val="000000"/>
          <w:szCs w:val="20"/>
        </w:rPr>
        <w:t>he trial</w:t>
      </w:r>
      <w:r>
        <w:rPr>
          <w:rFonts w:ascii="Times New Roman" w:hAnsi="Times New Roman" w:cs="Bookman Old Style"/>
          <w:color w:val="000000"/>
          <w:szCs w:val="20"/>
        </w:rPr>
        <w:t xml:space="preserve"> record</w:t>
      </w:r>
      <w:r w:rsidRPr="00717C20">
        <w:rPr>
          <w:rFonts w:ascii="Times New Roman" w:hAnsi="Times New Roman" w:cs="Bookman Old Style"/>
          <w:color w:val="000000"/>
          <w:szCs w:val="20"/>
        </w:rPr>
        <w:t xml:space="preserve"> is extremely short and poorly documented. No articles of defense survive for any of the eight defendants, and the</w:t>
      </w:r>
      <w:r>
        <w:rPr>
          <w:rFonts w:ascii="Times New Roman" w:hAnsi="Times New Roman" w:cs="Bookman Old Style"/>
          <w:color w:val="000000"/>
          <w:szCs w:val="20"/>
        </w:rPr>
        <w:t xml:space="preserve"> Tribunal never elaborated the</w:t>
      </w:r>
      <w:r w:rsidRPr="00717C20">
        <w:rPr>
          <w:rFonts w:ascii="Times New Roman" w:hAnsi="Times New Roman" w:cs="Bookman Old Style"/>
          <w:color w:val="000000"/>
          <w:szCs w:val="20"/>
        </w:rPr>
        <w:t xml:space="preserve"> crime against them beyond the general charge of counterrevolutionary conspiracy (tending to support the reestablishment of royalty.)</w:t>
      </w:r>
      <w:r w:rsidRPr="00717C20">
        <w:rPr>
          <w:rStyle w:val="FootnoteReference"/>
          <w:rFonts w:ascii="Times New Roman" w:hAnsi="Times New Roman" w:cs="Bookman Old Style"/>
          <w:color w:val="000000"/>
          <w:szCs w:val="20"/>
        </w:rPr>
        <w:footnoteReference w:id="86"/>
      </w:r>
      <w:r w:rsidRPr="00717C20">
        <w:rPr>
          <w:rFonts w:ascii="Times New Roman" w:hAnsi="Times New Roman" w:cs="Bookman Old Style"/>
          <w:color w:val="000000"/>
          <w:szCs w:val="20"/>
        </w:rPr>
        <w:t xml:space="preserve"> </w:t>
      </w:r>
    </w:p>
    <w:p w:rsidR="001C5440" w:rsidRPr="00717C20" w:rsidRDefault="001C5440" w:rsidP="00525111">
      <w:pPr>
        <w:spacing w:line="480" w:lineRule="auto"/>
        <w:ind w:firstLine="720"/>
        <w:contextualSpacing/>
        <w:rPr>
          <w:rFonts w:ascii="Times New Roman" w:hAnsi="Times New Roman" w:cs="Bookman Old Style"/>
          <w:color w:val="000000"/>
          <w:szCs w:val="20"/>
        </w:rPr>
      </w:pPr>
      <w:r>
        <w:rPr>
          <w:rFonts w:ascii="Times New Roman" w:hAnsi="Times New Roman" w:cs="Bookman Old Style"/>
          <w:color w:val="000000"/>
          <w:szCs w:val="20"/>
        </w:rPr>
        <w:t>Even within the context of the R</w:t>
      </w:r>
      <w:r w:rsidRPr="00717C20">
        <w:rPr>
          <w:rFonts w:ascii="Times New Roman" w:hAnsi="Times New Roman" w:cs="Bookman Old Style"/>
          <w:color w:val="000000"/>
          <w:szCs w:val="20"/>
        </w:rPr>
        <w:t xml:space="preserve">evolutionary Tribunal, this trial dossier conspicuously lacks </w:t>
      </w:r>
      <w:r>
        <w:rPr>
          <w:rFonts w:ascii="Times New Roman" w:hAnsi="Times New Roman" w:cs="Bookman Old Style"/>
          <w:color w:val="000000"/>
          <w:szCs w:val="20"/>
        </w:rPr>
        <w:t>the</w:t>
      </w:r>
      <w:r w:rsidRPr="00717C20">
        <w:rPr>
          <w:rFonts w:ascii="Times New Roman" w:hAnsi="Times New Roman" w:cs="Bookman Old Style"/>
          <w:color w:val="000000"/>
          <w:szCs w:val="20"/>
        </w:rPr>
        <w:t xml:space="preserve"> supporting legal documents that guided most trials through the </w:t>
      </w:r>
      <w:r w:rsidRPr="00717C20">
        <w:rPr>
          <w:rFonts w:ascii="Times New Roman" w:hAnsi="Times New Roman" w:cs="Bookman Old Style"/>
          <w:color w:val="000000"/>
          <w:szCs w:val="20"/>
        </w:rPr>
        <w:lastRenderedPageBreak/>
        <w:t xml:space="preserve">court system. </w:t>
      </w:r>
      <w:r>
        <w:rPr>
          <w:rFonts w:ascii="Times New Roman" w:hAnsi="Times New Roman" w:cs="Bookman Old Style"/>
          <w:color w:val="000000"/>
          <w:szCs w:val="20"/>
        </w:rPr>
        <w:t>Perhaps the Tribunal assumed</w:t>
      </w:r>
      <w:r w:rsidRPr="00717C20">
        <w:rPr>
          <w:rFonts w:ascii="Times New Roman" w:hAnsi="Times New Roman" w:cs="Bookman Old Style"/>
          <w:color w:val="000000"/>
          <w:szCs w:val="20"/>
        </w:rPr>
        <w:t xml:space="preserve"> that the status of each defendant, along with the briefest of interrogations, provided </w:t>
      </w:r>
      <w:r>
        <w:rPr>
          <w:rFonts w:ascii="Times New Roman" w:hAnsi="Times New Roman" w:cs="Bookman Old Style"/>
          <w:color w:val="000000"/>
          <w:szCs w:val="20"/>
        </w:rPr>
        <w:t>sufficient</w:t>
      </w:r>
      <w:r w:rsidRPr="00717C20">
        <w:rPr>
          <w:rFonts w:ascii="Times New Roman" w:hAnsi="Times New Roman" w:cs="Bookman Old Style"/>
          <w:color w:val="000000"/>
          <w:szCs w:val="20"/>
        </w:rPr>
        <w:t xml:space="preserve"> information for</w:t>
      </w:r>
      <w:r>
        <w:rPr>
          <w:rFonts w:ascii="Times New Roman" w:hAnsi="Times New Roman" w:cs="Bookman Old Style"/>
          <w:color w:val="000000"/>
          <w:szCs w:val="20"/>
        </w:rPr>
        <w:t xml:space="preserve"> a verdict</w:t>
      </w:r>
      <w:r w:rsidRPr="00717C20">
        <w:rPr>
          <w:rFonts w:ascii="Times New Roman" w:hAnsi="Times New Roman" w:cs="Bookman Old Style"/>
          <w:color w:val="000000"/>
          <w:szCs w:val="20"/>
        </w:rPr>
        <w:t>. Without other m</w:t>
      </w:r>
      <w:r>
        <w:rPr>
          <w:rFonts w:ascii="Times New Roman" w:hAnsi="Times New Roman" w:cs="Bookman Old Style"/>
          <w:color w:val="000000"/>
          <w:szCs w:val="20"/>
        </w:rPr>
        <w:t>itigating factors to guide the</w:t>
      </w:r>
      <w:r w:rsidRPr="00717C20">
        <w:rPr>
          <w:rFonts w:ascii="Times New Roman" w:hAnsi="Times New Roman" w:cs="Bookman Old Style"/>
          <w:color w:val="000000"/>
          <w:szCs w:val="20"/>
        </w:rPr>
        <w:t xml:space="preserve"> application of justice, the</w:t>
      </w:r>
      <w:r>
        <w:rPr>
          <w:rFonts w:ascii="Times New Roman" w:hAnsi="Times New Roman" w:cs="Bookman Old Style"/>
          <w:color w:val="000000"/>
          <w:szCs w:val="20"/>
        </w:rPr>
        <w:t xml:space="preserve"> Tribunal based the decision upon a </w:t>
      </w:r>
      <w:r w:rsidRPr="00717C20">
        <w:rPr>
          <w:rFonts w:ascii="Times New Roman" w:hAnsi="Times New Roman" w:cs="Bookman Old Style"/>
          <w:color w:val="000000"/>
          <w:szCs w:val="20"/>
        </w:rPr>
        <w:t>general</w:t>
      </w:r>
      <w:r>
        <w:rPr>
          <w:rFonts w:ascii="Times New Roman" w:hAnsi="Times New Roman" w:cs="Bookman Old Style"/>
          <w:color w:val="000000"/>
          <w:szCs w:val="20"/>
        </w:rPr>
        <w:t>ized</w:t>
      </w:r>
      <w:r w:rsidRPr="00717C20">
        <w:rPr>
          <w:rFonts w:ascii="Times New Roman" w:hAnsi="Times New Roman" w:cs="Bookman Old Style"/>
          <w:color w:val="000000"/>
          <w:szCs w:val="20"/>
        </w:rPr>
        <w:t xml:space="preserve"> view of former nuns, priests, and the domestic servants who aided them. </w:t>
      </w:r>
      <w:r>
        <w:rPr>
          <w:rFonts w:ascii="Times New Roman" w:hAnsi="Times New Roman" w:cs="Bookman Old Style"/>
          <w:color w:val="000000"/>
          <w:szCs w:val="20"/>
        </w:rPr>
        <w:t>The Tribunal simply did not possess</w:t>
      </w:r>
      <w:r w:rsidRPr="00717C20">
        <w:rPr>
          <w:rFonts w:ascii="Times New Roman" w:hAnsi="Times New Roman" w:cs="Bookman Old Style"/>
          <w:color w:val="000000"/>
          <w:szCs w:val="20"/>
        </w:rPr>
        <w:t xml:space="preserve"> any other information on which to </w:t>
      </w:r>
      <w:r>
        <w:rPr>
          <w:rFonts w:ascii="Times New Roman" w:hAnsi="Times New Roman" w:cs="Bookman Old Style"/>
          <w:color w:val="000000"/>
          <w:szCs w:val="20"/>
        </w:rPr>
        <w:t xml:space="preserve">make the decision. However, </w:t>
      </w:r>
      <w:r w:rsidRPr="00717C20">
        <w:rPr>
          <w:rFonts w:ascii="Times New Roman" w:hAnsi="Times New Roman" w:cs="Bookman Old Style"/>
          <w:color w:val="000000"/>
          <w:szCs w:val="20"/>
        </w:rPr>
        <w:t>the verdict of this case—</w:t>
      </w:r>
      <w:r w:rsidRPr="00AD0377">
        <w:rPr>
          <w:rFonts w:ascii="Times New Roman" w:hAnsi="Times New Roman" w:cs="Bookman Old Style"/>
          <w:i/>
          <w:color w:val="000000"/>
          <w:szCs w:val="20"/>
        </w:rPr>
        <w:t>Acquit-Détention jusqu'à paix-Suspectes</w:t>
      </w:r>
      <w:r w:rsidRPr="00717C20">
        <w:rPr>
          <w:rFonts w:ascii="Times New Roman" w:hAnsi="Times New Roman" w:cs="Bookman Old Style"/>
          <w:color w:val="000000"/>
          <w:szCs w:val="20"/>
        </w:rPr>
        <w:t xml:space="preserve"> for the five former nuns, and death for the priest and female domestic</w:t>
      </w:r>
      <w:r>
        <w:rPr>
          <w:rFonts w:ascii="Times New Roman" w:hAnsi="Times New Roman" w:cs="Bookman Old Style"/>
          <w:color w:val="000000"/>
          <w:szCs w:val="20"/>
        </w:rPr>
        <w:t xml:space="preserve"> servants—</w:t>
      </w:r>
      <w:r w:rsidRPr="00717C20">
        <w:rPr>
          <w:rFonts w:ascii="Times New Roman" w:hAnsi="Times New Roman" w:cs="Bookman Old Style"/>
          <w:color w:val="000000"/>
          <w:szCs w:val="20"/>
        </w:rPr>
        <w:t>makes this case so compelling.</w:t>
      </w:r>
      <w:r w:rsidRPr="00717C20">
        <w:rPr>
          <w:rStyle w:val="FootnoteReference"/>
          <w:rFonts w:ascii="Times New Roman" w:hAnsi="Times New Roman" w:cs="Bookman Old Style"/>
          <w:color w:val="000000"/>
          <w:szCs w:val="20"/>
        </w:rPr>
        <w:footnoteReference w:id="87"/>
      </w:r>
      <w:r w:rsidRPr="00717C20">
        <w:rPr>
          <w:rFonts w:ascii="Times New Roman" w:hAnsi="Times New Roman" w:cs="Bookman Old Style"/>
          <w:color w:val="000000"/>
          <w:szCs w:val="20"/>
        </w:rPr>
        <w:t xml:space="preserve"> </w:t>
      </w:r>
      <w:r>
        <w:rPr>
          <w:rFonts w:ascii="Times New Roman" w:hAnsi="Times New Roman" w:cs="Bookman Old Style"/>
          <w:color w:val="000000"/>
          <w:szCs w:val="20"/>
        </w:rPr>
        <w:t xml:space="preserve">No evidence survives </w:t>
      </w:r>
      <w:r w:rsidRPr="00717C20">
        <w:rPr>
          <w:rFonts w:ascii="Times New Roman" w:hAnsi="Times New Roman" w:cs="Bookman Old Style"/>
          <w:color w:val="000000"/>
          <w:szCs w:val="20"/>
        </w:rPr>
        <w:t xml:space="preserve">that made either the domestic servants or the refractory priest more culpable than the five former nuns. Instead, I believe, the divergence of fate lies once again in the Tribunal’s perception of male and female religious crime. </w:t>
      </w:r>
    </w:p>
    <w:p w:rsidR="001C5440" w:rsidRPr="00717C20" w:rsidRDefault="001C5440" w:rsidP="00525111">
      <w:pPr>
        <w:spacing w:line="480" w:lineRule="auto"/>
        <w:ind w:firstLine="720"/>
        <w:contextualSpacing/>
        <w:rPr>
          <w:rFonts w:ascii="Times New Roman" w:hAnsi="Times New Roman" w:cs="Bookman Old Style"/>
          <w:color w:val="000000"/>
          <w:szCs w:val="20"/>
        </w:rPr>
      </w:pPr>
      <w:r w:rsidRPr="00717C20">
        <w:rPr>
          <w:rFonts w:ascii="Times New Roman" w:hAnsi="Times New Roman" w:cs="Bookman Old Style"/>
          <w:color w:val="000000"/>
          <w:szCs w:val="20"/>
        </w:rPr>
        <w:t>The priest, in the eyes of the Tribunal, occupied a position of power and influence within both the monastery and the local community. His refus</w:t>
      </w:r>
      <w:r>
        <w:rPr>
          <w:rFonts w:ascii="Times New Roman" w:hAnsi="Times New Roman" w:cs="Bookman Old Style"/>
          <w:color w:val="000000"/>
          <w:szCs w:val="20"/>
        </w:rPr>
        <w:t>al to pledge allegiance to the r</w:t>
      </w:r>
      <w:r w:rsidRPr="00717C20">
        <w:rPr>
          <w:rFonts w:ascii="Times New Roman" w:hAnsi="Times New Roman" w:cs="Bookman Old Style"/>
          <w:color w:val="000000"/>
          <w:szCs w:val="20"/>
        </w:rPr>
        <w:t>evolutionary government could serve as a rallying cry to o</w:t>
      </w:r>
      <w:r>
        <w:rPr>
          <w:rFonts w:ascii="Times New Roman" w:hAnsi="Times New Roman" w:cs="Bookman Old Style"/>
          <w:color w:val="000000"/>
          <w:szCs w:val="20"/>
        </w:rPr>
        <w:t xml:space="preserve">thers in the community </w:t>
      </w:r>
      <w:r w:rsidRPr="00717C20">
        <w:rPr>
          <w:rFonts w:ascii="Times New Roman" w:hAnsi="Times New Roman" w:cs="Bookman Old Style"/>
          <w:color w:val="000000"/>
          <w:szCs w:val="20"/>
        </w:rPr>
        <w:t xml:space="preserve">unsympathetic </w:t>
      </w:r>
      <w:r>
        <w:rPr>
          <w:rFonts w:ascii="Times New Roman" w:hAnsi="Times New Roman" w:cs="Bookman Old Style"/>
          <w:color w:val="000000"/>
          <w:szCs w:val="20"/>
        </w:rPr>
        <w:t>to</w:t>
      </w:r>
      <w:r w:rsidRPr="00717C20">
        <w:rPr>
          <w:rFonts w:ascii="Times New Roman" w:hAnsi="Times New Roman" w:cs="Bookman Old Style"/>
          <w:color w:val="000000"/>
          <w:szCs w:val="20"/>
        </w:rPr>
        <w:t xml:space="preserve"> the new government’s aims. Of course, he also </w:t>
      </w:r>
      <w:r>
        <w:rPr>
          <w:rFonts w:ascii="Times New Roman" w:hAnsi="Times New Roman" w:cs="Bookman Old Style"/>
          <w:color w:val="000000"/>
          <w:szCs w:val="20"/>
        </w:rPr>
        <w:t>functioned</w:t>
      </w:r>
      <w:r w:rsidRPr="00717C20">
        <w:rPr>
          <w:rFonts w:ascii="Times New Roman" w:hAnsi="Times New Roman" w:cs="Bookman Old Style"/>
          <w:color w:val="000000"/>
          <w:szCs w:val="20"/>
        </w:rPr>
        <w:t xml:space="preserve"> as the nexus of traditional Catholic faith, especially among women. He, theoretically, had the ability to organize and enflame masses of women, something the Tribunal certainly did not want. </w:t>
      </w:r>
    </w:p>
    <w:p w:rsidR="001C5440" w:rsidRPr="00717C20" w:rsidRDefault="001C5440" w:rsidP="00525111">
      <w:pPr>
        <w:spacing w:line="480" w:lineRule="auto"/>
        <w:ind w:firstLine="720"/>
        <w:contextualSpacing/>
        <w:rPr>
          <w:rFonts w:ascii="Times New Roman" w:hAnsi="Times New Roman" w:cs="Bookman Old Style"/>
          <w:color w:val="000000"/>
          <w:szCs w:val="20"/>
        </w:rPr>
      </w:pPr>
      <w:r w:rsidRPr="00717C20">
        <w:rPr>
          <w:rFonts w:ascii="Times New Roman" w:hAnsi="Times New Roman" w:cs="Bookman Old Style"/>
          <w:color w:val="000000"/>
          <w:szCs w:val="20"/>
        </w:rPr>
        <w:t>The former nuns, on the other hand, did not possess this same level of religious and political influence within the church structure or the communit</w:t>
      </w:r>
      <w:r>
        <w:rPr>
          <w:rFonts w:ascii="Times New Roman" w:hAnsi="Times New Roman" w:cs="Bookman Old Style"/>
          <w:color w:val="000000"/>
          <w:szCs w:val="20"/>
        </w:rPr>
        <w:t>y more generally. T</w:t>
      </w:r>
      <w:r w:rsidRPr="00717C20">
        <w:rPr>
          <w:rFonts w:ascii="Times New Roman" w:hAnsi="Times New Roman" w:cs="Bookman Old Style"/>
          <w:color w:val="000000"/>
          <w:szCs w:val="20"/>
        </w:rPr>
        <w:t xml:space="preserve">he church hierarchy </w:t>
      </w:r>
      <w:r>
        <w:rPr>
          <w:rFonts w:ascii="Times New Roman" w:hAnsi="Times New Roman" w:cs="Bookman Old Style"/>
          <w:color w:val="000000"/>
          <w:szCs w:val="20"/>
        </w:rPr>
        <w:t>viewed women as</w:t>
      </w:r>
      <w:r w:rsidRPr="00717C20">
        <w:rPr>
          <w:rFonts w:ascii="Times New Roman" w:hAnsi="Times New Roman" w:cs="Bookman Old Style"/>
          <w:color w:val="000000"/>
          <w:szCs w:val="20"/>
        </w:rPr>
        <w:t xml:space="preserve"> subservient to male figures. Popular perception did not grant nuns influence over the actions of refractory priests of the lay community. Nuns could not say mass, give communion, or take confession.</w:t>
      </w:r>
      <w:r>
        <w:rPr>
          <w:rFonts w:ascii="Times New Roman" w:hAnsi="Times New Roman" w:cs="Bookman Old Style"/>
          <w:color w:val="000000"/>
          <w:szCs w:val="20"/>
        </w:rPr>
        <w:t xml:space="preserve"> Furthermore, nuns provided </w:t>
      </w:r>
      <w:r w:rsidRPr="00717C20">
        <w:rPr>
          <w:rFonts w:ascii="Times New Roman" w:hAnsi="Times New Roman" w:cs="Bookman Old Style"/>
          <w:color w:val="000000"/>
          <w:szCs w:val="20"/>
        </w:rPr>
        <w:t>crucial social services to their communities.</w:t>
      </w:r>
      <w:r>
        <w:rPr>
          <w:rFonts w:ascii="Times New Roman" w:hAnsi="Times New Roman" w:cs="Bookman Old Style"/>
          <w:color w:val="000000"/>
          <w:szCs w:val="20"/>
        </w:rPr>
        <w:t xml:space="preserve"> Nuns performed</w:t>
      </w:r>
      <w:r w:rsidRPr="00717C20">
        <w:rPr>
          <w:rFonts w:ascii="Times New Roman" w:hAnsi="Times New Roman" w:cs="Bookman Old Style"/>
          <w:color w:val="000000"/>
          <w:szCs w:val="20"/>
        </w:rPr>
        <w:t xml:space="preserve"> many charitable acts and possessed specialized knowledge gained from their experiences as nurses and </w:t>
      </w:r>
      <w:r w:rsidRPr="00717C20">
        <w:rPr>
          <w:rFonts w:ascii="Times New Roman" w:hAnsi="Times New Roman" w:cs="Bookman Old Style"/>
          <w:color w:val="000000"/>
          <w:szCs w:val="20"/>
        </w:rPr>
        <w:lastRenderedPageBreak/>
        <w:t>schoolteachers.</w:t>
      </w:r>
      <w:r w:rsidRPr="00717C20">
        <w:rPr>
          <w:rStyle w:val="FootnoteReference"/>
          <w:rFonts w:ascii="Times New Roman" w:hAnsi="Times New Roman" w:cs="Bookman Old Style"/>
          <w:color w:val="000000"/>
          <w:szCs w:val="20"/>
        </w:rPr>
        <w:footnoteReference w:id="88"/>
      </w:r>
      <w:r>
        <w:rPr>
          <w:rFonts w:ascii="Times New Roman" w:hAnsi="Times New Roman" w:cs="Bookman Old Style"/>
          <w:color w:val="000000"/>
          <w:szCs w:val="20"/>
        </w:rPr>
        <w:t xml:space="preserve"> Although the R</w:t>
      </w:r>
      <w:r w:rsidRPr="00717C20">
        <w:rPr>
          <w:rFonts w:ascii="Times New Roman" w:hAnsi="Times New Roman" w:cs="Bookman Old Style"/>
          <w:color w:val="000000"/>
          <w:szCs w:val="20"/>
        </w:rPr>
        <w:t>evolution initially attempted to replace the vacancies previously filled by nuns with “good female patriots,” most lacked the experience, expertise, and charitable impulse that had guided the nuns. Mindful of the nuns’ charitable function and</w:t>
      </w:r>
      <w:r>
        <w:rPr>
          <w:rFonts w:ascii="Times New Roman" w:hAnsi="Times New Roman" w:cs="Bookman Old Style"/>
          <w:color w:val="000000"/>
          <w:szCs w:val="20"/>
        </w:rPr>
        <w:t xml:space="preserve"> alleged</w:t>
      </w:r>
      <w:r w:rsidRPr="00717C20">
        <w:rPr>
          <w:rFonts w:ascii="Times New Roman" w:hAnsi="Times New Roman" w:cs="Bookman Old Style"/>
          <w:color w:val="000000"/>
          <w:szCs w:val="20"/>
        </w:rPr>
        <w:t xml:space="preserve"> lack of influence, the Tribunal summarily acquitted them of their crimes, while nonetheless stating that their previous status made them “suspect” in the eyes of the law</w:t>
      </w:r>
      <w:r>
        <w:rPr>
          <w:rFonts w:ascii="Times New Roman" w:hAnsi="Times New Roman" w:cs="Bookman Old Style"/>
          <w:color w:val="000000"/>
          <w:szCs w:val="20"/>
        </w:rPr>
        <w:t>.</w:t>
      </w:r>
    </w:p>
    <w:p w:rsidR="001C5440" w:rsidRPr="00717C20" w:rsidRDefault="001C5440" w:rsidP="00525111">
      <w:pPr>
        <w:spacing w:line="480" w:lineRule="auto"/>
        <w:ind w:firstLine="720"/>
        <w:contextualSpacing/>
        <w:rPr>
          <w:rFonts w:ascii="Times New Roman" w:hAnsi="Times New Roman" w:cs="Bookman Old Style"/>
          <w:color w:val="000000"/>
          <w:szCs w:val="20"/>
        </w:rPr>
      </w:pPr>
      <w:r w:rsidRPr="00717C20">
        <w:rPr>
          <w:rFonts w:ascii="Times New Roman" w:hAnsi="Times New Roman" w:cs="Bookman Old Style"/>
          <w:color w:val="000000"/>
          <w:szCs w:val="20"/>
        </w:rPr>
        <w:t xml:space="preserve">The fate of the two domestic servants on trial </w:t>
      </w:r>
      <w:r>
        <w:rPr>
          <w:rFonts w:ascii="Times New Roman" w:hAnsi="Times New Roman" w:cs="Bookman Old Style"/>
          <w:color w:val="000000"/>
          <w:szCs w:val="20"/>
        </w:rPr>
        <w:t xml:space="preserve">confounds expectation, </w:t>
      </w:r>
      <w:r w:rsidRPr="00717C20">
        <w:rPr>
          <w:rFonts w:ascii="Times New Roman" w:hAnsi="Times New Roman" w:cs="Bookman Old Style"/>
          <w:color w:val="000000"/>
          <w:szCs w:val="20"/>
        </w:rPr>
        <w:t xml:space="preserve">since neither woman was particularly </w:t>
      </w:r>
      <w:r>
        <w:rPr>
          <w:rFonts w:ascii="Times New Roman" w:hAnsi="Times New Roman" w:cs="Bookman Old Style"/>
          <w:color w:val="000000"/>
          <w:szCs w:val="20"/>
        </w:rPr>
        <w:t>wealthy or influential. Although the Tribunal tried</w:t>
      </w:r>
      <w:r w:rsidRPr="00717C20">
        <w:rPr>
          <w:rFonts w:ascii="Times New Roman" w:hAnsi="Times New Roman" w:cs="Bookman Old Style"/>
          <w:color w:val="000000"/>
          <w:szCs w:val="20"/>
        </w:rPr>
        <w:t xml:space="preserve"> numerous domestic servants</w:t>
      </w:r>
      <w:r>
        <w:rPr>
          <w:rFonts w:ascii="Times New Roman" w:hAnsi="Times New Roman" w:cs="Bookman Old Style"/>
          <w:color w:val="000000"/>
          <w:szCs w:val="20"/>
        </w:rPr>
        <w:t>,</w:t>
      </w:r>
      <w:r w:rsidRPr="00717C20">
        <w:rPr>
          <w:rFonts w:ascii="Times New Roman" w:hAnsi="Times New Roman" w:cs="Bookman Old Style"/>
          <w:color w:val="000000"/>
          <w:szCs w:val="20"/>
        </w:rPr>
        <w:t xml:space="preserve"> </w:t>
      </w:r>
      <w:r>
        <w:rPr>
          <w:rFonts w:ascii="Times New Roman" w:hAnsi="Times New Roman" w:cs="Bookman Old Style"/>
          <w:color w:val="000000"/>
          <w:szCs w:val="20"/>
        </w:rPr>
        <w:t>it sentenced very few</w:t>
      </w:r>
      <w:r w:rsidRPr="00717C20">
        <w:rPr>
          <w:rFonts w:ascii="Times New Roman" w:hAnsi="Times New Roman" w:cs="Bookman Old Style"/>
          <w:color w:val="000000"/>
          <w:szCs w:val="20"/>
        </w:rPr>
        <w:t xml:space="preserve"> to death.</w:t>
      </w:r>
      <w:r w:rsidRPr="00717C20">
        <w:rPr>
          <w:rStyle w:val="FootnoteReference"/>
          <w:rFonts w:ascii="Times New Roman" w:hAnsi="Times New Roman" w:cs="Bookman Old Style"/>
          <w:color w:val="000000"/>
          <w:szCs w:val="20"/>
        </w:rPr>
        <w:footnoteReference w:id="89"/>
      </w:r>
      <w:r w:rsidRPr="00717C20">
        <w:rPr>
          <w:rFonts w:ascii="Times New Roman" w:hAnsi="Times New Roman" w:cs="Bookman Old Style"/>
          <w:color w:val="000000"/>
          <w:szCs w:val="20"/>
        </w:rPr>
        <w:t xml:space="preserve"> </w:t>
      </w:r>
      <w:r>
        <w:rPr>
          <w:rFonts w:ascii="Times New Roman" w:hAnsi="Times New Roman" w:cs="Bookman Old Style"/>
          <w:color w:val="000000"/>
          <w:szCs w:val="20"/>
        </w:rPr>
        <w:t xml:space="preserve">In many ways, domestic servants, of whom 80% were women, transcended traditional social classes more than any other group. </w:t>
      </w:r>
      <w:r w:rsidRPr="00717C20">
        <w:rPr>
          <w:rFonts w:ascii="Times New Roman" w:hAnsi="Times New Roman" w:cs="Bookman Old Style"/>
          <w:color w:val="000000"/>
          <w:szCs w:val="20"/>
        </w:rPr>
        <w:t>Women</w:t>
      </w:r>
      <w:r>
        <w:rPr>
          <w:rFonts w:ascii="Times New Roman" w:hAnsi="Times New Roman" w:cs="Bookman Old Style"/>
          <w:color w:val="000000"/>
          <w:szCs w:val="20"/>
        </w:rPr>
        <w:t xml:space="preserve"> </w:t>
      </w:r>
      <w:r w:rsidRPr="00717C20">
        <w:rPr>
          <w:rFonts w:ascii="Times New Roman" w:hAnsi="Times New Roman" w:cs="Bookman Old Style"/>
          <w:color w:val="000000"/>
          <w:szCs w:val="20"/>
        </w:rPr>
        <w:t xml:space="preserve">at the top of the domestic </w:t>
      </w:r>
      <w:r>
        <w:rPr>
          <w:rFonts w:ascii="Times New Roman" w:hAnsi="Times New Roman" w:cs="Bookman Old Style"/>
          <w:color w:val="000000"/>
          <w:szCs w:val="20"/>
        </w:rPr>
        <w:t xml:space="preserve">servant </w:t>
      </w:r>
      <w:r w:rsidRPr="00717C20">
        <w:rPr>
          <w:rFonts w:ascii="Times New Roman" w:hAnsi="Times New Roman" w:cs="Bookman Old Style"/>
          <w:color w:val="000000"/>
          <w:szCs w:val="20"/>
        </w:rPr>
        <w:t>hierarchy, “were cultural intermediaries between the elite with whom they were in permanent contact and the popular masses from whom they had sprung.” Further, these women “were more often found by the side of their masters than with the patriots during the Revolution.”</w:t>
      </w:r>
      <w:r w:rsidRPr="00717C20">
        <w:rPr>
          <w:rStyle w:val="FootnoteReference"/>
          <w:rFonts w:ascii="Times New Roman" w:hAnsi="Times New Roman" w:cs="Bookman Old Style"/>
          <w:color w:val="000000"/>
          <w:szCs w:val="20"/>
        </w:rPr>
        <w:footnoteReference w:id="90"/>
      </w:r>
      <w:r w:rsidRPr="00717C20">
        <w:rPr>
          <w:rFonts w:ascii="Times New Roman" w:hAnsi="Times New Roman" w:cs="Bookman Old Style"/>
          <w:color w:val="000000"/>
          <w:szCs w:val="20"/>
        </w:rPr>
        <w:t xml:space="preserve"> Of course, relatively few domestic servants fell into this category, but perhaps those on trial here were wealthier and better connected than the average domestic that came before the Tribunal. </w:t>
      </w:r>
      <w:r>
        <w:rPr>
          <w:rFonts w:ascii="Times New Roman" w:hAnsi="Times New Roman" w:cs="Bookman Old Style"/>
          <w:color w:val="000000"/>
          <w:szCs w:val="20"/>
        </w:rPr>
        <w:t xml:space="preserve">The trial </w:t>
      </w:r>
      <w:r w:rsidRPr="00717C20">
        <w:rPr>
          <w:rFonts w:ascii="Times New Roman" w:hAnsi="Times New Roman" w:cs="Bookman Old Style"/>
          <w:color w:val="000000"/>
          <w:szCs w:val="20"/>
        </w:rPr>
        <w:t xml:space="preserve">record does not reveal </w:t>
      </w:r>
      <w:r>
        <w:rPr>
          <w:rFonts w:ascii="Times New Roman" w:hAnsi="Times New Roman" w:cs="Bookman Old Style"/>
          <w:color w:val="000000"/>
          <w:szCs w:val="20"/>
        </w:rPr>
        <w:t>the domestic servants’ wealth</w:t>
      </w:r>
      <w:r w:rsidRPr="00717C20">
        <w:rPr>
          <w:rFonts w:ascii="Times New Roman" w:hAnsi="Times New Roman" w:cs="Bookman Old Style"/>
          <w:color w:val="000000"/>
          <w:szCs w:val="20"/>
        </w:rPr>
        <w:t>. Furthermore, unlike the nuns on trial, the female domestics did not provide essential charitable services to the state, nor did the rigid hierarchy of the Catholic Church subsume th</w:t>
      </w:r>
      <w:r>
        <w:rPr>
          <w:rFonts w:ascii="Times New Roman" w:hAnsi="Times New Roman" w:cs="Bookman Old Style"/>
          <w:color w:val="000000"/>
          <w:szCs w:val="20"/>
        </w:rPr>
        <w:t>em. They enjoyed</w:t>
      </w:r>
      <w:r w:rsidRPr="00717C20">
        <w:rPr>
          <w:rFonts w:ascii="Times New Roman" w:hAnsi="Times New Roman" w:cs="Bookman Old Style"/>
          <w:color w:val="000000"/>
          <w:szCs w:val="20"/>
        </w:rPr>
        <w:t xml:space="preserve"> greater personal freedom (and possibly influence), and provided no tangible services to the new government. From </w:t>
      </w:r>
      <w:r w:rsidRPr="00717C20">
        <w:rPr>
          <w:rFonts w:ascii="Times New Roman" w:hAnsi="Times New Roman" w:cs="Bookman Old Style"/>
          <w:color w:val="000000"/>
          <w:szCs w:val="20"/>
        </w:rPr>
        <w:lastRenderedPageBreak/>
        <w:t xml:space="preserve">this perspective, one can begin to rationalize the actions of the Tribunal within an internally coherent logic system. </w:t>
      </w:r>
    </w:p>
    <w:p w:rsidR="001C5440" w:rsidRPr="00717C20" w:rsidRDefault="001C5440" w:rsidP="00525111">
      <w:pPr>
        <w:spacing w:line="480" w:lineRule="auto"/>
        <w:ind w:firstLine="720"/>
        <w:contextualSpacing/>
        <w:rPr>
          <w:rFonts w:ascii="Times New Roman" w:hAnsi="Times New Roman" w:cs="Bookman Old Style"/>
          <w:color w:val="000000"/>
          <w:szCs w:val="20"/>
        </w:rPr>
      </w:pPr>
      <w:r>
        <w:rPr>
          <w:rFonts w:ascii="Times New Roman" w:hAnsi="Times New Roman" w:cs="Bookman Old Style"/>
          <w:color w:val="000000"/>
          <w:szCs w:val="20"/>
        </w:rPr>
        <w:t>The Tribunal expressed this</w:t>
      </w:r>
      <w:r w:rsidRPr="00717C20">
        <w:rPr>
          <w:rFonts w:ascii="Times New Roman" w:hAnsi="Times New Roman" w:cs="Bookman Old Style"/>
          <w:color w:val="000000"/>
          <w:szCs w:val="20"/>
        </w:rPr>
        <w:t xml:space="preserve"> same preference for female religious figures over their male counterparts in trial after trial. Take for example Marie-Félicité Roger, </w:t>
      </w:r>
      <w:r w:rsidRPr="00557F23">
        <w:rPr>
          <w:rFonts w:ascii="Times New Roman" w:hAnsi="Times New Roman" w:cs="Bookman Old Style"/>
          <w:i/>
          <w:color w:val="000000"/>
          <w:szCs w:val="20"/>
        </w:rPr>
        <w:t>supérieure des religieuses</w:t>
      </w:r>
      <w:r w:rsidRPr="00717C20">
        <w:rPr>
          <w:rFonts w:ascii="Times New Roman" w:hAnsi="Times New Roman" w:cs="Bookman Old Style"/>
          <w:color w:val="000000"/>
          <w:szCs w:val="20"/>
        </w:rPr>
        <w:t xml:space="preserve"> </w:t>
      </w:r>
      <w:r>
        <w:rPr>
          <w:rFonts w:ascii="Times New Roman" w:hAnsi="Times New Roman" w:cs="Bookman Old Style"/>
          <w:color w:val="000000"/>
          <w:szCs w:val="20"/>
        </w:rPr>
        <w:t>in the public hospital of</w:t>
      </w:r>
      <w:r w:rsidRPr="00717C20">
        <w:rPr>
          <w:rFonts w:ascii="Times New Roman" w:hAnsi="Times New Roman" w:cs="Bookman Old Style"/>
          <w:color w:val="000000"/>
          <w:szCs w:val="20"/>
        </w:rPr>
        <w:t xml:space="preserve"> Blois. </w:t>
      </w:r>
      <w:r>
        <w:rPr>
          <w:rFonts w:ascii="Times New Roman" w:hAnsi="Times New Roman" w:cs="Bookman Old Style"/>
          <w:color w:val="000000"/>
          <w:szCs w:val="20"/>
        </w:rPr>
        <w:t xml:space="preserve">The Tribunal tried Roger and </w:t>
      </w:r>
      <w:r w:rsidRPr="00717C20">
        <w:rPr>
          <w:rFonts w:ascii="Times New Roman" w:hAnsi="Times New Roman" w:cs="Bookman Old Style"/>
          <w:color w:val="000000"/>
          <w:szCs w:val="20"/>
        </w:rPr>
        <w:t>Jean-Joseph Saunier, a refractory priest</w:t>
      </w:r>
      <w:r>
        <w:rPr>
          <w:rFonts w:ascii="Times New Roman" w:hAnsi="Times New Roman" w:cs="Bookman Old Style"/>
          <w:color w:val="000000"/>
          <w:szCs w:val="20"/>
        </w:rPr>
        <w:t>, i</w:t>
      </w:r>
      <w:r w:rsidRPr="00717C20">
        <w:rPr>
          <w:rFonts w:ascii="Times New Roman" w:hAnsi="Times New Roman" w:cs="Bookman Old Style"/>
          <w:color w:val="000000"/>
          <w:szCs w:val="20"/>
        </w:rPr>
        <w:t>n October of 1793.</w:t>
      </w:r>
      <w:r w:rsidRPr="00717C20">
        <w:rPr>
          <w:rStyle w:val="FootnoteReference"/>
          <w:rFonts w:ascii="Times New Roman" w:hAnsi="Times New Roman" w:cs="Bookman Old Style"/>
          <w:color w:val="000000"/>
          <w:szCs w:val="20"/>
        </w:rPr>
        <w:footnoteReference w:id="91"/>
      </w:r>
      <w:r w:rsidRPr="00717C20">
        <w:rPr>
          <w:rFonts w:ascii="Times New Roman" w:hAnsi="Times New Roman" w:cs="Bookman Old Style"/>
          <w:color w:val="000000"/>
          <w:szCs w:val="20"/>
        </w:rPr>
        <w:t xml:space="preserve"> This trial </w:t>
      </w:r>
      <w:r>
        <w:rPr>
          <w:rFonts w:ascii="Times New Roman" w:hAnsi="Times New Roman" w:cs="Bookman Old Style"/>
          <w:color w:val="000000"/>
          <w:szCs w:val="20"/>
        </w:rPr>
        <w:t>also lacks</w:t>
      </w:r>
      <w:r w:rsidRPr="00717C20">
        <w:rPr>
          <w:rFonts w:ascii="Times New Roman" w:hAnsi="Times New Roman" w:cs="Bookman Old Style"/>
          <w:color w:val="000000"/>
          <w:szCs w:val="20"/>
        </w:rPr>
        <w:t xml:space="preserve"> documentation, although not to the same extent as the p</w:t>
      </w:r>
      <w:r>
        <w:rPr>
          <w:rFonts w:ascii="Times New Roman" w:hAnsi="Times New Roman" w:cs="Bookman Old Style"/>
          <w:color w:val="000000"/>
          <w:szCs w:val="20"/>
        </w:rPr>
        <w:t>revious trial. The Tribunal did</w:t>
      </w:r>
      <w:r w:rsidRPr="00717C20">
        <w:rPr>
          <w:rFonts w:ascii="Times New Roman" w:hAnsi="Times New Roman" w:cs="Bookman Old Style"/>
          <w:color w:val="000000"/>
          <w:szCs w:val="20"/>
        </w:rPr>
        <w:t xml:space="preserve"> not enumerate the specific counterrevolutionary crimes</w:t>
      </w:r>
      <w:r>
        <w:rPr>
          <w:rFonts w:ascii="Times New Roman" w:hAnsi="Times New Roman" w:cs="Bookman Old Style"/>
          <w:color w:val="000000"/>
          <w:szCs w:val="20"/>
        </w:rPr>
        <w:t xml:space="preserve"> of each defendant. As in the previous</w:t>
      </w:r>
      <w:r w:rsidRPr="00717C20">
        <w:rPr>
          <w:rFonts w:ascii="Times New Roman" w:hAnsi="Times New Roman" w:cs="Bookman Old Style"/>
          <w:color w:val="000000"/>
          <w:szCs w:val="20"/>
        </w:rPr>
        <w:t xml:space="preserve"> trial,</w:t>
      </w:r>
      <w:r>
        <w:rPr>
          <w:rFonts w:ascii="Times New Roman" w:hAnsi="Times New Roman" w:cs="Bookman Old Style"/>
          <w:color w:val="000000"/>
          <w:szCs w:val="20"/>
        </w:rPr>
        <w:t xml:space="preserve"> the Tribunal appears to base its</w:t>
      </w:r>
      <w:r w:rsidRPr="00717C20">
        <w:rPr>
          <w:rFonts w:ascii="Times New Roman" w:hAnsi="Times New Roman" w:cs="Bookman Old Style"/>
          <w:color w:val="000000"/>
          <w:szCs w:val="20"/>
        </w:rPr>
        <w:t xml:space="preserve"> decision </w:t>
      </w:r>
      <w:r>
        <w:rPr>
          <w:rFonts w:ascii="Times New Roman" w:hAnsi="Times New Roman" w:cs="Bookman Old Style"/>
          <w:color w:val="000000"/>
          <w:szCs w:val="20"/>
        </w:rPr>
        <w:t>solely</w:t>
      </w:r>
      <w:r w:rsidRPr="00717C20">
        <w:rPr>
          <w:rFonts w:ascii="Times New Roman" w:hAnsi="Times New Roman" w:cs="Bookman Old Style"/>
          <w:color w:val="000000"/>
          <w:szCs w:val="20"/>
        </w:rPr>
        <w:t xml:space="preserve"> upon the occupation and official titles of each defendant. </w:t>
      </w:r>
      <w:r>
        <w:rPr>
          <w:rFonts w:ascii="Times New Roman" w:hAnsi="Times New Roman" w:cs="Bookman Old Style"/>
          <w:color w:val="000000"/>
          <w:szCs w:val="20"/>
        </w:rPr>
        <w:t>The Tribunal, unsurprisingly, found the refractory priest guilty and condemned</w:t>
      </w:r>
      <w:r w:rsidRPr="00717C20">
        <w:rPr>
          <w:rFonts w:ascii="Times New Roman" w:hAnsi="Times New Roman" w:cs="Bookman Old Style"/>
          <w:color w:val="000000"/>
          <w:szCs w:val="20"/>
        </w:rPr>
        <w:t xml:space="preserve"> </w:t>
      </w:r>
      <w:r>
        <w:rPr>
          <w:rFonts w:ascii="Times New Roman" w:hAnsi="Times New Roman" w:cs="Bookman Old Style"/>
          <w:color w:val="000000"/>
          <w:szCs w:val="20"/>
        </w:rPr>
        <w:t xml:space="preserve">him </w:t>
      </w:r>
      <w:r w:rsidRPr="00717C20">
        <w:rPr>
          <w:rFonts w:ascii="Times New Roman" w:hAnsi="Times New Roman" w:cs="Bookman Old Style"/>
          <w:color w:val="000000"/>
          <w:szCs w:val="20"/>
        </w:rPr>
        <w:t>to death.</w:t>
      </w:r>
      <w:r w:rsidRPr="00717C20">
        <w:rPr>
          <w:rStyle w:val="FootnoteReference"/>
          <w:rFonts w:ascii="Times New Roman" w:hAnsi="Times New Roman" w:cs="Bookman Old Style"/>
          <w:color w:val="000000"/>
          <w:szCs w:val="20"/>
        </w:rPr>
        <w:footnoteReference w:id="92"/>
      </w:r>
      <w:r w:rsidRPr="00717C20">
        <w:rPr>
          <w:rFonts w:ascii="Times New Roman" w:hAnsi="Times New Roman" w:cs="Bookman Old Style"/>
          <w:color w:val="000000"/>
          <w:szCs w:val="20"/>
        </w:rPr>
        <w:t xml:space="preserve"> </w:t>
      </w:r>
      <w:r>
        <w:rPr>
          <w:rFonts w:ascii="Times New Roman" w:hAnsi="Times New Roman" w:cs="Bookman Old Style"/>
          <w:color w:val="000000"/>
          <w:szCs w:val="20"/>
        </w:rPr>
        <w:t xml:space="preserve">Acting with greater leniency, the Tribunal sentenced </w:t>
      </w:r>
      <w:r w:rsidRPr="00717C20">
        <w:rPr>
          <w:rFonts w:ascii="Times New Roman" w:hAnsi="Times New Roman" w:cs="Bookman Old Style"/>
          <w:color w:val="000000"/>
          <w:szCs w:val="20"/>
        </w:rPr>
        <w:t>the</w:t>
      </w:r>
      <w:r>
        <w:rPr>
          <w:rFonts w:ascii="Times New Roman" w:hAnsi="Times New Roman" w:cs="Bookman Old Style"/>
          <w:color w:val="000000"/>
          <w:szCs w:val="20"/>
        </w:rPr>
        <w:t xml:space="preserve"> </w:t>
      </w:r>
      <w:r>
        <w:rPr>
          <w:rFonts w:ascii="Times New Roman" w:hAnsi="Times New Roman" w:cs="Bookman Old Style"/>
          <w:i/>
          <w:color w:val="000000"/>
          <w:szCs w:val="20"/>
        </w:rPr>
        <w:t>s</w:t>
      </w:r>
      <w:r w:rsidRPr="00557F23">
        <w:rPr>
          <w:rFonts w:ascii="Times New Roman" w:hAnsi="Times New Roman" w:cs="Bookman Old Style"/>
          <w:i/>
          <w:color w:val="000000"/>
          <w:szCs w:val="20"/>
        </w:rPr>
        <w:t>upérieure</w:t>
      </w:r>
      <w:r>
        <w:rPr>
          <w:rFonts w:ascii="Times New Roman" w:hAnsi="Times New Roman" w:cs="Bookman Old Style"/>
          <w:color w:val="000000"/>
          <w:szCs w:val="20"/>
        </w:rPr>
        <w:t xml:space="preserve"> to </w:t>
      </w:r>
      <w:r w:rsidRPr="00717C20">
        <w:rPr>
          <w:rFonts w:ascii="Times New Roman" w:hAnsi="Times New Roman" w:cs="Bookman Old Style"/>
          <w:color w:val="000000"/>
          <w:szCs w:val="20"/>
        </w:rPr>
        <w:t>si</w:t>
      </w:r>
      <w:r>
        <w:rPr>
          <w:rFonts w:ascii="Times New Roman" w:hAnsi="Times New Roman" w:cs="Bookman Old Style"/>
          <w:color w:val="000000"/>
          <w:szCs w:val="20"/>
        </w:rPr>
        <w:t>x years of detention</w:t>
      </w:r>
      <w:r w:rsidRPr="00717C20">
        <w:rPr>
          <w:rFonts w:ascii="Times New Roman" w:hAnsi="Times New Roman" w:cs="Bookman Old Style"/>
          <w:color w:val="000000"/>
          <w:szCs w:val="20"/>
        </w:rPr>
        <w:t>. Despite the predictability of the Tribunal’s verdict, this case nonetheless deserves greater attention.</w:t>
      </w:r>
      <w:r w:rsidR="007E0037">
        <w:rPr>
          <w:rFonts w:ascii="Times New Roman" w:hAnsi="Times New Roman" w:cs="Bookman Old Style"/>
          <w:color w:val="000000"/>
          <w:szCs w:val="20"/>
        </w:rPr>
        <w:t xml:space="preserve"> </w:t>
      </w:r>
    </w:p>
    <w:p w:rsidR="001C5440" w:rsidRPr="00717C20" w:rsidRDefault="001C5440" w:rsidP="00525111">
      <w:pPr>
        <w:spacing w:line="480" w:lineRule="auto"/>
        <w:contextualSpacing/>
        <w:rPr>
          <w:rFonts w:ascii="Times New Roman" w:hAnsi="Times New Roman" w:cs="Bookman Old Style"/>
          <w:color w:val="000000"/>
          <w:szCs w:val="20"/>
        </w:rPr>
      </w:pPr>
      <w:r w:rsidRPr="00717C20">
        <w:rPr>
          <w:rFonts w:ascii="Times New Roman" w:hAnsi="Times New Roman"/>
        </w:rPr>
        <w:tab/>
      </w:r>
      <w:r w:rsidRPr="00717C20">
        <w:rPr>
          <w:rFonts w:ascii="Times New Roman" w:hAnsi="Times New Roman" w:cs="Bookman Old Style"/>
          <w:color w:val="000000"/>
          <w:szCs w:val="20"/>
        </w:rPr>
        <w:t>Marie-Félici</w:t>
      </w:r>
      <w:r>
        <w:rPr>
          <w:rFonts w:ascii="Times New Roman" w:hAnsi="Times New Roman" w:cs="Bookman Old Style"/>
          <w:color w:val="000000"/>
          <w:szCs w:val="20"/>
        </w:rPr>
        <w:t xml:space="preserve">té Roger did not hold the </w:t>
      </w:r>
      <w:r w:rsidR="00AD0377">
        <w:rPr>
          <w:rFonts w:ascii="Times New Roman" w:hAnsi="Times New Roman" w:cs="Bookman Old Style"/>
          <w:color w:val="000000"/>
          <w:szCs w:val="20"/>
        </w:rPr>
        <w:t>responsibilities</w:t>
      </w:r>
      <w:r>
        <w:rPr>
          <w:rFonts w:ascii="Times New Roman" w:hAnsi="Times New Roman" w:cs="Bookman Old Style"/>
          <w:color w:val="000000"/>
          <w:szCs w:val="20"/>
        </w:rPr>
        <w:t xml:space="preserve"> of simply a nun, but </w:t>
      </w:r>
      <w:r w:rsidRPr="00717C20">
        <w:rPr>
          <w:rFonts w:ascii="Times New Roman" w:hAnsi="Times New Roman" w:cs="Bookman Old Style"/>
          <w:color w:val="000000"/>
          <w:szCs w:val="20"/>
        </w:rPr>
        <w:t xml:space="preserve">instead </w:t>
      </w:r>
      <w:r>
        <w:rPr>
          <w:rFonts w:ascii="Times New Roman" w:hAnsi="Times New Roman" w:cs="Bookman Old Style"/>
          <w:color w:val="000000"/>
          <w:szCs w:val="20"/>
        </w:rPr>
        <w:t xml:space="preserve">those of </w:t>
      </w:r>
      <w:r w:rsidRPr="00717C20">
        <w:rPr>
          <w:rFonts w:ascii="Times New Roman" w:hAnsi="Times New Roman" w:cs="Bookman Old Style"/>
          <w:color w:val="000000"/>
          <w:szCs w:val="20"/>
        </w:rPr>
        <w:t xml:space="preserve">the </w:t>
      </w:r>
      <w:r w:rsidRPr="007D7EF2">
        <w:rPr>
          <w:rFonts w:ascii="Times New Roman" w:hAnsi="Times New Roman" w:cs="Bookman Old Style"/>
          <w:i/>
          <w:color w:val="000000"/>
          <w:szCs w:val="20"/>
        </w:rPr>
        <w:t>supérieure des religieuses</w:t>
      </w:r>
      <w:r w:rsidRPr="00717C20">
        <w:rPr>
          <w:rFonts w:ascii="Times New Roman" w:hAnsi="Times New Roman" w:cs="Bookman Old Style"/>
          <w:color w:val="000000"/>
          <w:szCs w:val="20"/>
        </w:rPr>
        <w:t xml:space="preserve"> at the main hospital in Blois. </w:t>
      </w:r>
      <w:r>
        <w:rPr>
          <w:rFonts w:ascii="Times New Roman" w:hAnsi="Times New Roman" w:cs="Bookman Old Style"/>
          <w:color w:val="000000"/>
          <w:szCs w:val="20"/>
        </w:rPr>
        <w:t>She controlled</w:t>
      </w:r>
      <w:r w:rsidRPr="00717C20">
        <w:rPr>
          <w:rFonts w:ascii="Times New Roman" w:hAnsi="Times New Roman" w:cs="Bookman Old Style"/>
          <w:color w:val="000000"/>
          <w:szCs w:val="20"/>
        </w:rPr>
        <w:t xml:space="preserve"> considerable power both within</w:t>
      </w:r>
      <w:r>
        <w:rPr>
          <w:rFonts w:ascii="Times New Roman" w:hAnsi="Times New Roman" w:cs="Bookman Old Style"/>
          <w:color w:val="000000"/>
          <w:szCs w:val="20"/>
        </w:rPr>
        <w:t xml:space="preserve"> both</w:t>
      </w:r>
      <w:r w:rsidRPr="00717C20">
        <w:rPr>
          <w:rFonts w:ascii="Times New Roman" w:hAnsi="Times New Roman" w:cs="Bookman Old Style"/>
          <w:color w:val="000000"/>
          <w:szCs w:val="20"/>
        </w:rPr>
        <w:t xml:space="preserve"> the female church hierarchy</w:t>
      </w:r>
      <w:r>
        <w:rPr>
          <w:rFonts w:ascii="Times New Roman" w:hAnsi="Times New Roman" w:cs="Bookman Old Style"/>
          <w:color w:val="000000"/>
          <w:szCs w:val="20"/>
        </w:rPr>
        <w:t xml:space="preserve"> and </w:t>
      </w:r>
      <w:r w:rsidRPr="00717C20">
        <w:rPr>
          <w:rFonts w:ascii="Times New Roman" w:hAnsi="Times New Roman" w:cs="Bookman Old Style"/>
          <w:color w:val="000000"/>
          <w:szCs w:val="20"/>
        </w:rPr>
        <w:t xml:space="preserve">the town which relied upon the services of her hospital. Although she managed to avoid the death penalty, her </w:t>
      </w:r>
      <w:r>
        <w:rPr>
          <w:rFonts w:ascii="Times New Roman" w:hAnsi="Times New Roman" w:cs="Bookman Old Style"/>
          <w:color w:val="000000"/>
          <w:szCs w:val="20"/>
        </w:rPr>
        <w:t xml:space="preserve">punishment substantially outweighed the sentences of the </w:t>
      </w:r>
      <w:r w:rsidRPr="00717C20">
        <w:rPr>
          <w:rFonts w:ascii="Times New Roman" w:hAnsi="Times New Roman" w:cs="Bookman Old Style"/>
          <w:color w:val="000000"/>
          <w:szCs w:val="20"/>
        </w:rPr>
        <w:t xml:space="preserve">lower ranking nuns tried in the previous case. </w:t>
      </w:r>
      <w:r>
        <w:rPr>
          <w:rFonts w:ascii="Times New Roman" w:hAnsi="Times New Roman" w:cs="Bookman Old Style"/>
          <w:color w:val="000000"/>
          <w:szCs w:val="20"/>
        </w:rPr>
        <w:t>T</w:t>
      </w:r>
      <w:r w:rsidRPr="00717C20">
        <w:rPr>
          <w:rFonts w:ascii="Times New Roman" w:hAnsi="Times New Roman" w:cs="Bookman Old Style"/>
          <w:color w:val="000000"/>
          <w:szCs w:val="20"/>
        </w:rPr>
        <w:t>he status and influence discrepancies that existed between these groups of religious women</w:t>
      </w:r>
      <w:r>
        <w:rPr>
          <w:rFonts w:ascii="Times New Roman" w:hAnsi="Times New Roman" w:cs="Bookman Old Style"/>
          <w:color w:val="000000"/>
          <w:szCs w:val="20"/>
        </w:rPr>
        <w:t xml:space="preserve"> molded the Tribunal’s verdicts. Moreover, the Tribunal rarely sent</w:t>
      </w:r>
      <w:r w:rsidRPr="00717C20">
        <w:rPr>
          <w:rFonts w:ascii="Times New Roman" w:hAnsi="Times New Roman" w:cs="Bookman Old Style"/>
          <w:color w:val="000000"/>
          <w:szCs w:val="20"/>
        </w:rPr>
        <w:t xml:space="preserve"> defendants—male or female—to prison. Acquittal, death, and sometimes Acquit-Détention jusqu'à paix-Suspectes</w:t>
      </w:r>
      <w:r>
        <w:rPr>
          <w:rFonts w:ascii="Times New Roman" w:hAnsi="Times New Roman" w:cs="Bookman Old Style"/>
          <w:color w:val="000000"/>
          <w:szCs w:val="20"/>
        </w:rPr>
        <w:t xml:space="preserve"> (which</w:t>
      </w:r>
      <w:r w:rsidRPr="00717C20">
        <w:rPr>
          <w:rFonts w:ascii="Times New Roman" w:hAnsi="Times New Roman" w:cs="Bookman Old Style"/>
          <w:color w:val="000000"/>
          <w:szCs w:val="20"/>
        </w:rPr>
        <w:t xml:space="preserve"> usually did not involve physical detainment), were the </w:t>
      </w:r>
      <w:r w:rsidRPr="00717C20">
        <w:rPr>
          <w:rFonts w:ascii="Times New Roman" w:hAnsi="Times New Roman" w:cs="Bookman Old Style"/>
          <w:color w:val="000000"/>
          <w:szCs w:val="20"/>
        </w:rPr>
        <w:lastRenderedPageBreak/>
        <w:t>stand</w:t>
      </w:r>
      <w:r>
        <w:rPr>
          <w:rFonts w:ascii="Times New Roman" w:hAnsi="Times New Roman" w:cs="Bookman Old Style"/>
          <w:color w:val="000000"/>
          <w:szCs w:val="20"/>
        </w:rPr>
        <w:t>ard sentences meted out by the R</w:t>
      </w:r>
      <w:r w:rsidRPr="00717C20">
        <w:rPr>
          <w:rFonts w:ascii="Times New Roman" w:hAnsi="Times New Roman" w:cs="Bookman Old Style"/>
          <w:color w:val="000000"/>
          <w:szCs w:val="20"/>
        </w:rPr>
        <w:t>evolutionary Tribunal.</w:t>
      </w:r>
      <w:r w:rsidRPr="00717C20">
        <w:rPr>
          <w:rStyle w:val="FootnoteReference"/>
          <w:rFonts w:ascii="Times New Roman" w:hAnsi="Times New Roman" w:cs="Bookman Old Style"/>
          <w:color w:val="000000"/>
          <w:szCs w:val="20"/>
        </w:rPr>
        <w:footnoteReference w:id="93"/>
      </w:r>
      <w:r w:rsidRPr="00717C20">
        <w:rPr>
          <w:rFonts w:ascii="Times New Roman" w:hAnsi="Times New Roman" w:cs="Bookman Old Style"/>
          <w:color w:val="000000"/>
          <w:szCs w:val="20"/>
        </w:rPr>
        <w:t xml:space="preserve"> In fact, </w:t>
      </w:r>
      <w:r>
        <w:rPr>
          <w:rFonts w:ascii="Times New Roman" w:hAnsi="Times New Roman" w:cs="Bookman Old Style"/>
          <w:color w:val="000000"/>
          <w:szCs w:val="20"/>
        </w:rPr>
        <w:t xml:space="preserve">the court sentenced only twelve defendants to a specific prison sentence in the entire history of the Revolutionary Tribunal. </w:t>
      </w:r>
      <w:r w:rsidRPr="00717C20">
        <w:rPr>
          <w:rFonts w:ascii="Times New Roman" w:hAnsi="Times New Roman" w:cs="Bookman Old Style"/>
          <w:color w:val="000000"/>
          <w:szCs w:val="20"/>
        </w:rPr>
        <w:t>The length of these confinements varied widely—from eight days to twenty years—and was usually reserved for particularly young defendants (one boy was only four</w:t>
      </w:r>
      <w:r>
        <w:rPr>
          <w:rFonts w:ascii="Times New Roman" w:hAnsi="Times New Roman" w:cs="Bookman Old Style"/>
          <w:color w:val="000000"/>
          <w:szCs w:val="20"/>
        </w:rPr>
        <w:t>teen) or those whose insanity was</w:t>
      </w:r>
      <w:r w:rsidRPr="00717C20">
        <w:rPr>
          <w:rFonts w:ascii="Times New Roman" w:hAnsi="Times New Roman" w:cs="Bookman Old Style"/>
          <w:color w:val="000000"/>
          <w:szCs w:val="20"/>
        </w:rPr>
        <w:t xml:space="preserve"> beyond question.</w:t>
      </w:r>
      <w:r w:rsidRPr="00717C20">
        <w:rPr>
          <w:rStyle w:val="FootnoteReference"/>
          <w:rFonts w:ascii="Times New Roman" w:hAnsi="Times New Roman" w:cs="Bookman Old Style"/>
          <w:color w:val="000000"/>
          <w:szCs w:val="20"/>
        </w:rPr>
        <w:footnoteReference w:id="94"/>
      </w:r>
      <w:r>
        <w:rPr>
          <w:rFonts w:ascii="Times New Roman" w:hAnsi="Times New Roman" w:cs="Bookman Old Style"/>
          <w:color w:val="000000"/>
          <w:szCs w:val="20"/>
        </w:rPr>
        <w:t xml:space="preserve"> </w:t>
      </w:r>
    </w:p>
    <w:p w:rsidR="001C5440" w:rsidRPr="00917777" w:rsidRDefault="001C5440" w:rsidP="00525111">
      <w:pPr>
        <w:spacing w:line="480" w:lineRule="auto"/>
        <w:ind w:firstLine="720"/>
        <w:contextualSpacing/>
        <w:rPr>
          <w:rFonts w:ascii="Times New Roman" w:hAnsi="Times New Roman" w:cs="Bookman Old Style"/>
          <w:color w:val="000000"/>
          <w:szCs w:val="20"/>
        </w:rPr>
      </w:pPr>
      <w:r w:rsidRPr="00717C20">
        <w:rPr>
          <w:rFonts w:ascii="Times New Roman" w:hAnsi="Times New Roman" w:cs="Bookman Old Style"/>
          <w:color w:val="000000"/>
          <w:szCs w:val="20"/>
        </w:rPr>
        <w:t>Roger’s religious crimes, like those of other women, threatened the Tribunal less</w:t>
      </w:r>
      <w:r>
        <w:rPr>
          <w:rFonts w:ascii="Times New Roman" w:hAnsi="Times New Roman" w:cs="Bookman Old Style"/>
          <w:color w:val="000000"/>
          <w:szCs w:val="20"/>
        </w:rPr>
        <w:t xml:space="preserve"> than similar religious crimes</w:t>
      </w:r>
      <w:r w:rsidRPr="00717C20">
        <w:rPr>
          <w:rFonts w:ascii="Times New Roman" w:hAnsi="Times New Roman" w:cs="Bookman Old Style"/>
          <w:color w:val="000000"/>
          <w:szCs w:val="20"/>
        </w:rPr>
        <w:t xml:space="preserve"> committed</w:t>
      </w:r>
      <w:r>
        <w:rPr>
          <w:rFonts w:ascii="Times New Roman" w:hAnsi="Times New Roman" w:cs="Bookman Old Style"/>
          <w:color w:val="000000"/>
          <w:szCs w:val="20"/>
        </w:rPr>
        <w:t xml:space="preserve"> by men</w:t>
      </w:r>
      <w:r w:rsidRPr="00717C20">
        <w:rPr>
          <w:rFonts w:ascii="Times New Roman" w:hAnsi="Times New Roman" w:cs="Bookman Old Style"/>
          <w:color w:val="000000"/>
          <w:szCs w:val="20"/>
        </w:rPr>
        <w:t>.</w:t>
      </w:r>
      <w:r>
        <w:rPr>
          <w:rFonts w:ascii="Times New Roman" w:hAnsi="Times New Roman" w:cs="Bookman Old Style"/>
          <w:color w:val="000000"/>
          <w:szCs w:val="20"/>
        </w:rPr>
        <w:t xml:space="preserve"> In many ways</w:t>
      </w:r>
      <w:r w:rsidRPr="00717C20">
        <w:rPr>
          <w:rFonts w:ascii="Times New Roman" w:hAnsi="Times New Roman" w:cs="Bookman Old Style"/>
          <w:color w:val="000000"/>
          <w:szCs w:val="20"/>
        </w:rPr>
        <w:t>, the</w:t>
      </w:r>
      <w:r>
        <w:rPr>
          <w:rFonts w:ascii="Times New Roman" w:hAnsi="Times New Roman" w:cs="Bookman Old Style"/>
          <w:color w:val="000000"/>
          <w:szCs w:val="20"/>
        </w:rPr>
        <w:t xml:space="preserve"> Tribunal accepted the</w:t>
      </w:r>
      <w:r w:rsidRPr="00717C20">
        <w:rPr>
          <w:rFonts w:ascii="Times New Roman" w:hAnsi="Times New Roman" w:cs="Bookman Old Style"/>
          <w:color w:val="000000"/>
          <w:szCs w:val="20"/>
        </w:rPr>
        <w:t xml:space="preserve"> “irrationality” of religion </w:t>
      </w:r>
      <w:r>
        <w:rPr>
          <w:rFonts w:ascii="Times New Roman" w:hAnsi="Times New Roman" w:cs="Bookman Old Style"/>
          <w:color w:val="000000"/>
          <w:szCs w:val="20"/>
        </w:rPr>
        <w:t>among women, but not men</w:t>
      </w:r>
      <w:r w:rsidRPr="00717C20">
        <w:rPr>
          <w:rFonts w:ascii="Times New Roman" w:hAnsi="Times New Roman" w:cs="Bookman Old Style"/>
          <w:color w:val="000000"/>
          <w:szCs w:val="20"/>
        </w:rPr>
        <w:t>.</w:t>
      </w:r>
      <w:r>
        <w:rPr>
          <w:rFonts w:ascii="Times New Roman" w:hAnsi="Times New Roman" w:cs="Bookman Old Style"/>
          <w:color w:val="000000"/>
          <w:szCs w:val="20"/>
        </w:rPr>
        <w:t xml:space="preserve"> T</w:t>
      </w:r>
      <w:r w:rsidRPr="00717C20">
        <w:rPr>
          <w:rFonts w:ascii="Times New Roman" w:hAnsi="Times New Roman" w:cs="Bookman Old Style"/>
          <w:color w:val="000000"/>
          <w:szCs w:val="20"/>
        </w:rPr>
        <w:t xml:space="preserve">he Tribunal did not envision women’s religious activity as a possible source of abusive influence over men. This perceived lack of influence and power, combined with the government’s reliance on the social services traditionally provided by nuns, led to the preferential treatment experienced by female defendants convicted of religious counterrevolution. </w:t>
      </w:r>
    </w:p>
    <w:p w:rsidR="001C5440" w:rsidRPr="00717C20" w:rsidRDefault="001C5440" w:rsidP="00525111">
      <w:pPr>
        <w:spacing w:line="480" w:lineRule="auto"/>
        <w:contextualSpacing/>
        <w:rPr>
          <w:rFonts w:ascii="Times New Roman" w:hAnsi="Times New Roman" w:cs="Bookman Old Style"/>
          <w:color w:val="000000"/>
          <w:szCs w:val="20"/>
        </w:rPr>
      </w:pPr>
      <w:r w:rsidRPr="00717C20">
        <w:rPr>
          <w:rFonts w:ascii="Times New Roman" w:hAnsi="Times New Roman" w:cs="Bookman Old Style"/>
          <w:color w:val="000000"/>
          <w:szCs w:val="20"/>
        </w:rPr>
        <w:tab/>
        <w:t xml:space="preserve">In evaluating the culpability of female defendants, the Revolutionary Tribunal systematically condemned women who, in the opinion of the Tribunal, abused their position of power over men. </w:t>
      </w:r>
      <w:r>
        <w:rPr>
          <w:rFonts w:ascii="Times New Roman" w:hAnsi="Times New Roman" w:cs="Bookman Old Style"/>
          <w:color w:val="000000"/>
          <w:szCs w:val="20"/>
        </w:rPr>
        <w:t>W</w:t>
      </w:r>
      <w:r w:rsidRPr="00717C20">
        <w:rPr>
          <w:rFonts w:ascii="Times New Roman" w:hAnsi="Times New Roman" w:cs="Bookman Old Style"/>
          <w:color w:val="000000"/>
          <w:szCs w:val="20"/>
        </w:rPr>
        <w:t xml:space="preserve">ritten acts, as opposed to their oral counterparts, were particularly damning for women. While speech acts were ephemeral, writing was an inherently more concrete form of influence and counterrevolution. Furthermore, the correlation between written acts of counterrevolution and elevated social standing undoubtedly influenced the Tribunal’s treatment of such crimes. </w:t>
      </w:r>
    </w:p>
    <w:p w:rsidR="001C5440" w:rsidRDefault="001C5440" w:rsidP="00525111">
      <w:pPr>
        <w:spacing w:line="480" w:lineRule="auto"/>
        <w:ind w:firstLine="720"/>
        <w:contextualSpacing/>
        <w:rPr>
          <w:rFonts w:ascii="Times New Roman" w:hAnsi="Times New Roman" w:cs="Bookman Old Style"/>
          <w:color w:val="000000"/>
          <w:szCs w:val="20"/>
        </w:rPr>
      </w:pPr>
      <w:r w:rsidRPr="00717C20">
        <w:rPr>
          <w:rFonts w:ascii="Times New Roman" w:hAnsi="Times New Roman" w:cs="Bookman Old Style"/>
          <w:color w:val="000000"/>
          <w:szCs w:val="20"/>
        </w:rPr>
        <w:lastRenderedPageBreak/>
        <w:t xml:space="preserve">The Tribunal’s fear over the influence of women also shaped its perception of the proper role of women within their families. </w:t>
      </w:r>
      <w:r>
        <w:rPr>
          <w:rFonts w:ascii="Times New Roman" w:hAnsi="Times New Roman" w:cs="Bookman Old Style"/>
          <w:color w:val="000000"/>
          <w:szCs w:val="20"/>
        </w:rPr>
        <w:t xml:space="preserve">The Tribunal expected women </w:t>
      </w:r>
      <w:r w:rsidRPr="00717C20">
        <w:rPr>
          <w:rFonts w:ascii="Times New Roman" w:hAnsi="Times New Roman" w:cs="Bookman Old Style"/>
          <w:color w:val="000000"/>
          <w:szCs w:val="20"/>
        </w:rPr>
        <w:t>to inculcate republican virtue among their husbands and children</w:t>
      </w:r>
      <w:r>
        <w:rPr>
          <w:rFonts w:ascii="Times New Roman" w:hAnsi="Times New Roman" w:cs="Bookman Old Style"/>
          <w:color w:val="000000"/>
          <w:szCs w:val="20"/>
        </w:rPr>
        <w:t>.</w:t>
      </w:r>
      <w:r w:rsidRPr="00717C20">
        <w:rPr>
          <w:rFonts w:ascii="Times New Roman" w:hAnsi="Times New Roman" w:cs="Bookman Old Style"/>
          <w:color w:val="000000"/>
          <w:szCs w:val="20"/>
        </w:rPr>
        <w:t xml:space="preserve"> </w:t>
      </w:r>
      <w:r>
        <w:rPr>
          <w:rFonts w:ascii="Times New Roman" w:hAnsi="Times New Roman" w:cs="Bookman Old Style"/>
          <w:color w:val="000000"/>
          <w:szCs w:val="20"/>
        </w:rPr>
        <w:t>As a result, the court attributed the</w:t>
      </w:r>
      <w:r w:rsidRPr="00717C20">
        <w:rPr>
          <w:rFonts w:ascii="Times New Roman" w:hAnsi="Times New Roman" w:cs="Bookman Old Style"/>
          <w:color w:val="000000"/>
          <w:szCs w:val="20"/>
        </w:rPr>
        <w:t xml:space="preserve"> counterrevolutionary acts of these </w:t>
      </w:r>
      <w:r>
        <w:rPr>
          <w:rFonts w:ascii="Times New Roman" w:hAnsi="Times New Roman" w:cs="Bookman Old Style"/>
          <w:color w:val="000000"/>
          <w:szCs w:val="20"/>
        </w:rPr>
        <w:t>relatives to a woman’s moral failure</w:t>
      </w:r>
      <w:r w:rsidRPr="00717C20">
        <w:rPr>
          <w:rFonts w:ascii="Times New Roman" w:hAnsi="Times New Roman" w:cs="Bookman Old Style"/>
          <w:color w:val="000000"/>
          <w:szCs w:val="20"/>
        </w:rPr>
        <w:t xml:space="preserve"> and complicity.</w:t>
      </w:r>
      <w:r>
        <w:rPr>
          <w:rFonts w:ascii="Times New Roman" w:hAnsi="Times New Roman" w:cs="Bookman Old Style"/>
          <w:color w:val="000000"/>
          <w:szCs w:val="20"/>
        </w:rPr>
        <w:t xml:space="preserve"> </w:t>
      </w:r>
    </w:p>
    <w:p w:rsidR="001C5440" w:rsidRPr="00717C20" w:rsidRDefault="001C5440" w:rsidP="00525111">
      <w:pPr>
        <w:spacing w:line="480" w:lineRule="auto"/>
        <w:ind w:firstLine="720"/>
        <w:contextualSpacing/>
        <w:rPr>
          <w:rFonts w:ascii="Times New Roman" w:hAnsi="Times New Roman" w:cs="Bookman Old Style"/>
          <w:color w:val="000000"/>
          <w:szCs w:val="20"/>
        </w:rPr>
      </w:pPr>
      <w:r w:rsidRPr="00717C20">
        <w:rPr>
          <w:rFonts w:ascii="Times New Roman" w:hAnsi="Times New Roman" w:cs="Bookman Old Style"/>
          <w:color w:val="000000"/>
          <w:szCs w:val="20"/>
        </w:rPr>
        <w:t>Women convicted of religious crimes benefited from the Tribunal’s attitude to</w:t>
      </w:r>
      <w:r>
        <w:rPr>
          <w:rFonts w:ascii="Times New Roman" w:hAnsi="Times New Roman" w:cs="Bookman Old Style"/>
          <w:color w:val="000000"/>
          <w:szCs w:val="20"/>
        </w:rPr>
        <w:t>wards</w:t>
      </w:r>
      <w:r w:rsidRPr="00717C20">
        <w:rPr>
          <w:rFonts w:ascii="Times New Roman" w:hAnsi="Times New Roman" w:cs="Bookman Old Style"/>
          <w:color w:val="000000"/>
          <w:szCs w:val="20"/>
        </w:rPr>
        <w:t xml:space="preserve"> their</w:t>
      </w:r>
      <w:r>
        <w:rPr>
          <w:rFonts w:ascii="Times New Roman" w:hAnsi="Times New Roman" w:cs="Bookman Old Style"/>
          <w:color w:val="000000"/>
          <w:szCs w:val="20"/>
        </w:rPr>
        <w:t xml:space="preserve"> perceived</w:t>
      </w:r>
      <w:r w:rsidRPr="00717C20">
        <w:rPr>
          <w:rFonts w:ascii="Times New Roman" w:hAnsi="Times New Roman" w:cs="Bookman Old Style"/>
          <w:color w:val="000000"/>
          <w:szCs w:val="20"/>
        </w:rPr>
        <w:t xml:space="preserve"> level of influence and power. Subservient within both the church and the lay hierarchy, nuns and other religiously minded women did not present the same threat of nefarious </w:t>
      </w:r>
      <w:r>
        <w:rPr>
          <w:rFonts w:ascii="Times New Roman" w:hAnsi="Times New Roman" w:cs="Bookman Old Style"/>
          <w:color w:val="000000"/>
          <w:szCs w:val="20"/>
        </w:rPr>
        <w:t>counterrevolution</w:t>
      </w:r>
      <w:r w:rsidRPr="00717C20">
        <w:rPr>
          <w:rFonts w:ascii="Times New Roman" w:hAnsi="Times New Roman" w:cs="Bookman Old Style"/>
          <w:color w:val="000000"/>
          <w:szCs w:val="20"/>
        </w:rPr>
        <w:t xml:space="preserve"> as did their male counterparts—refractory priests</w:t>
      </w:r>
      <w:r>
        <w:rPr>
          <w:rFonts w:ascii="Times New Roman" w:hAnsi="Times New Roman" w:cs="Bookman Old Style"/>
          <w:color w:val="000000"/>
          <w:szCs w:val="20"/>
        </w:rPr>
        <w:t>.</w:t>
      </w:r>
      <w:r w:rsidRPr="00717C20">
        <w:rPr>
          <w:rFonts w:ascii="Times New Roman" w:hAnsi="Times New Roman" w:cs="Bookman Old Style"/>
          <w:color w:val="000000"/>
          <w:szCs w:val="20"/>
        </w:rPr>
        <w:t xml:space="preserve"> </w:t>
      </w:r>
    </w:p>
    <w:p w:rsidR="001C5440" w:rsidRPr="00717C20" w:rsidRDefault="001C5440" w:rsidP="00525111">
      <w:pPr>
        <w:spacing w:line="480" w:lineRule="auto"/>
        <w:ind w:firstLine="720"/>
        <w:contextualSpacing/>
        <w:rPr>
          <w:rFonts w:ascii="Times New Roman" w:hAnsi="Times New Roman" w:cs="Bookman Old Style"/>
          <w:color w:val="000000"/>
          <w:szCs w:val="20"/>
        </w:rPr>
      </w:pPr>
      <w:r w:rsidRPr="00717C20">
        <w:rPr>
          <w:rFonts w:ascii="Times New Roman" w:hAnsi="Times New Roman" w:cs="Bookman Old Style"/>
          <w:color w:val="000000"/>
          <w:szCs w:val="20"/>
        </w:rPr>
        <w:t>These systematic preferences and discriminations withi</w:t>
      </w:r>
      <w:r>
        <w:rPr>
          <w:rFonts w:ascii="Times New Roman" w:hAnsi="Times New Roman" w:cs="Bookman Old Style"/>
          <w:color w:val="000000"/>
          <w:szCs w:val="20"/>
        </w:rPr>
        <w:t xml:space="preserve">n the Revolutionary Tribunal resulted from </w:t>
      </w:r>
      <w:r w:rsidRPr="00717C20">
        <w:rPr>
          <w:rFonts w:ascii="Times New Roman" w:hAnsi="Times New Roman" w:cs="Bookman Old Style"/>
          <w:color w:val="000000"/>
          <w:szCs w:val="20"/>
        </w:rPr>
        <w:t xml:space="preserve">the underlying ideology that feared the role and influence of women in the </w:t>
      </w:r>
      <w:r>
        <w:rPr>
          <w:rFonts w:ascii="Times New Roman" w:hAnsi="Times New Roman" w:cs="Bookman Old Style"/>
          <w:color w:val="000000"/>
          <w:szCs w:val="20"/>
        </w:rPr>
        <w:t xml:space="preserve">politics </w:t>
      </w:r>
      <w:r w:rsidRPr="00717C20">
        <w:rPr>
          <w:rFonts w:ascii="Times New Roman" w:hAnsi="Times New Roman" w:cs="Bookman Old Style"/>
          <w:color w:val="000000"/>
          <w:szCs w:val="20"/>
        </w:rPr>
        <w:t xml:space="preserve">and judged their counterrevolutionary crimes accordingly. </w:t>
      </w:r>
    </w:p>
    <w:p w:rsidR="000D14E2" w:rsidRDefault="000D14E2" w:rsidP="000D14E2">
      <w:pPr>
        <w:spacing w:after="0"/>
        <w:rPr>
          <w:rFonts w:ascii="Times New Roman" w:hAnsi="Times New Roman" w:cs="Bookman Old Style"/>
          <w:color w:val="000000"/>
          <w:szCs w:val="20"/>
        </w:rPr>
      </w:pPr>
      <w:r>
        <w:rPr>
          <w:rFonts w:ascii="Times New Roman" w:hAnsi="Times New Roman" w:cs="Bookman Old Style"/>
          <w:color w:val="000000"/>
          <w:sz w:val="36"/>
          <w:szCs w:val="20"/>
        </w:rPr>
        <w:br w:type="page"/>
      </w:r>
      <w:r>
        <w:rPr>
          <w:rFonts w:ascii="Times New Roman" w:hAnsi="Times New Roman" w:cs="Bookman Old Style"/>
          <w:color w:val="000000"/>
          <w:sz w:val="36"/>
          <w:szCs w:val="20"/>
        </w:rPr>
        <w:lastRenderedPageBreak/>
        <w:t>W</w:t>
      </w:r>
      <w:r w:rsidR="001C5440" w:rsidRPr="00717C20">
        <w:rPr>
          <w:rFonts w:ascii="Times New Roman" w:hAnsi="Times New Roman" w:cs="Bookman Old Style"/>
          <w:color w:val="000000"/>
          <w:sz w:val="28"/>
          <w:szCs w:val="20"/>
        </w:rPr>
        <w:t>omen’s Defense before the Tribunal</w:t>
      </w:r>
      <w:r w:rsidR="00CB0720">
        <w:rPr>
          <w:rFonts w:ascii="Times New Roman" w:hAnsi="Times New Roman" w:cs="Bookman Old Style"/>
          <w:color w:val="000000"/>
          <w:sz w:val="28"/>
          <w:szCs w:val="20"/>
        </w:rPr>
        <w:t>: A Life or Death Affair</w:t>
      </w:r>
    </w:p>
    <w:p w:rsidR="001C5440" w:rsidRPr="000D14E2" w:rsidRDefault="001C5440" w:rsidP="000D14E2">
      <w:pPr>
        <w:spacing w:after="0"/>
        <w:rPr>
          <w:rFonts w:ascii="Times New Roman" w:hAnsi="Times New Roman" w:cs="Bookman Old Style"/>
          <w:color w:val="000000"/>
          <w:szCs w:val="20"/>
        </w:rPr>
      </w:pPr>
    </w:p>
    <w:p w:rsidR="001C5440" w:rsidRPr="00717C20" w:rsidRDefault="001C5440" w:rsidP="00525111">
      <w:pPr>
        <w:spacing w:line="480" w:lineRule="auto"/>
        <w:contextualSpacing/>
        <w:rPr>
          <w:rFonts w:ascii="Times New Roman" w:hAnsi="Times New Roman"/>
        </w:rPr>
      </w:pPr>
      <w:r w:rsidRPr="00717C20">
        <w:rPr>
          <w:rFonts w:ascii="Times New Roman" w:hAnsi="Times New Roman" w:cs="Bookman Old Style"/>
          <w:color w:val="000000"/>
          <w:szCs w:val="20"/>
        </w:rPr>
        <w:tab/>
        <w:t>A</w:t>
      </w:r>
      <w:r>
        <w:rPr>
          <w:rFonts w:ascii="Times New Roman" w:hAnsi="Times New Roman" w:cs="Bookman Old Style"/>
          <w:color w:val="000000"/>
          <w:szCs w:val="20"/>
        </w:rPr>
        <w:t xml:space="preserve"> </w:t>
      </w:r>
      <w:r w:rsidRPr="00717C20">
        <w:rPr>
          <w:rFonts w:ascii="Times New Roman" w:hAnsi="Times New Roman" w:cs="Bookman Old Style"/>
          <w:color w:val="000000"/>
          <w:szCs w:val="20"/>
        </w:rPr>
        <w:t xml:space="preserve">relatively consistent matrix, heavily influenced by the political and social realities of both </w:t>
      </w:r>
      <w:r w:rsidRPr="00717C20">
        <w:rPr>
          <w:rFonts w:ascii="Times New Roman" w:hAnsi="Times New Roman" w:cs="Bookman Old Style"/>
          <w:i/>
          <w:color w:val="000000"/>
          <w:szCs w:val="20"/>
        </w:rPr>
        <w:t>Ancien Regime</w:t>
      </w:r>
      <w:r>
        <w:rPr>
          <w:rFonts w:ascii="Times New Roman" w:hAnsi="Times New Roman" w:cs="Bookman Old Style"/>
          <w:color w:val="000000"/>
          <w:szCs w:val="20"/>
        </w:rPr>
        <w:t xml:space="preserve"> and r</w:t>
      </w:r>
      <w:r w:rsidRPr="00717C20">
        <w:rPr>
          <w:rFonts w:ascii="Times New Roman" w:hAnsi="Times New Roman" w:cs="Bookman Old Style"/>
          <w:color w:val="000000"/>
          <w:szCs w:val="20"/>
        </w:rPr>
        <w:t>evolutionary France</w:t>
      </w:r>
      <w:r>
        <w:rPr>
          <w:rFonts w:ascii="Times New Roman" w:hAnsi="Times New Roman" w:cs="Bookman Old Style"/>
          <w:color w:val="000000"/>
          <w:szCs w:val="20"/>
        </w:rPr>
        <w:t>, determined most</w:t>
      </w:r>
      <w:r w:rsidRPr="00717C20">
        <w:rPr>
          <w:rFonts w:ascii="Times New Roman" w:hAnsi="Times New Roman" w:cs="Bookman Old Style"/>
          <w:color w:val="000000"/>
          <w:szCs w:val="20"/>
        </w:rPr>
        <w:t xml:space="preserve"> trial outcomes within the Revolutionary Tribunal. Howe</w:t>
      </w:r>
      <w:r>
        <w:rPr>
          <w:rFonts w:ascii="Times New Roman" w:hAnsi="Times New Roman" w:cs="Bookman Old Style"/>
          <w:color w:val="000000"/>
          <w:szCs w:val="20"/>
        </w:rPr>
        <w:t>ver, some defendants refused to</w:t>
      </w:r>
      <w:r w:rsidRPr="00717C20">
        <w:rPr>
          <w:rFonts w:ascii="Times New Roman" w:hAnsi="Times New Roman"/>
        </w:rPr>
        <w:t xml:space="preserve"> passive</w:t>
      </w:r>
      <w:r>
        <w:rPr>
          <w:rFonts w:ascii="Times New Roman" w:hAnsi="Times New Roman"/>
        </w:rPr>
        <w:t>ly await judgment on the conveyor belt of r</w:t>
      </w:r>
      <w:r w:rsidRPr="00717C20">
        <w:rPr>
          <w:rFonts w:ascii="Times New Roman" w:hAnsi="Times New Roman"/>
        </w:rPr>
        <w:t>evolutionary justice. These women actively petitioned for their innocence through the use of oral defense, personal letters of defense</w:t>
      </w:r>
      <w:r>
        <w:rPr>
          <w:rFonts w:ascii="Times New Roman" w:hAnsi="Times New Roman"/>
        </w:rPr>
        <w:t>,</w:t>
      </w:r>
      <w:r w:rsidRPr="00717C20">
        <w:rPr>
          <w:rFonts w:ascii="Times New Roman" w:hAnsi="Times New Roman"/>
        </w:rPr>
        <w:t xml:space="preserve"> and letters of patriotism submitted by a defendant’s local section. Although women used many different strategies of defense, the most effective forms of defense caught the attention of the judges and jurors through the creation of a humanizing vignette to counter the prosecution</w:t>
      </w:r>
      <w:r>
        <w:rPr>
          <w:rFonts w:ascii="Times New Roman" w:hAnsi="Times New Roman"/>
        </w:rPr>
        <w:t>’</w:t>
      </w:r>
      <w:r w:rsidRPr="00717C20">
        <w:rPr>
          <w:rFonts w:ascii="Times New Roman" w:hAnsi="Times New Roman"/>
        </w:rPr>
        <w:t>s negative portrayal.</w:t>
      </w:r>
    </w:p>
    <w:p w:rsidR="001C5440" w:rsidRPr="00717C20" w:rsidRDefault="001C5440" w:rsidP="00525111">
      <w:pPr>
        <w:spacing w:line="480" w:lineRule="auto"/>
        <w:ind w:firstLine="720"/>
        <w:contextualSpacing/>
        <w:rPr>
          <w:rFonts w:ascii="Times New Roman" w:hAnsi="Times New Roman"/>
        </w:rPr>
      </w:pPr>
      <w:r>
        <w:rPr>
          <w:rFonts w:ascii="Times New Roman" w:hAnsi="Times New Roman"/>
        </w:rPr>
        <w:t>T</w:t>
      </w:r>
      <w:r w:rsidRPr="00717C20">
        <w:rPr>
          <w:rFonts w:ascii="Times New Roman" w:hAnsi="Times New Roman"/>
        </w:rPr>
        <w:t xml:space="preserve">he rich history of legal defense which preceded the creation of the Tribunal </w:t>
      </w:r>
      <w:r>
        <w:rPr>
          <w:rFonts w:ascii="Times New Roman" w:hAnsi="Times New Roman"/>
        </w:rPr>
        <w:t>informed w</w:t>
      </w:r>
      <w:r w:rsidRPr="00717C20">
        <w:rPr>
          <w:rFonts w:ascii="Times New Roman" w:hAnsi="Times New Roman"/>
        </w:rPr>
        <w:t>omen’s use of legal defense, and especially their creation of vignettes</w:t>
      </w:r>
      <w:r>
        <w:rPr>
          <w:rFonts w:ascii="Times New Roman" w:hAnsi="Times New Roman"/>
        </w:rPr>
        <w:t xml:space="preserve">. </w:t>
      </w:r>
      <w:r w:rsidRPr="00717C20">
        <w:rPr>
          <w:rFonts w:ascii="Times New Roman" w:hAnsi="Times New Roman"/>
        </w:rPr>
        <w:t xml:space="preserve">During the 1770’s and 1780’s, a specific form of literature, the </w:t>
      </w:r>
      <w:r w:rsidRPr="00717C20">
        <w:rPr>
          <w:rFonts w:ascii="Times New Roman" w:hAnsi="Times New Roman"/>
          <w:i/>
        </w:rPr>
        <w:t>mémoire judiciaire</w:t>
      </w:r>
      <w:r w:rsidRPr="00717C20">
        <w:rPr>
          <w:rFonts w:ascii="Times New Roman" w:hAnsi="Times New Roman"/>
        </w:rPr>
        <w:t xml:space="preserve">, gained popularity </w:t>
      </w:r>
      <w:r>
        <w:rPr>
          <w:rFonts w:ascii="Times New Roman" w:hAnsi="Times New Roman"/>
        </w:rPr>
        <w:t>among</w:t>
      </w:r>
      <w:r w:rsidRPr="00717C20">
        <w:rPr>
          <w:rFonts w:ascii="Times New Roman" w:hAnsi="Times New Roman"/>
        </w:rPr>
        <w:t xml:space="preserve"> the bourgeoisie.</w:t>
      </w:r>
      <w:r w:rsidRPr="00717C20">
        <w:rPr>
          <w:rStyle w:val="FootnoteReference"/>
          <w:rFonts w:ascii="Times New Roman" w:hAnsi="Times New Roman"/>
        </w:rPr>
        <w:footnoteReference w:id="95"/>
      </w:r>
      <w:r>
        <w:rPr>
          <w:rFonts w:ascii="Times New Roman" w:hAnsi="Times New Roman"/>
        </w:rPr>
        <w:t xml:space="preserve"> P</w:t>
      </w:r>
      <w:r w:rsidRPr="00717C20">
        <w:rPr>
          <w:rFonts w:ascii="Times New Roman" w:hAnsi="Times New Roman"/>
        </w:rPr>
        <w:t xml:space="preserve">ublished by lawyers for their clients, </w:t>
      </w:r>
      <w:r>
        <w:rPr>
          <w:rFonts w:ascii="Times New Roman" w:hAnsi="Times New Roman"/>
        </w:rPr>
        <w:t>these long memoranda</w:t>
      </w:r>
      <w:r w:rsidRPr="00717C20">
        <w:rPr>
          <w:rFonts w:ascii="Times New Roman" w:hAnsi="Times New Roman"/>
        </w:rPr>
        <w:t xml:space="preserve"> sway</w:t>
      </w:r>
      <w:r>
        <w:rPr>
          <w:rFonts w:ascii="Times New Roman" w:hAnsi="Times New Roman"/>
        </w:rPr>
        <w:t>ed</w:t>
      </w:r>
      <w:r w:rsidRPr="00717C20">
        <w:rPr>
          <w:rFonts w:ascii="Times New Roman" w:hAnsi="Times New Roman"/>
        </w:rPr>
        <w:t xml:space="preserve"> public opinion for a trial currently in progress. The </w:t>
      </w:r>
      <w:r w:rsidRPr="00717C20">
        <w:rPr>
          <w:rFonts w:ascii="Times New Roman" w:hAnsi="Times New Roman"/>
          <w:i/>
        </w:rPr>
        <w:t>mémoire judiciaire</w:t>
      </w:r>
      <w:r w:rsidRPr="00717C20">
        <w:rPr>
          <w:rFonts w:ascii="Times New Roman" w:hAnsi="Times New Roman"/>
        </w:rPr>
        <w:t xml:space="preserve"> embodied a particular style that greatly influenced women’s legal</w:t>
      </w:r>
      <w:r>
        <w:rPr>
          <w:rFonts w:ascii="Times New Roman" w:hAnsi="Times New Roman"/>
        </w:rPr>
        <w:t xml:space="preserve"> defense</w:t>
      </w:r>
      <w:r w:rsidRPr="00717C20">
        <w:rPr>
          <w:rFonts w:ascii="Times New Roman" w:hAnsi="Times New Roman"/>
        </w:rPr>
        <w:t xml:space="preserve"> </w:t>
      </w:r>
      <w:r>
        <w:rPr>
          <w:rFonts w:ascii="Times New Roman" w:hAnsi="Times New Roman"/>
        </w:rPr>
        <w:t>before</w:t>
      </w:r>
      <w:r w:rsidRPr="00717C20">
        <w:rPr>
          <w:rFonts w:ascii="Times New Roman" w:hAnsi="Times New Roman"/>
        </w:rPr>
        <w:t xml:space="preserve"> the Revolutionary Tribunal.</w:t>
      </w:r>
    </w:p>
    <w:p w:rsidR="001C5440" w:rsidRPr="00717C20" w:rsidRDefault="001C5440" w:rsidP="00525111">
      <w:pPr>
        <w:spacing w:line="480" w:lineRule="auto"/>
        <w:ind w:firstLine="720"/>
        <w:contextualSpacing/>
        <w:rPr>
          <w:rFonts w:ascii="Times New Roman" w:hAnsi="Times New Roman"/>
        </w:rPr>
      </w:pPr>
      <w:r w:rsidRPr="00717C20">
        <w:rPr>
          <w:rFonts w:ascii="Times New Roman" w:hAnsi="Times New Roman"/>
        </w:rPr>
        <w:t xml:space="preserve">Within these memoranda, </w:t>
      </w:r>
      <w:r>
        <w:rPr>
          <w:rFonts w:ascii="Times New Roman" w:hAnsi="Times New Roman"/>
        </w:rPr>
        <w:t xml:space="preserve">the author gave cases a distinctly </w:t>
      </w:r>
      <w:r w:rsidRPr="00717C20">
        <w:rPr>
          <w:rFonts w:ascii="Times New Roman" w:hAnsi="Times New Roman"/>
        </w:rPr>
        <w:t>narrative form,</w:t>
      </w:r>
      <w:r>
        <w:rPr>
          <w:rFonts w:ascii="Times New Roman" w:hAnsi="Times New Roman"/>
        </w:rPr>
        <w:t xml:space="preserve"> while starkly simplifying</w:t>
      </w:r>
      <w:r w:rsidRPr="00717C20">
        <w:rPr>
          <w:rFonts w:ascii="Times New Roman" w:hAnsi="Times New Roman"/>
        </w:rPr>
        <w:t xml:space="preserve"> characters’ motivations</w:t>
      </w:r>
      <w:r>
        <w:rPr>
          <w:rFonts w:ascii="Times New Roman" w:hAnsi="Times New Roman"/>
        </w:rPr>
        <w:t xml:space="preserve"> and advancing a specific interpretation </w:t>
      </w:r>
      <w:r w:rsidRPr="00717C20">
        <w:rPr>
          <w:rFonts w:ascii="Times New Roman" w:hAnsi="Times New Roman"/>
        </w:rPr>
        <w:t xml:space="preserve">favorable to </w:t>
      </w:r>
      <w:r>
        <w:rPr>
          <w:rFonts w:ascii="Times New Roman" w:hAnsi="Times New Roman"/>
        </w:rPr>
        <w:t xml:space="preserve">the defendant. </w:t>
      </w:r>
      <w:r w:rsidRPr="00717C20">
        <w:rPr>
          <w:rFonts w:ascii="Times New Roman" w:hAnsi="Times New Roman"/>
        </w:rPr>
        <w:t xml:space="preserve">In “offer[ing] their readers melodramatic narratives and heavily typed characters,” the memoranda simplified and sensationalized a certain story to gain the </w:t>
      </w:r>
      <w:r w:rsidRPr="00717C20">
        <w:rPr>
          <w:rFonts w:ascii="Times New Roman" w:hAnsi="Times New Roman"/>
        </w:rPr>
        <w:lastRenderedPageBreak/>
        <w:t>sympathy and support of the literate elite.</w:t>
      </w:r>
      <w:r w:rsidRPr="00717C20">
        <w:rPr>
          <w:rStyle w:val="FootnoteReference"/>
          <w:rFonts w:ascii="Times New Roman" w:hAnsi="Times New Roman"/>
        </w:rPr>
        <w:footnoteReference w:id="96"/>
      </w:r>
      <w:r w:rsidRPr="00717C20">
        <w:rPr>
          <w:rFonts w:ascii="Times New Roman" w:hAnsi="Times New Roman"/>
        </w:rPr>
        <w:t xml:space="preserve"> </w:t>
      </w:r>
      <w:r>
        <w:rPr>
          <w:rFonts w:ascii="Times New Roman" w:hAnsi="Times New Roman"/>
        </w:rPr>
        <w:t>Historians hotly debate t</w:t>
      </w:r>
      <w:r w:rsidRPr="00717C20">
        <w:rPr>
          <w:rFonts w:ascii="Times New Roman" w:hAnsi="Times New Roman"/>
        </w:rPr>
        <w:t>he extent to which pre-revolutionary women consciously relied on similar forms of melodramatic, gendered depictions of themselves to escape or lessen the punishment for certain crime</w:t>
      </w:r>
      <w:r>
        <w:rPr>
          <w:rFonts w:ascii="Times New Roman" w:hAnsi="Times New Roman"/>
        </w:rPr>
        <w:t>s</w:t>
      </w:r>
      <w:r w:rsidRPr="00717C20">
        <w:rPr>
          <w:rFonts w:ascii="Times New Roman" w:hAnsi="Times New Roman"/>
        </w:rPr>
        <w:t>.</w:t>
      </w:r>
      <w:r w:rsidRPr="00717C20">
        <w:rPr>
          <w:rStyle w:val="FootnoteReference"/>
          <w:rFonts w:ascii="Times New Roman" w:hAnsi="Times New Roman"/>
        </w:rPr>
        <w:footnoteReference w:id="97"/>
      </w:r>
      <w:r w:rsidRPr="00717C20">
        <w:rPr>
          <w:rFonts w:ascii="Times New Roman" w:hAnsi="Times New Roman"/>
        </w:rPr>
        <w:t xml:space="preserve"> </w:t>
      </w:r>
    </w:p>
    <w:p w:rsidR="001C5440" w:rsidRPr="00717C20" w:rsidRDefault="001C5440" w:rsidP="00525111">
      <w:pPr>
        <w:spacing w:line="480" w:lineRule="auto"/>
        <w:ind w:firstLine="720"/>
        <w:contextualSpacing/>
        <w:rPr>
          <w:rFonts w:ascii="Times New Roman" w:hAnsi="Times New Roman"/>
        </w:rPr>
      </w:pPr>
      <w:r w:rsidRPr="00717C20">
        <w:rPr>
          <w:rFonts w:ascii="Times New Roman" w:hAnsi="Times New Roman"/>
        </w:rPr>
        <w:t xml:space="preserve">While the </w:t>
      </w:r>
      <w:r w:rsidRPr="00717C20">
        <w:rPr>
          <w:rFonts w:ascii="Times New Roman" w:hAnsi="Times New Roman"/>
          <w:i/>
        </w:rPr>
        <w:t>mémoire judiciaire</w:t>
      </w:r>
      <w:r w:rsidRPr="00717C20">
        <w:rPr>
          <w:rFonts w:ascii="Times New Roman" w:hAnsi="Times New Roman"/>
        </w:rPr>
        <w:t xml:space="preserve"> served as a crucial, shared cultural backdrop to the formation of women’s defense in front of the Revolutionary Tribunal, the </w:t>
      </w:r>
      <w:r>
        <w:rPr>
          <w:rFonts w:ascii="Times New Roman" w:hAnsi="Times New Roman"/>
        </w:rPr>
        <w:t>styles</w:t>
      </w:r>
      <w:r w:rsidRPr="00717C20">
        <w:rPr>
          <w:rFonts w:ascii="Times New Roman" w:hAnsi="Times New Roman"/>
        </w:rPr>
        <w:t xml:space="preserve"> of defense </w:t>
      </w:r>
      <w:r>
        <w:rPr>
          <w:rFonts w:ascii="Times New Roman" w:hAnsi="Times New Roman"/>
        </w:rPr>
        <w:t>afforded prisoners</w:t>
      </w:r>
      <w:r w:rsidRPr="00717C20">
        <w:rPr>
          <w:rFonts w:ascii="Times New Roman" w:hAnsi="Times New Roman"/>
        </w:rPr>
        <w:t xml:space="preserve"> more pr</w:t>
      </w:r>
      <w:r>
        <w:rPr>
          <w:rFonts w:ascii="Times New Roman" w:hAnsi="Times New Roman"/>
        </w:rPr>
        <w:t>agmatically</w:t>
      </w:r>
      <w:r w:rsidRPr="00717C20">
        <w:rPr>
          <w:rFonts w:ascii="Times New Roman" w:hAnsi="Times New Roman"/>
        </w:rPr>
        <w:t xml:space="preserve"> shaped actual practice. As mentioned previously, </w:t>
      </w:r>
      <w:r>
        <w:rPr>
          <w:rFonts w:ascii="Times New Roman" w:hAnsi="Times New Roman"/>
        </w:rPr>
        <w:t>the Convention gave little thought</w:t>
      </w:r>
      <w:r w:rsidRPr="00717C20">
        <w:rPr>
          <w:rFonts w:ascii="Times New Roman" w:hAnsi="Times New Roman"/>
        </w:rPr>
        <w:t xml:space="preserve"> to the types of defense that would be allowed for prisoners.</w:t>
      </w:r>
      <w:r w:rsidRPr="00717C20">
        <w:rPr>
          <w:rStyle w:val="FootnoteReference"/>
          <w:rFonts w:ascii="Times New Roman" w:hAnsi="Times New Roman"/>
        </w:rPr>
        <w:footnoteReference w:id="98"/>
      </w:r>
      <w:r w:rsidRPr="00717C20">
        <w:rPr>
          <w:rFonts w:ascii="Times New Roman" w:hAnsi="Times New Roman"/>
        </w:rPr>
        <w:t xml:space="preserve"> This </w:t>
      </w:r>
      <w:r>
        <w:rPr>
          <w:rFonts w:ascii="Times New Roman" w:hAnsi="Times New Roman"/>
        </w:rPr>
        <w:t xml:space="preserve">became </w:t>
      </w:r>
      <w:r w:rsidRPr="00717C20">
        <w:rPr>
          <w:rFonts w:ascii="Times New Roman" w:hAnsi="Times New Roman"/>
        </w:rPr>
        <w:t>increasingly problem</w:t>
      </w:r>
      <w:r>
        <w:rPr>
          <w:rFonts w:ascii="Times New Roman" w:hAnsi="Times New Roman"/>
        </w:rPr>
        <w:t>atic</w:t>
      </w:r>
      <w:r w:rsidRPr="00717C20">
        <w:rPr>
          <w:rFonts w:ascii="Times New Roman" w:hAnsi="Times New Roman"/>
        </w:rPr>
        <w:t xml:space="preserve"> during the later, radicalized phase of the Revolutionary Tribunal where mass convictions made individual defense difficult to procure, even when desired by prisoners. </w:t>
      </w:r>
    </w:p>
    <w:p w:rsidR="001C5440" w:rsidRPr="00717C20" w:rsidRDefault="001C5440" w:rsidP="00525111">
      <w:pPr>
        <w:spacing w:line="480" w:lineRule="auto"/>
        <w:ind w:firstLine="720"/>
        <w:contextualSpacing/>
        <w:rPr>
          <w:rFonts w:ascii="Times New Roman" w:hAnsi="Times New Roman"/>
        </w:rPr>
      </w:pPr>
      <w:r w:rsidRPr="00717C20">
        <w:rPr>
          <w:rFonts w:ascii="Times New Roman" w:hAnsi="Times New Roman"/>
        </w:rPr>
        <w:t xml:space="preserve">Defendants before the Revolutionary Tribunal </w:t>
      </w:r>
      <w:r>
        <w:rPr>
          <w:rFonts w:ascii="Times New Roman" w:hAnsi="Times New Roman"/>
        </w:rPr>
        <w:t>favored</w:t>
      </w:r>
      <w:r w:rsidRPr="00717C20">
        <w:rPr>
          <w:rFonts w:ascii="Times New Roman" w:hAnsi="Times New Roman"/>
        </w:rPr>
        <w:t xml:space="preserve"> various </w:t>
      </w:r>
      <w:r>
        <w:rPr>
          <w:rFonts w:ascii="Times New Roman" w:hAnsi="Times New Roman"/>
        </w:rPr>
        <w:t>forms</w:t>
      </w:r>
      <w:r w:rsidRPr="00717C20">
        <w:rPr>
          <w:rFonts w:ascii="Times New Roman" w:hAnsi="Times New Roman"/>
        </w:rPr>
        <w:t xml:space="preserve"> of written defenses. These written defenses took three main forms: (i) petitions signed by political groups; (ii) formal memorandums; and (iii) personal letters from the defendant. Each of these forms could be </w:t>
      </w:r>
      <w:r>
        <w:rPr>
          <w:rFonts w:ascii="Times New Roman" w:hAnsi="Times New Roman"/>
        </w:rPr>
        <w:t>employed</w:t>
      </w:r>
      <w:r w:rsidRPr="00717C20">
        <w:rPr>
          <w:rFonts w:ascii="Times New Roman" w:hAnsi="Times New Roman"/>
        </w:rPr>
        <w:t xml:space="preserve"> in combination with the others, and </w:t>
      </w:r>
      <w:r>
        <w:rPr>
          <w:rFonts w:ascii="Times New Roman" w:hAnsi="Times New Roman"/>
        </w:rPr>
        <w:t>a single defendant commonly</w:t>
      </w:r>
      <w:r w:rsidRPr="00717C20">
        <w:rPr>
          <w:rFonts w:ascii="Times New Roman" w:hAnsi="Times New Roman"/>
        </w:rPr>
        <w:t xml:space="preserve"> submit</w:t>
      </w:r>
      <w:r>
        <w:rPr>
          <w:rFonts w:ascii="Times New Roman" w:hAnsi="Times New Roman"/>
        </w:rPr>
        <w:t>ted</w:t>
      </w:r>
      <w:r w:rsidRPr="00717C20">
        <w:rPr>
          <w:rFonts w:ascii="Times New Roman" w:hAnsi="Times New Roman"/>
        </w:rPr>
        <w:t xml:space="preserve"> multiple forms of written defense. Approximately one third of women </w:t>
      </w:r>
      <w:r>
        <w:rPr>
          <w:rFonts w:ascii="Times New Roman" w:hAnsi="Times New Roman"/>
        </w:rPr>
        <w:t>created</w:t>
      </w:r>
      <w:r w:rsidRPr="00717C20">
        <w:rPr>
          <w:rFonts w:ascii="Times New Roman" w:hAnsi="Times New Roman"/>
        </w:rPr>
        <w:t xml:space="preserve"> some form of (surviving) written defense, although it is possible that many more constructed oral defenses which went unrecorded in the trial record.</w:t>
      </w:r>
      <w:r w:rsidRPr="00717C20">
        <w:rPr>
          <w:rStyle w:val="FootnoteReference"/>
          <w:rFonts w:ascii="Times New Roman" w:hAnsi="Times New Roman"/>
        </w:rPr>
        <w:footnoteReference w:id="99"/>
      </w:r>
      <w:r w:rsidRPr="00717C20">
        <w:rPr>
          <w:rFonts w:ascii="Times New Roman" w:hAnsi="Times New Roman"/>
        </w:rPr>
        <w:t xml:space="preserve"> Because of the availability of written defenses and the near invisibility of oral defenses in the historical </w:t>
      </w:r>
      <w:r w:rsidRPr="00717C20">
        <w:rPr>
          <w:rFonts w:ascii="Times New Roman" w:hAnsi="Times New Roman"/>
        </w:rPr>
        <w:lastRenderedPageBreak/>
        <w:t>record, I will from this point focus exclusively</w:t>
      </w:r>
      <w:r>
        <w:rPr>
          <w:rFonts w:ascii="Times New Roman" w:hAnsi="Times New Roman"/>
        </w:rPr>
        <w:t xml:space="preserve"> on written defenses. This does not imply</w:t>
      </w:r>
      <w:r w:rsidRPr="00717C20">
        <w:rPr>
          <w:rFonts w:ascii="Times New Roman" w:hAnsi="Times New Roman"/>
        </w:rPr>
        <w:t xml:space="preserve"> that the practice of oral defense was </w:t>
      </w:r>
      <w:r>
        <w:rPr>
          <w:rFonts w:ascii="Times New Roman" w:hAnsi="Times New Roman"/>
        </w:rPr>
        <w:t>unimportant</w:t>
      </w:r>
      <w:r w:rsidRPr="00717C20">
        <w:rPr>
          <w:rFonts w:ascii="Times New Roman" w:hAnsi="Times New Roman"/>
        </w:rPr>
        <w:t>, but rather that</w:t>
      </w:r>
      <w:r>
        <w:rPr>
          <w:rFonts w:ascii="Times New Roman" w:hAnsi="Times New Roman"/>
        </w:rPr>
        <w:t xml:space="preserve"> it is impossible to judge the significance from</w:t>
      </w:r>
      <w:r w:rsidRPr="00717C20">
        <w:rPr>
          <w:rFonts w:ascii="Times New Roman" w:hAnsi="Times New Roman"/>
        </w:rPr>
        <w:t xml:space="preserve"> surviving records. </w:t>
      </w:r>
    </w:p>
    <w:p w:rsidR="001C5440" w:rsidRPr="00717C20" w:rsidRDefault="001C5440" w:rsidP="00525111">
      <w:pPr>
        <w:spacing w:line="480" w:lineRule="auto"/>
        <w:ind w:firstLine="720"/>
        <w:contextualSpacing/>
        <w:rPr>
          <w:rFonts w:ascii="Times New Roman" w:hAnsi="Times New Roman"/>
        </w:rPr>
      </w:pPr>
      <w:r w:rsidRPr="00717C20">
        <w:rPr>
          <w:rFonts w:ascii="Times New Roman" w:hAnsi="Times New Roman"/>
        </w:rPr>
        <w:t xml:space="preserve">Through these various forms of written defense, women </w:t>
      </w:r>
      <w:r>
        <w:rPr>
          <w:rFonts w:ascii="Times New Roman" w:hAnsi="Times New Roman"/>
        </w:rPr>
        <w:t>employed</w:t>
      </w:r>
      <w:r w:rsidRPr="00717C20">
        <w:rPr>
          <w:rFonts w:ascii="Times New Roman" w:hAnsi="Times New Roman"/>
        </w:rPr>
        <w:t xml:space="preserve"> various intellectual strategies to convince the Tribunal of their innocence. Unlike modern conceptions of justice and defense, </w:t>
      </w:r>
      <w:r>
        <w:rPr>
          <w:rFonts w:ascii="Times New Roman" w:hAnsi="Times New Roman"/>
        </w:rPr>
        <w:t>examples of</w:t>
      </w:r>
      <w:r w:rsidRPr="00717C20">
        <w:rPr>
          <w:rFonts w:ascii="Times New Roman" w:hAnsi="Times New Roman"/>
        </w:rPr>
        <w:t xml:space="preserve"> successful written defense did not directly address or refute the charge against the defendant. Instead, these letters of defense, whether written by the defendant herself, a friend, or her section committee, created a portrait of the woman on trial, focusing specifically on aspects that would presumably elicit sympathy.</w:t>
      </w:r>
    </w:p>
    <w:p w:rsidR="00CB0720" w:rsidRDefault="001C5440" w:rsidP="00525111">
      <w:pPr>
        <w:spacing w:line="480" w:lineRule="auto"/>
        <w:ind w:firstLine="720"/>
        <w:contextualSpacing/>
        <w:rPr>
          <w:rFonts w:ascii="Times New Roman" w:hAnsi="Times New Roman"/>
        </w:rPr>
      </w:pPr>
      <w:r w:rsidRPr="00717C20">
        <w:rPr>
          <w:rFonts w:ascii="Times New Roman" w:hAnsi="Times New Roman"/>
        </w:rPr>
        <w:t xml:space="preserve">Although most women’s trials proceeded without any written defense, women who—before the trial even began—effectively humanized themselves through letters to the Tribunal received greater leniency. Certain </w:t>
      </w:r>
      <w:r>
        <w:rPr>
          <w:rFonts w:ascii="Times New Roman" w:hAnsi="Times New Roman"/>
        </w:rPr>
        <w:t>styles</w:t>
      </w:r>
      <w:r w:rsidRPr="00717C20">
        <w:rPr>
          <w:rFonts w:ascii="Times New Roman" w:hAnsi="Times New Roman"/>
        </w:rPr>
        <w:t xml:space="preserve"> of defense repeatedly succeeded in eliciting this sympathetic response, while others </w:t>
      </w:r>
      <w:r>
        <w:rPr>
          <w:rFonts w:ascii="Times New Roman" w:hAnsi="Times New Roman"/>
        </w:rPr>
        <w:t>poorly suited the</w:t>
      </w:r>
      <w:r w:rsidRPr="00717C20">
        <w:rPr>
          <w:rFonts w:ascii="Times New Roman" w:hAnsi="Times New Roman"/>
        </w:rPr>
        <w:t xml:space="preserve"> task. It was not enough simply to be female; only once </w:t>
      </w:r>
      <w:r>
        <w:rPr>
          <w:rFonts w:ascii="Times New Roman" w:hAnsi="Times New Roman"/>
        </w:rPr>
        <w:t>a woman set herself apart</w:t>
      </w:r>
      <w:r w:rsidRPr="00717C20">
        <w:rPr>
          <w:rFonts w:ascii="Times New Roman" w:hAnsi="Times New Roman"/>
        </w:rPr>
        <w:t xml:space="preserve"> in the ey</w:t>
      </w:r>
      <w:r>
        <w:rPr>
          <w:rFonts w:ascii="Times New Roman" w:hAnsi="Times New Roman"/>
        </w:rPr>
        <w:t xml:space="preserve">e of the Tribunal could she </w:t>
      </w:r>
      <w:r w:rsidRPr="00717C20">
        <w:rPr>
          <w:rFonts w:ascii="Times New Roman" w:hAnsi="Times New Roman"/>
        </w:rPr>
        <w:t xml:space="preserve">effectively leverage her status as a woman to mitigate other charges. </w:t>
      </w:r>
    </w:p>
    <w:p w:rsidR="001C5440" w:rsidRPr="00717C20" w:rsidRDefault="001C5440" w:rsidP="00525111">
      <w:pPr>
        <w:spacing w:line="480" w:lineRule="auto"/>
        <w:ind w:firstLine="720"/>
        <w:contextualSpacing/>
        <w:rPr>
          <w:rFonts w:ascii="Times New Roman" w:hAnsi="Times New Roman"/>
        </w:rPr>
      </w:pPr>
    </w:p>
    <w:p w:rsidR="001C5440" w:rsidRPr="00CB0720" w:rsidRDefault="001C5440" w:rsidP="00525111">
      <w:pPr>
        <w:spacing w:line="480" w:lineRule="auto"/>
        <w:contextualSpacing/>
        <w:rPr>
          <w:rFonts w:ascii="Times New Roman" w:hAnsi="Times New Roman"/>
          <w:smallCaps/>
        </w:rPr>
      </w:pPr>
      <w:r w:rsidRPr="00CB0720">
        <w:rPr>
          <w:rFonts w:ascii="Times New Roman" w:hAnsi="Times New Roman"/>
          <w:smallCaps/>
        </w:rPr>
        <w:t>Letters from the Local Government</w:t>
      </w:r>
    </w:p>
    <w:p w:rsidR="001C5440" w:rsidRPr="00717C20" w:rsidRDefault="001C5440" w:rsidP="00525111">
      <w:pPr>
        <w:spacing w:line="480" w:lineRule="auto"/>
        <w:contextualSpacing/>
        <w:rPr>
          <w:rFonts w:ascii="Times New Roman" w:hAnsi="Times New Roman"/>
        </w:rPr>
      </w:pPr>
      <w:r w:rsidRPr="00717C20">
        <w:rPr>
          <w:rFonts w:ascii="Times New Roman" w:hAnsi="Times New Roman"/>
        </w:rPr>
        <w:tab/>
      </w:r>
      <w:r w:rsidR="007E0037">
        <w:rPr>
          <w:rFonts w:ascii="Times New Roman" w:hAnsi="Times New Roman"/>
        </w:rPr>
        <w:t xml:space="preserve"> </w:t>
      </w:r>
      <w:r w:rsidRPr="00717C20">
        <w:rPr>
          <w:rFonts w:ascii="Times New Roman" w:hAnsi="Times New Roman"/>
        </w:rPr>
        <w:t xml:space="preserve">Letters of defense written by a woman’s local revolutionary committee </w:t>
      </w:r>
      <w:r>
        <w:rPr>
          <w:rFonts w:ascii="Times New Roman" w:hAnsi="Times New Roman"/>
        </w:rPr>
        <w:t xml:space="preserve">particularly influenced the </w:t>
      </w:r>
      <w:r w:rsidRPr="00717C20">
        <w:rPr>
          <w:rFonts w:ascii="Times New Roman" w:hAnsi="Times New Roman"/>
        </w:rPr>
        <w:t>Revolutionary Tribunal</w:t>
      </w:r>
      <w:r>
        <w:rPr>
          <w:rFonts w:ascii="Times New Roman" w:hAnsi="Times New Roman"/>
        </w:rPr>
        <w:t>’s verdicts</w:t>
      </w:r>
      <w:r w:rsidRPr="00717C20">
        <w:rPr>
          <w:rFonts w:ascii="Times New Roman" w:hAnsi="Times New Roman"/>
        </w:rPr>
        <w:t>. These letters, when properly crafted, firmly situated</w:t>
      </w:r>
      <w:r>
        <w:rPr>
          <w:rFonts w:ascii="Times New Roman" w:hAnsi="Times New Roman"/>
        </w:rPr>
        <w:t xml:space="preserve"> the defendant within a fixed</w:t>
      </w:r>
      <w:r w:rsidRPr="00717C20">
        <w:rPr>
          <w:rFonts w:ascii="Times New Roman" w:hAnsi="Times New Roman"/>
        </w:rPr>
        <w:t xml:space="preserve"> community and often described her revolutionary actions within that community. Specific details—provided by a reputedly un-biased source—humanized the woman on trial. </w:t>
      </w:r>
      <w:r>
        <w:rPr>
          <w:rFonts w:ascii="Times New Roman" w:hAnsi="Times New Roman"/>
        </w:rPr>
        <w:t xml:space="preserve">Further, these letters explicitly or implicitly linked the defendant and her actions to pro-revolutionary republican politics. These letters </w:t>
      </w:r>
      <w:r>
        <w:rPr>
          <w:rFonts w:ascii="Times New Roman" w:hAnsi="Times New Roman"/>
        </w:rPr>
        <w:lastRenderedPageBreak/>
        <w:t>politicized the defendant’s individual position within the community and transformed local acts of charity into potent examples of revolutionary zeal.</w:t>
      </w:r>
    </w:p>
    <w:p w:rsidR="001C5440" w:rsidRPr="00717C20" w:rsidRDefault="001C5440" w:rsidP="00525111">
      <w:pPr>
        <w:spacing w:line="480" w:lineRule="auto"/>
        <w:contextualSpacing/>
        <w:rPr>
          <w:rFonts w:ascii="Times New Roman" w:hAnsi="Times New Roman"/>
          <w:color w:val="000000"/>
        </w:rPr>
      </w:pPr>
      <w:r w:rsidRPr="00717C20">
        <w:rPr>
          <w:rFonts w:ascii="Times New Roman" w:hAnsi="Times New Roman"/>
        </w:rPr>
        <w:tab/>
        <w:t xml:space="preserve">During the Revolution, new forms of revolutionary government profoundly shaped the experiences of French citizens at the local level. In an attempt to rationalize political geography, </w:t>
      </w:r>
      <w:r>
        <w:rPr>
          <w:rFonts w:ascii="Times New Roman" w:hAnsi="Times New Roman"/>
        </w:rPr>
        <w:t>the government divided Paris</w:t>
      </w:r>
      <w:r w:rsidRPr="00717C20">
        <w:rPr>
          <w:rFonts w:ascii="Times New Roman" w:hAnsi="Times New Roman"/>
        </w:rPr>
        <w:t xml:space="preserve"> into forty-eight sections. “Like the </w:t>
      </w:r>
      <w:r w:rsidRPr="00717C20">
        <w:rPr>
          <w:rFonts w:ascii="Times New Roman" w:hAnsi="Times New Roman"/>
          <w:i/>
        </w:rPr>
        <w:t>quartier</w:t>
      </w:r>
      <w:r w:rsidRPr="00717C20">
        <w:rPr>
          <w:rFonts w:ascii="Times New Roman" w:hAnsi="Times New Roman"/>
        </w:rPr>
        <w:t xml:space="preserve"> of the Old Regime, each served as an administrative, electoral, and political unit.”</w:t>
      </w:r>
      <w:r w:rsidRPr="00717C20">
        <w:rPr>
          <w:rStyle w:val="FootnoteReference"/>
          <w:rFonts w:ascii="Times New Roman" w:hAnsi="Times New Roman"/>
        </w:rPr>
        <w:footnoteReference w:id="100"/>
      </w:r>
      <w:r w:rsidRPr="00717C20">
        <w:rPr>
          <w:rFonts w:ascii="Times New Roman" w:hAnsi="Times New Roman"/>
        </w:rPr>
        <w:t xml:space="preserve"> Each section boasted its own administrative and revolutionary hierarchy. </w:t>
      </w:r>
      <w:r>
        <w:rPr>
          <w:rFonts w:ascii="Times New Roman" w:hAnsi="Times New Roman"/>
        </w:rPr>
        <w:t xml:space="preserve">Outside of Paris, </w:t>
      </w:r>
      <w:r w:rsidRPr="00717C20">
        <w:rPr>
          <w:rFonts w:ascii="Times New Roman" w:hAnsi="Times New Roman"/>
        </w:rPr>
        <w:t xml:space="preserve">eighty-three newly created </w:t>
      </w:r>
      <w:r w:rsidRPr="00717C20">
        <w:rPr>
          <w:rFonts w:ascii="Times New Roman" w:hAnsi="Times New Roman"/>
          <w:i/>
        </w:rPr>
        <w:t>départements</w:t>
      </w:r>
      <w:r>
        <w:rPr>
          <w:rFonts w:ascii="Times New Roman" w:hAnsi="Times New Roman"/>
        </w:rPr>
        <w:t xml:space="preserve"> provided the backbone to regional organization and political involvement</w:t>
      </w:r>
      <w:r w:rsidRPr="00717C20">
        <w:rPr>
          <w:rFonts w:ascii="Times New Roman" w:hAnsi="Times New Roman"/>
          <w:i/>
        </w:rPr>
        <w:t>.</w:t>
      </w:r>
      <w:r w:rsidRPr="00717C20">
        <w:rPr>
          <w:rFonts w:ascii="Times New Roman" w:hAnsi="Times New Roman"/>
        </w:rPr>
        <w:t xml:space="preserve"> This new organization demolished the previous provincial divisions and instead created geographical units of approximately equal size. </w:t>
      </w:r>
      <w:r w:rsidRPr="00717C20">
        <w:rPr>
          <w:rFonts w:ascii="Times New Roman" w:hAnsi="Times New Roman"/>
          <w:i/>
        </w:rPr>
        <w:t>Départements</w:t>
      </w:r>
      <w:r w:rsidRPr="00717C20">
        <w:rPr>
          <w:rFonts w:ascii="Times New Roman" w:hAnsi="Times New Roman"/>
        </w:rPr>
        <w:t xml:space="preserve"> were further subdivided into communes, the form of government that most non-Parisians interacted with on a daily basis. A mayor (</w:t>
      </w:r>
      <w:r w:rsidRPr="00717C20">
        <w:rPr>
          <w:rFonts w:ascii="Times New Roman" w:hAnsi="Times New Roman"/>
          <w:i/>
        </w:rPr>
        <w:t xml:space="preserve">maire) </w:t>
      </w:r>
      <w:r w:rsidRPr="00717C20">
        <w:rPr>
          <w:rFonts w:ascii="Times New Roman" w:hAnsi="Times New Roman"/>
        </w:rPr>
        <w:t>headed each commune, but</w:t>
      </w:r>
      <w:r w:rsidRPr="00717C20">
        <w:rPr>
          <w:rFonts w:ascii="Times New Roman" w:hAnsi="Times New Roman"/>
          <w:color w:val="000000"/>
        </w:rPr>
        <w:t xml:space="preserve"> the municipal council (</w:t>
      </w:r>
      <w:r w:rsidRPr="00717C20">
        <w:rPr>
          <w:rFonts w:ascii="Times New Roman" w:hAnsi="Times New Roman"/>
          <w:i/>
          <w:color w:val="000000"/>
        </w:rPr>
        <w:t>conseil municipal)</w:t>
      </w:r>
      <w:r w:rsidRPr="00717C20">
        <w:rPr>
          <w:rFonts w:ascii="Times New Roman" w:hAnsi="Times New Roman"/>
          <w:color w:val="000000"/>
        </w:rPr>
        <w:t xml:space="preserve"> and local revolutionary committee formed the </w:t>
      </w:r>
      <w:r>
        <w:rPr>
          <w:rFonts w:ascii="Times New Roman" w:hAnsi="Times New Roman"/>
          <w:color w:val="000000"/>
        </w:rPr>
        <w:t>core</w:t>
      </w:r>
      <w:r w:rsidRPr="00717C20">
        <w:rPr>
          <w:rFonts w:ascii="Times New Roman" w:hAnsi="Times New Roman"/>
          <w:color w:val="000000"/>
        </w:rPr>
        <w:t xml:space="preserve"> of local politics.</w:t>
      </w:r>
    </w:p>
    <w:p w:rsidR="001C5440" w:rsidRPr="00717C20" w:rsidRDefault="001C5440" w:rsidP="00525111">
      <w:pPr>
        <w:spacing w:line="480" w:lineRule="auto"/>
        <w:contextualSpacing/>
        <w:rPr>
          <w:rFonts w:ascii="Times New Roman" w:hAnsi="Times New Roman"/>
        </w:rPr>
      </w:pPr>
      <w:r w:rsidRPr="00717C20">
        <w:rPr>
          <w:rFonts w:ascii="Times New Roman" w:hAnsi="Times New Roman"/>
          <w:color w:val="000000"/>
        </w:rPr>
        <w:tab/>
        <w:t>The revolutionary implications of this reorganization, especially for those from outside Paris, were extraordinary. Many citizens took advantage of the chance to participate in politics on a local, personal level. Although</w:t>
      </w:r>
      <w:r>
        <w:rPr>
          <w:rFonts w:ascii="Times New Roman" w:hAnsi="Times New Roman"/>
          <w:color w:val="000000"/>
        </w:rPr>
        <w:t xml:space="preserve"> local</w:t>
      </w:r>
      <w:r w:rsidRPr="00717C20">
        <w:rPr>
          <w:rFonts w:ascii="Times New Roman" w:hAnsi="Times New Roman"/>
          <w:color w:val="000000"/>
        </w:rPr>
        <w:t xml:space="preserve"> </w:t>
      </w:r>
      <w:r>
        <w:rPr>
          <w:rFonts w:ascii="Times New Roman" w:hAnsi="Times New Roman"/>
          <w:color w:val="000000"/>
        </w:rPr>
        <w:t>political participation</w:t>
      </w:r>
      <w:r w:rsidRPr="00717C20">
        <w:rPr>
          <w:rFonts w:ascii="Times New Roman" w:hAnsi="Times New Roman"/>
          <w:color w:val="000000"/>
        </w:rPr>
        <w:t xml:space="preserve"> expressed itself in myriad ways, of interest to this study are the concerted and determined letters of defense that local communes and sections submitted </w:t>
      </w:r>
      <w:r w:rsidRPr="00717C20">
        <w:rPr>
          <w:rFonts w:ascii="Times New Roman" w:hAnsi="Times New Roman"/>
        </w:rPr>
        <w:t xml:space="preserve">on behalf of their constituents. These letters consistently resulted in the acquittal of the female defendant on trial. </w:t>
      </w:r>
    </w:p>
    <w:p w:rsidR="001C5440" w:rsidRPr="00717C20" w:rsidRDefault="001C5440" w:rsidP="00525111">
      <w:pPr>
        <w:spacing w:line="480" w:lineRule="auto"/>
        <w:contextualSpacing/>
        <w:rPr>
          <w:rFonts w:ascii="Times New Roman" w:hAnsi="Times New Roman" w:cs="Bookman Old Style"/>
          <w:szCs w:val="20"/>
        </w:rPr>
      </w:pPr>
      <w:r w:rsidRPr="00717C20">
        <w:rPr>
          <w:rFonts w:ascii="Times New Roman" w:hAnsi="Times New Roman"/>
        </w:rPr>
        <w:lastRenderedPageBreak/>
        <w:tab/>
        <w:t xml:space="preserve">In May 1794, the Revolutionary Tribunal </w:t>
      </w:r>
      <w:r>
        <w:rPr>
          <w:rFonts w:ascii="Times New Roman" w:hAnsi="Times New Roman"/>
        </w:rPr>
        <w:t>charged</w:t>
      </w:r>
      <w:r w:rsidRPr="00717C20">
        <w:rPr>
          <w:rFonts w:ascii="Times New Roman" w:hAnsi="Times New Roman"/>
        </w:rPr>
        <w:t xml:space="preserve"> </w:t>
      </w:r>
      <w:r w:rsidRPr="00717C20">
        <w:rPr>
          <w:rFonts w:ascii="Times New Roman" w:hAnsi="Times New Roman" w:cs="Bookman Old Style"/>
          <w:szCs w:val="20"/>
        </w:rPr>
        <w:t>Juli</w:t>
      </w:r>
      <w:r>
        <w:rPr>
          <w:rFonts w:ascii="Times New Roman" w:hAnsi="Times New Roman" w:cs="Bookman Old Style"/>
          <w:szCs w:val="20"/>
        </w:rPr>
        <w:t>enne Richard, femme Bourdois, for</w:t>
      </w:r>
      <w:r w:rsidRPr="00717C20">
        <w:rPr>
          <w:rFonts w:ascii="Times New Roman" w:hAnsi="Times New Roman" w:cs="Bookman Old Style"/>
          <w:szCs w:val="20"/>
        </w:rPr>
        <w:t xml:space="preserve"> instigating a counterrevolutionary riot at the butcher and baker’s doors.</w:t>
      </w:r>
      <w:r w:rsidRPr="00717C20">
        <w:rPr>
          <w:rStyle w:val="FootnoteReference"/>
          <w:rFonts w:ascii="Times New Roman" w:hAnsi="Times New Roman" w:cs="Bookman Old Style"/>
          <w:szCs w:val="20"/>
        </w:rPr>
        <w:footnoteReference w:id="101"/>
      </w:r>
      <w:r w:rsidRPr="00717C20">
        <w:rPr>
          <w:rFonts w:ascii="Times New Roman" w:hAnsi="Times New Roman" w:cs="Bookman Old Style"/>
          <w:szCs w:val="20"/>
        </w:rPr>
        <w:t xml:space="preserve"> </w:t>
      </w:r>
      <w:r>
        <w:rPr>
          <w:rFonts w:ascii="Times New Roman" w:hAnsi="Times New Roman" w:cs="Bookman Old Style"/>
          <w:szCs w:val="20"/>
        </w:rPr>
        <w:t xml:space="preserve">The Tribunal indicted </w:t>
      </w:r>
      <w:r w:rsidRPr="00717C20">
        <w:rPr>
          <w:rFonts w:ascii="Times New Roman" w:hAnsi="Times New Roman" w:cs="Bookman Old Style"/>
          <w:szCs w:val="20"/>
        </w:rPr>
        <w:t xml:space="preserve">Jean Dubouchet and Anne-Madeleine </w:t>
      </w:r>
      <w:r>
        <w:rPr>
          <w:rFonts w:ascii="Times New Roman" w:hAnsi="Times New Roman" w:cs="Bookman Old Style"/>
          <w:szCs w:val="20"/>
        </w:rPr>
        <w:t>Moreau, femme Lebrun, for</w:t>
      </w:r>
      <w:r w:rsidRPr="00717C20">
        <w:rPr>
          <w:rFonts w:ascii="Times New Roman" w:hAnsi="Times New Roman" w:cs="Bookman Old Style"/>
          <w:szCs w:val="20"/>
        </w:rPr>
        <w:t xml:space="preserve"> complicity with femme Bourdois’ plans. Fortunately for these women, the revolutionary committee of </w:t>
      </w:r>
      <w:r>
        <w:rPr>
          <w:rFonts w:ascii="Times New Roman" w:hAnsi="Times New Roman" w:cs="Bookman Old Style"/>
          <w:szCs w:val="20"/>
        </w:rPr>
        <w:t>femme Bourdois’ section loved her. The committee wrote t</w:t>
      </w:r>
      <w:r w:rsidRPr="00717C20">
        <w:rPr>
          <w:rFonts w:ascii="Times New Roman" w:hAnsi="Times New Roman" w:cs="Bookman Old Style"/>
          <w:szCs w:val="20"/>
        </w:rPr>
        <w:t xml:space="preserve">hree separate letters of defense </w:t>
      </w:r>
      <w:r>
        <w:rPr>
          <w:rFonts w:ascii="Times New Roman" w:hAnsi="Times New Roman" w:cs="Bookman Old Style"/>
          <w:szCs w:val="20"/>
        </w:rPr>
        <w:t>for her</w:t>
      </w:r>
      <w:r w:rsidRPr="00717C20">
        <w:rPr>
          <w:rFonts w:ascii="Times New Roman" w:hAnsi="Times New Roman" w:cs="Bookman Old Style"/>
          <w:szCs w:val="20"/>
        </w:rPr>
        <w:t>, each of increasing length and detail.</w:t>
      </w:r>
      <w:r w:rsidRPr="00717C20">
        <w:rPr>
          <w:rStyle w:val="FootnoteReference"/>
          <w:rFonts w:ascii="Times New Roman" w:hAnsi="Times New Roman" w:cs="Bookman Old Style"/>
          <w:szCs w:val="20"/>
        </w:rPr>
        <w:footnoteReference w:id="102"/>
      </w:r>
      <w:r>
        <w:rPr>
          <w:rFonts w:ascii="Times New Roman" w:hAnsi="Times New Roman" w:cs="Bookman Old Style"/>
          <w:szCs w:val="20"/>
        </w:rPr>
        <w:t xml:space="preserve"> The first letter </w:t>
      </w:r>
      <w:r w:rsidRPr="00717C20">
        <w:rPr>
          <w:rFonts w:ascii="Times New Roman" w:hAnsi="Times New Roman" w:cs="Bookman Old Style"/>
          <w:szCs w:val="20"/>
        </w:rPr>
        <w:t>formulaic</w:t>
      </w:r>
      <w:r>
        <w:rPr>
          <w:rFonts w:ascii="Times New Roman" w:hAnsi="Times New Roman" w:cs="Bookman Old Style"/>
          <w:szCs w:val="20"/>
        </w:rPr>
        <w:t xml:space="preserve">ally </w:t>
      </w:r>
      <w:r w:rsidRPr="00717C20">
        <w:rPr>
          <w:rFonts w:ascii="Times New Roman" w:hAnsi="Times New Roman" w:cs="Bookman Old Style"/>
          <w:szCs w:val="20"/>
        </w:rPr>
        <w:t xml:space="preserve">expressed </w:t>
      </w:r>
      <w:r>
        <w:rPr>
          <w:rFonts w:ascii="Times New Roman" w:hAnsi="Times New Roman" w:cs="Bookman Old Style"/>
          <w:szCs w:val="20"/>
        </w:rPr>
        <w:t xml:space="preserve">that </w:t>
      </w:r>
      <w:r w:rsidRPr="00717C20">
        <w:rPr>
          <w:rFonts w:ascii="Times New Roman" w:hAnsi="Times New Roman" w:cs="Bookman Old Style"/>
          <w:szCs w:val="20"/>
        </w:rPr>
        <w:t xml:space="preserve">“the </w:t>
      </w:r>
      <w:r w:rsidRPr="00717C20">
        <w:rPr>
          <w:rFonts w:ascii="Times New Roman" w:hAnsi="Times New Roman" w:cs="Bookman Old Style"/>
          <w:i/>
          <w:szCs w:val="20"/>
        </w:rPr>
        <w:t>citoyenne</w:t>
      </w:r>
      <w:r w:rsidRPr="00717C20">
        <w:rPr>
          <w:rFonts w:ascii="Times New Roman" w:hAnsi="Times New Roman" w:cs="Bookman Old Style"/>
          <w:szCs w:val="20"/>
        </w:rPr>
        <w:t xml:space="preserve"> Bourdois…is very patriotic and that only through a moment of error could she have held </w:t>
      </w:r>
      <w:r>
        <w:rPr>
          <w:rFonts w:ascii="Times New Roman" w:hAnsi="Times New Roman" w:cs="Bookman Old Style"/>
          <w:szCs w:val="20"/>
        </w:rPr>
        <w:t>unpatriotic</w:t>
      </w:r>
      <w:r w:rsidRPr="00717C20">
        <w:rPr>
          <w:rFonts w:ascii="Times New Roman" w:hAnsi="Times New Roman" w:cs="Bookman Old Style"/>
          <w:szCs w:val="20"/>
        </w:rPr>
        <w:t xml:space="preserve"> opinions (</w:t>
      </w:r>
      <w:r w:rsidRPr="00AD0377">
        <w:rPr>
          <w:rFonts w:ascii="Times New Roman" w:hAnsi="Times New Roman" w:cs="Bookman Old Style"/>
          <w:i/>
          <w:szCs w:val="20"/>
        </w:rPr>
        <w:t>propos inconsiderés</w:t>
      </w:r>
      <w:r w:rsidRPr="00717C20">
        <w:rPr>
          <w:rFonts w:ascii="Times New Roman" w:hAnsi="Times New Roman" w:cs="Bookman Old Style"/>
          <w:szCs w:val="20"/>
        </w:rPr>
        <w:t>) at the door of the butcher.”</w:t>
      </w:r>
      <w:r w:rsidRPr="00717C20">
        <w:rPr>
          <w:rStyle w:val="FootnoteReference"/>
          <w:rFonts w:ascii="Times New Roman" w:hAnsi="Times New Roman" w:cs="Bookman Old Style"/>
          <w:szCs w:val="20"/>
        </w:rPr>
        <w:footnoteReference w:id="103"/>
      </w:r>
      <w:r w:rsidRPr="00717C20">
        <w:rPr>
          <w:rFonts w:ascii="Times New Roman" w:hAnsi="Times New Roman" w:cs="Bookman Old Style"/>
          <w:szCs w:val="20"/>
        </w:rPr>
        <w:t xml:space="preserve"> Although this letter </w:t>
      </w:r>
      <w:r>
        <w:rPr>
          <w:rFonts w:ascii="Times New Roman" w:hAnsi="Times New Roman" w:cs="Bookman Old Style"/>
          <w:szCs w:val="20"/>
        </w:rPr>
        <w:t>characterized</w:t>
      </w:r>
      <w:r w:rsidRPr="00717C20">
        <w:rPr>
          <w:rFonts w:ascii="Times New Roman" w:hAnsi="Times New Roman" w:cs="Bookman Old Style"/>
          <w:szCs w:val="20"/>
        </w:rPr>
        <w:t xml:space="preserve"> femme Bourdois as too great of a patriot to have consciously instigated a food rio</w:t>
      </w:r>
      <w:r>
        <w:rPr>
          <w:rFonts w:ascii="Times New Roman" w:hAnsi="Times New Roman" w:cs="Bookman Old Style"/>
          <w:szCs w:val="20"/>
        </w:rPr>
        <w:t>t, the letter did personalize the defendant</w:t>
      </w:r>
      <w:r w:rsidRPr="00717C20">
        <w:rPr>
          <w:rFonts w:ascii="Times New Roman" w:hAnsi="Times New Roman" w:cs="Bookman Old Style"/>
          <w:szCs w:val="20"/>
        </w:rPr>
        <w:t xml:space="preserve">. </w:t>
      </w:r>
      <w:r>
        <w:rPr>
          <w:rFonts w:ascii="Times New Roman" w:hAnsi="Times New Roman" w:cs="Bookman Old Style"/>
          <w:szCs w:val="20"/>
        </w:rPr>
        <w:t>Only</w:t>
      </w:r>
      <w:r w:rsidRPr="00717C20">
        <w:rPr>
          <w:rFonts w:ascii="Times New Roman" w:hAnsi="Times New Roman" w:cs="Bookman Old Style"/>
          <w:szCs w:val="20"/>
        </w:rPr>
        <w:t xml:space="preserve"> the second and third letters of defense submitted by the section</w:t>
      </w:r>
      <w:r>
        <w:rPr>
          <w:rFonts w:ascii="Times New Roman" w:hAnsi="Times New Roman" w:cs="Bookman Old Style"/>
          <w:szCs w:val="20"/>
        </w:rPr>
        <w:t xml:space="preserve"> set up</w:t>
      </w:r>
      <w:r w:rsidRPr="00717C20">
        <w:rPr>
          <w:rFonts w:ascii="Times New Roman" w:hAnsi="Times New Roman" w:cs="Bookman Old Style"/>
          <w:szCs w:val="20"/>
        </w:rPr>
        <w:t xml:space="preserve"> the vignette of femme Bourdois and her</w:t>
      </w:r>
      <w:r>
        <w:rPr>
          <w:rFonts w:ascii="Times New Roman" w:hAnsi="Times New Roman" w:cs="Bookman Old Style"/>
          <w:szCs w:val="20"/>
        </w:rPr>
        <w:t xml:space="preserve"> companion</w:t>
      </w:r>
      <w:r w:rsidRPr="00717C20">
        <w:rPr>
          <w:rFonts w:ascii="Times New Roman" w:hAnsi="Times New Roman" w:cs="Bookman Old Style"/>
          <w:szCs w:val="20"/>
        </w:rPr>
        <w:t>.</w:t>
      </w:r>
    </w:p>
    <w:p w:rsidR="001C5440" w:rsidRPr="00717C20" w:rsidRDefault="001C5440" w:rsidP="00525111">
      <w:pPr>
        <w:spacing w:line="480" w:lineRule="auto"/>
        <w:ind w:firstLine="720"/>
        <w:contextualSpacing/>
        <w:rPr>
          <w:rFonts w:ascii="Times New Roman" w:hAnsi="Times New Roman" w:cs="Bookman Old Style"/>
          <w:szCs w:val="20"/>
        </w:rPr>
      </w:pPr>
      <w:r w:rsidRPr="00717C20">
        <w:rPr>
          <w:rFonts w:ascii="Times New Roman" w:hAnsi="Times New Roman" w:cs="Bookman Old Style"/>
          <w:szCs w:val="20"/>
        </w:rPr>
        <w:t>In the longer lette</w:t>
      </w:r>
      <w:r>
        <w:rPr>
          <w:rFonts w:ascii="Times New Roman" w:hAnsi="Times New Roman" w:cs="Bookman Old Style"/>
          <w:szCs w:val="20"/>
        </w:rPr>
        <w:t>rs, the section committee argued</w:t>
      </w:r>
      <w:r w:rsidRPr="00717C20">
        <w:rPr>
          <w:rFonts w:ascii="Times New Roman" w:hAnsi="Times New Roman" w:cs="Bookman Old Style"/>
          <w:szCs w:val="20"/>
        </w:rPr>
        <w:t xml:space="preserve"> that the defendant “did not have bad intentions </w:t>
      </w:r>
      <w:r>
        <w:rPr>
          <w:rFonts w:ascii="Times New Roman" w:hAnsi="Times New Roman" w:cs="Bookman Old Style"/>
          <w:szCs w:val="20"/>
        </w:rPr>
        <w:t>while making unpatriotic remarks to the police superintendent in charge of the distribution of</w:t>
      </w:r>
      <w:r w:rsidRPr="00717C20">
        <w:rPr>
          <w:rFonts w:ascii="Times New Roman" w:hAnsi="Times New Roman" w:cs="Bookman Old Style"/>
          <w:szCs w:val="20"/>
        </w:rPr>
        <w:t xml:space="preserve"> meat” and that “</w:t>
      </w:r>
      <w:r>
        <w:rPr>
          <w:rFonts w:ascii="Times New Roman" w:hAnsi="Times New Roman" w:cs="Bookman Old Style"/>
          <w:szCs w:val="20"/>
        </w:rPr>
        <w:t>she did not think that the man she addressed was [a policeman.]” The letter finished</w:t>
      </w:r>
      <w:r w:rsidRPr="00717C20">
        <w:rPr>
          <w:rFonts w:ascii="Times New Roman" w:hAnsi="Times New Roman" w:cs="Bookman Old Style"/>
          <w:szCs w:val="20"/>
        </w:rPr>
        <w:t xml:space="preserve"> by once again reaffirming her “most patriotic opinions” and the necessity of “</w:t>
      </w:r>
      <w:r>
        <w:rPr>
          <w:rFonts w:ascii="Times New Roman" w:hAnsi="Times New Roman" w:cs="Bookman Old Style"/>
          <w:szCs w:val="20"/>
        </w:rPr>
        <w:t>setting this unfortunate woman free</w:t>
      </w:r>
      <w:r w:rsidRPr="00717C20">
        <w:rPr>
          <w:rFonts w:ascii="Times New Roman" w:hAnsi="Times New Roman" w:cs="Bookman Old Style"/>
          <w:szCs w:val="20"/>
        </w:rPr>
        <w:t>.”</w:t>
      </w:r>
      <w:r w:rsidRPr="00717C20">
        <w:rPr>
          <w:rStyle w:val="FootnoteReference"/>
          <w:rFonts w:ascii="Times New Roman" w:hAnsi="Times New Roman" w:cs="Bookman Old Style"/>
          <w:szCs w:val="20"/>
        </w:rPr>
        <w:footnoteReference w:id="104"/>
      </w:r>
      <w:r>
        <w:rPr>
          <w:rFonts w:ascii="Times New Roman" w:hAnsi="Times New Roman" w:cs="Bookman Old Style"/>
          <w:szCs w:val="20"/>
        </w:rPr>
        <w:t xml:space="preserve"> </w:t>
      </w:r>
      <w:r w:rsidRPr="00717C20">
        <w:rPr>
          <w:rFonts w:ascii="Times New Roman" w:hAnsi="Times New Roman" w:cs="Bookman Old Style"/>
          <w:szCs w:val="20"/>
        </w:rPr>
        <w:t xml:space="preserve">Unlike the first letter </w:t>
      </w:r>
      <w:r>
        <w:rPr>
          <w:rFonts w:ascii="Times New Roman" w:hAnsi="Times New Roman" w:cs="Bookman Old Style"/>
          <w:szCs w:val="20"/>
        </w:rPr>
        <w:t>created</w:t>
      </w:r>
      <w:r w:rsidRPr="00717C20">
        <w:rPr>
          <w:rFonts w:ascii="Times New Roman" w:hAnsi="Times New Roman" w:cs="Bookman Old Style"/>
          <w:szCs w:val="20"/>
        </w:rPr>
        <w:t xml:space="preserve"> by the section committee, this letter of defense contextualiz</w:t>
      </w:r>
      <w:r>
        <w:rPr>
          <w:rFonts w:ascii="Times New Roman" w:hAnsi="Times New Roman" w:cs="Bookman Old Style"/>
          <w:szCs w:val="20"/>
        </w:rPr>
        <w:t>ed the alleged crime and explained femme Bourdois’</w:t>
      </w:r>
      <w:r w:rsidRPr="00717C20">
        <w:rPr>
          <w:rFonts w:ascii="Times New Roman" w:hAnsi="Times New Roman" w:cs="Bookman Old Style"/>
          <w:szCs w:val="20"/>
        </w:rPr>
        <w:t xml:space="preserve"> personal history of revolutionary participation. </w:t>
      </w:r>
      <w:r>
        <w:rPr>
          <w:rFonts w:ascii="Times New Roman" w:hAnsi="Times New Roman" w:cs="Bookman Old Style"/>
          <w:szCs w:val="20"/>
        </w:rPr>
        <w:t>The letters written</w:t>
      </w:r>
      <w:r w:rsidRPr="00717C20">
        <w:rPr>
          <w:rFonts w:ascii="Times New Roman" w:hAnsi="Times New Roman" w:cs="Bookman Old Style"/>
          <w:szCs w:val="20"/>
        </w:rPr>
        <w:t xml:space="preserve"> by her local revolutionary committee</w:t>
      </w:r>
      <w:r>
        <w:rPr>
          <w:rFonts w:ascii="Times New Roman" w:hAnsi="Times New Roman" w:cs="Bookman Old Style"/>
          <w:szCs w:val="20"/>
        </w:rPr>
        <w:t xml:space="preserve"> crafted</w:t>
      </w:r>
      <w:r w:rsidRPr="00717C20">
        <w:rPr>
          <w:rFonts w:ascii="Times New Roman" w:hAnsi="Times New Roman" w:cs="Bookman Old Style"/>
          <w:szCs w:val="20"/>
        </w:rPr>
        <w:t xml:space="preserve"> a compelling</w:t>
      </w:r>
      <w:r>
        <w:rPr>
          <w:rFonts w:ascii="Times New Roman" w:hAnsi="Times New Roman" w:cs="Bookman Old Style"/>
          <w:szCs w:val="20"/>
        </w:rPr>
        <w:t xml:space="preserve"> story that situated femme Bourdois</w:t>
      </w:r>
      <w:r w:rsidRPr="00717C20">
        <w:rPr>
          <w:rFonts w:ascii="Times New Roman" w:hAnsi="Times New Roman" w:cs="Bookman Old Style"/>
          <w:szCs w:val="20"/>
        </w:rPr>
        <w:t xml:space="preserve"> and </w:t>
      </w:r>
      <w:r>
        <w:rPr>
          <w:rFonts w:ascii="Times New Roman" w:hAnsi="Times New Roman" w:cs="Bookman Old Style"/>
          <w:szCs w:val="20"/>
        </w:rPr>
        <w:t xml:space="preserve">her </w:t>
      </w:r>
      <w:r w:rsidRPr="00717C20">
        <w:rPr>
          <w:rFonts w:ascii="Times New Roman" w:hAnsi="Times New Roman" w:cs="Bookman Old Style"/>
          <w:szCs w:val="20"/>
        </w:rPr>
        <w:t xml:space="preserve">“accomplices” </w:t>
      </w:r>
      <w:r>
        <w:rPr>
          <w:rFonts w:ascii="Times New Roman" w:hAnsi="Times New Roman" w:cs="Bookman Old Style"/>
          <w:szCs w:val="20"/>
        </w:rPr>
        <w:t xml:space="preserve">within a specific local and political context. </w:t>
      </w:r>
      <w:r>
        <w:rPr>
          <w:rFonts w:ascii="Times New Roman" w:hAnsi="Times New Roman" w:cs="Bookman Old Style"/>
          <w:szCs w:val="20"/>
        </w:rPr>
        <w:lastRenderedPageBreak/>
        <w:t>Femme Bourdois reinforced</w:t>
      </w:r>
      <w:r w:rsidRPr="00717C20">
        <w:rPr>
          <w:rFonts w:ascii="Times New Roman" w:hAnsi="Times New Roman" w:cs="Bookman Old Style"/>
          <w:szCs w:val="20"/>
        </w:rPr>
        <w:t xml:space="preserve"> this characterization through her interrogation. When asked if she provoked the riot at the butche</w:t>
      </w:r>
      <w:r>
        <w:rPr>
          <w:rFonts w:ascii="Times New Roman" w:hAnsi="Times New Roman" w:cs="Bookman Old Style"/>
          <w:szCs w:val="20"/>
        </w:rPr>
        <w:t>r and baker’s door, she responded “non,” but then explained</w:t>
      </w:r>
      <w:r w:rsidRPr="00717C20">
        <w:rPr>
          <w:rFonts w:ascii="Times New Roman" w:hAnsi="Times New Roman" w:cs="Bookman Old Style"/>
          <w:szCs w:val="20"/>
        </w:rPr>
        <w:t xml:space="preserve"> that she “did not have any bad intentions” when she voiced her “</w:t>
      </w:r>
      <w:r>
        <w:rPr>
          <w:rFonts w:ascii="Times New Roman" w:hAnsi="Times New Roman" w:cs="Bookman Old Style"/>
          <w:szCs w:val="20"/>
        </w:rPr>
        <w:t>unpatriotic opinions</w:t>
      </w:r>
      <w:r w:rsidRPr="00717C20">
        <w:rPr>
          <w:rFonts w:ascii="Times New Roman" w:hAnsi="Times New Roman" w:cs="Bookman Old Style"/>
          <w:szCs w:val="20"/>
        </w:rPr>
        <w:t>.”</w:t>
      </w:r>
      <w:r w:rsidRPr="00717C20">
        <w:rPr>
          <w:rStyle w:val="FootnoteReference"/>
          <w:rFonts w:ascii="Times New Roman" w:hAnsi="Times New Roman" w:cs="Bookman Old Style"/>
          <w:szCs w:val="20"/>
        </w:rPr>
        <w:footnoteReference w:id="105"/>
      </w:r>
      <w:r w:rsidRPr="00717C20">
        <w:rPr>
          <w:rFonts w:ascii="Times New Roman" w:hAnsi="Times New Roman" w:cs="Bookman Old Style"/>
          <w:szCs w:val="20"/>
        </w:rPr>
        <w:t xml:space="preserve"> This seeming contradiction went unremarked by the prosecution. </w:t>
      </w:r>
      <w:r>
        <w:rPr>
          <w:rFonts w:ascii="Times New Roman" w:hAnsi="Times New Roman" w:cs="Bookman Old Style"/>
          <w:szCs w:val="20"/>
        </w:rPr>
        <w:t xml:space="preserve">Because of these letters, the Tribunal came to understand femme </w:t>
      </w:r>
      <w:r w:rsidRPr="00717C20">
        <w:rPr>
          <w:rFonts w:ascii="Times New Roman" w:hAnsi="Times New Roman" w:cs="Bookman Old Style"/>
          <w:szCs w:val="20"/>
        </w:rPr>
        <w:t>Bourdois</w:t>
      </w:r>
      <w:r>
        <w:rPr>
          <w:rFonts w:ascii="Times New Roman" w:hAnsi="Times New Roman" w:cs="Bookman Old Style"/>
          <w:szCs w:val="20"/>
        </w:rPr>
        <w:t xml:space="preserve">’ crime </w:t>
      </w:r>
      <w:r w:rsidRPr="00717C20">
        <w:rPr>
          <w:rFonts w:ascii="Times New Roman" w:hAnsi="Times New Roman" w:cs="Bookman Old Style"/>
          <w:szCs w:val="20"/>
        </w:rPr>
        <w:t>through the mitigating factors of revolutionary political participation and women’s “natural” concern over the food supply.</w:t>
      </w:r>
      <w:r>
        <w:rPr>
          <w:rFonts w:ascii="Times New Roman" w:hAnsi="Times New Roman" w:cs="Bookman Old Style"/>
          <w:szCs w:val="20"/>
        </w:rPr>
        <w:t xml:space="preserve"> </w:t>
      </w:r>
    </w:p>
    <w:p w:rsidR="001C5440" w:rsidRPr="00717C20" w:rsidRDefault="001C5440" w:rsidP="00525111">
      <w:pPr>
        <w:spacing w:line="480" w:lineRule="auto"/>
        <w:contextualSpacing/>
        <w:rPr>
          <w:rFonts w:ascii="Times New Roman" w:hAnsi="Times New Roman"/>
        </w:rPr>
      </w:pPr>
      <w:r w:rsidRPr="00717C20">
        <w:rPr>
          <w:rFonts w:ascii="Times New Roman" w:hAnsi="Times New Roman"/>
        </w:rPr>
        <w:tab/>
        <w:t xml:space="preserve">The trial of Jeanne-Charlotte Lecoq, femme Godefroy, </w:t>
      </w:r>
      <w:r>
        <w:rPr>
          <w:rFonts w:ascii="Times New Roman" w:hAnsi="Times New Roman"/>
        </w:rPr>
        <w:t>possessed</w:t>
      </w:r>
      <w:r w:rsidRPr="00717C20">
        <w:rPr>
          <w:rFonts w:ascii="Times New Roman" w:hAnsi="Times New Roman"/>
        </w:rPr>
        <w:t xml:space="preserve"> many of the same elements as that of femme Boudois</w:t>
      </w:r>
      <w:r>
        <w:rPr>
          <w:rFonts w:ascii="Times New Roman" w:hAnsi="Times New Roman"/>
        </w:rPr>
        <w:t>. Both ultimately resulted</w:t>
      </w:r>
      <w:r w:rsidRPr="00717C20">
        <w:rPr>
          <w:rFonts w:ascii="Times New Roman" w:hAnsi="Times New Roman"/>
        </w:rPr>
        <w:t xml:space="preserve"> in the same judgment.</w:t>
      </w:r>
      <w:r w:rsidRPr="00717C20">
        <w:rPr>
          <w:rStyle w:val="FootnoteReference"/>
          <w:rFonts w:ascii="Times New Roman" w:hAnsi="Times New Roman"/>
        </w:rPr>
        <w:footnoteReference w:id="106"/>
      </w:r>
      <w:r>
        <w:rPr>
          <w:rFonts w:ascii="Times New Roman" w:hAnsi="Times New Roman"/>
        </w:rPr>
        <w:t xml:space="preserve"> </w:t>
      </w:r>
      <w:r w:rsidRPr="00717C20">
        <w:rPr>
          <w:rFonts w:ascii="Times New Roman" w:hAnsi="Times New Roman"/>
        </w:rPr>
        <w:t xml:space="preserve">Brought to trial in January 1794, femme Godefroy was denounced by two individuals for the generic crime of “having </w:t>
      </w:r>
      <w:r>
        <w:rPr>
          <w:rFonts w:ascii="Times New Roman" w:hAnsi="Times New Roman"/>
        </w:rPr>
        <w:t>unpatriotic</w:t>
      </w:r>
      <w:r w:rsidRPr="00717C20">
        <w:rPr>
          <w:rFonts w:ascii="Times New Roman" w:hAnsi="Times New Roman"/>
        </w:rPr>
        <w:t xml:space="preserve"> opinions.”</w:t>
      </w:r>
      <w:r w:rsidRPr="00717C20">
        <w:rPr>
          <w:rStyle w:val="FootnoteReference"/>
          <w:rFonts w:ascii="Times New Roman" w:hAnsi="Times New Roman"/>
        </w:rPr>
        <w:footnoteReference w:id="107"/>
      </w:r>
      <w:r w:rsidRPr="00717C20">
        <w:rPr>
          <w:rFonts w:ascii="Times New Roman" w:hAnsi="Times New Roman"/>
        </w:rPr>
        <w:t xml:space="preserve"> Before </w:t>
      </w:r>
      <w:r>
        <w:rPr>
          <w:rFonts w:ascii="Times New Roman" w:hAnsi="Times New Roman"/>
        </w:rPr>
        <w:t>the Tribunal ever chose to hear her case,</w:t>
      </w:r>
      <w:r w:rsidRPr="00717C20">
        <w:rPr>
          <w:rFonts w:ascii="Times New Roman" w:hAnsi="Times New Roman"/>
        </w:rPr>
        <w:t xml:space="preserve"> </w:t>
      </w:r>
      <w:r>
        <w:rPr>
          <w:rFonts w:ascii="Times New Roman" w:hAnsi="Times New Roman"/>
        </w:rPr>
        <w:t>femme Godefroy jumped to her own defense and wrote</w:t>
      </w:r>
      <w:r w:rsidRPr="00717C20">
        <w:rPr>
          <w:rFonts w:ascii="Times New Roman" w:hAnsi="Times New Roman"/>
        </w:rPr>
        <w:t xml:space="preserve"> a letter “to the citizens composing the surveillance committee of the department of Loiret.”</w:t>
      </w:r>
      <w:r w:rsidRPr="00717C20">
        <w:rPr>
          <w:rStyle w:val="FootnoteReference"/>
          <w:rFonts w:ascii="Times New Roman" w:hAnsi="Times New Roman"/>
        </w:rPr>
        <w:footnoteReference w:id="108"/>
      </w:r>
      <w:r w:rsidRPr="00717C20">
        <w:rPr>
          <w:rFonts w:ascii="Times New Roman" w:hAnsi="Times New Roman"/>
        </w:rPr>
        <w:t xml:space="preserve"> Similarly, “the members of the popular society and all the f</w:t>
      </w:r>
      <w:r>
        <w:rPr>
          <w:rFonts w:ascii="Times New Roman" w:hAnsi="Times New Roman"/>
        </w:rPr>
        <w:t>ellow citizens” immediately sent</w:t>
      </w:r>
      <w:r w:rsidRPr="00717C20">
        <w:rPr>
          <w:rFonts w:ascii="Times New Roman" w:hAnsi="Times New Roman"/>
        </w:rPr>
        <w:t xml:space="preserve"> a letter to the revolutionary committee at Orleans petitioning for her release.</w:t>
      </w:r>
      <w:r w:rsidRPr="00717C20">
        <w:rPr>
          <w:rStyle w:val="FootnoteReference"/>
          <w:rFonts w:ascii="Times New Roman" w:hAnsi="Times New Roman"/>
        </w:rPr>
        <w:footnoteReference w:id="109"/>
      </w:r>
      <w:r>
        <w:rPr>
          <w:rFonts w:ascii="Times New Roman" w:hAnsi="Times New Roman"/>
        </w:rPr>
        <w:t xml:space="preserve"> At</w:t>
      </w:r>
      <w:r w:rsidRPr="00717C20">
        <w:rPr>
          <w:rFonts w:ascii="Times New Roman" w:hAnsi="Times New Roman"/>
        </w:rPr>
        <w:t xml:space="preserve"> least fifty members</w:t>
      </w:r>
      <w:r>
        <w:rPr>
          <w:rFonts w:ascii="Times New Roman" w:hAnsi="Times New Roman"/>
        </w:rPr>
        <w:t xml:space="preserve"> signed the petition</w:t>
      </w:r>
      <w:r w:rsidRPr="00717C20">
        <w:rPr>
          <w:rFonts w:ascii="Times New Roman" w:hAnsi="Times New Roman"/>
        </w:rPr>
        <w:t xml:space="preserve">, many with only a shaky x. Although many of the society’s members did not </w:t>
      </w:r>
      <w:r>
        <w:rPr>
          <w:rFonts w:ascii="Times New Roman" w:hAnsi="Times New Roman"/>
        </w:rPr>
        <w:t xml:space="preserve">possess enough literacy to </w:t>
      </w:r>
      <w:r w:rsidRPr="00717C20">
        <w:rPr>
          <w:rFonts w:ascii="Times New Roman" w:hAnsi="Times New Roman"/>
        </w:rPr>
        <w:t xml:space="preserve">sign their name, the society as a whole nonetheless recognized the importance that a letter of defense would play in the trial of its fellow member. </w:t>
      </w:r>
    </w:p>
    <w:p w:rsidR="001C5440" w:rsidRPr="00717C20" w:rsidRDefault="001C5440" w:rsidP="00525111">
      <w:pPr>
        <w:spacing w:line="480" w:lineRule="auto"/>
        <w:contextualSpacing/>
        <w:rPr>
          <w:rFonts w:ascii="Times New Roman" w:hAnsi="Times New Roman"/>
        </w:rPr>
      </w:pPr>
      <w:r w:rsidRPr="00717C20">
        <w:rPr>
          <w:rFonts w:ascii="Times New Roman" w:hAnsi="Times New Roman"/>
        </w:rPr>
        <w:tab/>
      </w:r>
      <w:r>
        <w:rPr>
          <w:rFonts w:ascii="Times New Roman" w:hAnsi="Times New Roman"/>
        </w:rPr>
        <w:t>After the</w:t>
      </w:r>
      <w:r w:rsidRPr="00717C20">
        <w:rPr>
          <w:rFonts w:ascii="Times New Roman" w:hAnsi="Times New Roman"/>
        </w:rPr>
        <w:t xml:space="preserve"> Revolutionary Tribunal</w:t>
      </w:r>
      <w:r>
        <w:rPr>
          <w:rFonts w:ascii="Times New Roman" w:hAnsi="Times New Roman"/>
        </w:rPr>
        <w:t xml:space="preserve"> decided to hear the case</w:t>
      </w:r>
      <w:r w:rsidRPr="00717C20">
        <w:rPr>
          <w:rFonts w:ascii="Times New Roman" w:hAnsi="Times New Roman"/>
        </w:rPr>
        <w:t xml:space="preserve">, </w:t>
      </w:r>
      <w:r>
        <w:rPr>
          <w:rFonts w:ascii="Times New Roman" w:hAnsi="Times New Roman"/>
        </w:rPr>
        <w:t xml:space="preserve">femme Godefroy’s local community produced </w:t>
      </w:r>
      <w:r w:rsidRPr="00717C20">
        <w:rPr>
          <w:rFonts w:ascii="Times New Roman" w:hAnsi="Times New Roman"/>
        </w:rPr>
        <w:t xml:space="preserve">another series of defense documents </w:t>
      </w:r>
      <w:r>
        <w:rPr>
          <w:rFonts w:ascii="Times New Roman" w:hAnsi="Times New Roman"/>
        </w:rPr>
        <w:t>which they</w:t>
      </w:r>
      <w:r w:rsidRPr="00717C20">
        <w:rPr>
          <w:rFonts w:ascii="Times New Roman" w:hAnsi="Times New Roman"/>
        </w:rPr>
        <w:t xml:space="preserve"> addressed to the </w:t>
      </w:r>
      <w:r w:rsidRPr="00717C20">
        <w:rPr>
          <w:rFonts w:ascii="Times New Roman" w:hAnsi="Times New Roman"/>
        </w:rPr>
        <w:lastRenderedPageBreak/>
        <w:t>p</w:t>
      </w:r>
      <w:r>
        <w:rPr>
          <w:rFonts w:ascii="Times New Roman" w:hAnsi="Times New Roman"/>
        </w:rPr>
        <w:t>ublic prosecutor</w:t>
      </w:r>
      <w:r w:rsidRPr="00717C20">
        <w:rPr>
          <w:rFonts w:ascii="Times New Roman" w:hAnsi="Times New Roman"/>
        </w:rPr>
        <w:t>. In a reverential but firm t</w:t>
      </w:r>
      <w:r>
        <w:rPr>
          <w:rFonts w:ascii="Times New Roman" w:hAnsi="Times New Roman"/>
        </w:rPr>
        <w:t>one, the popular society informed</w:t>
      </w:r>
      <w:r w:rsidRPr="00717C20">
        <w:rPr>
          <w:rFonts w:ascii="Times New Roman" w:hAnsi="Times New Roman"/>
        </w:rPr>
        <w:t xml:space="preserve"> the Tribunal that there must </w:t>
      </w:r>
      <w:r>
        <w:rPr>
          <w:rFonts w:ascii="Times New Roman" w:hAnsi="Times New Roman"/>
        </w:rPr>
        <w:t xml:space="preserve">have </w:t>
      </w:r>
      <w:r w:rsidRPr="00717C20">
        <w:rPr>
          <w:rFonts w:ascii="Times New Roman" w:hAnsi="Times New Roman"/>
        </w:rPr>
        <w:t>be</w:t>
      </w:r>
      <w:r>
        <w:rPr>
          <w:rFonts w:ascii="Times New Roman" w:hAnsi="Times New Roman"/>
        </w:rPr>
        <w:t>en</w:t>
      </w:r>
      <w:r w:rsidRPr="00717C20">
        <w:rPr>
          <w:rFonts w:ascii="Times New Roman" w:hAnsi="Times New Roman"/>
        </w:rPr>
        <w:t xml:space="preserve"> a mistake and that femme Godefroy “has always shown through her conduct that she never conspired to carry</w:t>
      </w:r>
      <w:r>
        <w:rPr>
          <w:rFonts w:ascii="Times New Roman" w:hAnsi="Times New Roman"/>
        </w:rPr>
        <w:t xml:space="preserve"> </w:t>
      </w:r>
      <w:r w:rsidRPr="00717C20">
        <w:rPr>
          <w:rFonts w:ascii="Times New Roman" w:hAnsi="Times New Roman"/>
        </w:rPr>
        <w:t>out counterrevolutionary projects.”</w:t>
      </w:r>
      <w:r w:rsidRPr="00717C20">
        <w:rPr>
          <w:rStyle w:val="FootnoteReference"/>
          <w:rFonts w:ascii="Times New Roman" w:hAnsi="Times New Roman"/>
        </w:rPr>
        <w:footnoteReference w:id="110"/>
      </w:r>
      <w:r w:rsidRPr="00717C20">
        <w:rPr>
          <w:rFonts w:ascii="Times New Roman" w:hAnsi="Times New Roman"/>
        </w:rPr>
        <w:t xml:space="preserve"> Although the terms use</w:t>
      </w:r>
      <w:r>
        <w:rPr>
          <w:rFonts w:ascii="Times New Roman" w:hAnsi="Times New Roman"/>
        </w:rPr>
        <w:t>d to describe femme Godefroy were</w:t>
      </w:r>
      <w:r w:rsidRPr="00717C20">
        <w:rPr>
          <w:rFonts w:ascii="Times New Roman" w:hAnsi="Times New Roman"/>
        </w:rPr>
        <w:t xml:space="preserve"> relatively generic, the society’s consistent petitioning—first to the revolutionary committee at Orleans and later to the Revolutionary Tribunal—set femme Godefroy apart from other defendants on trial. Her community was deeply invested in securing her freedom and in so doing, </w:t>
      </w:r>
      <w:r>
        <w:rPr>
          <w:rFonts w:ascii="Times New Roman" w:hAnsi="Times New Roman"/>
        </w:rPr>
        <w:t xml:space="preserve">deliberately </w:t>
      </w:r>
      <w:r w:rsidRPr="00717C20">
        <w:rPr>
          <w:rFonts w:ascii="Times New Roman" w:hAnsi="Times New Roman"/>
        </w:rPr>
        <w:t>characterized femme Godefroy as an integral part of the politically active, revolutionary, popular society of her commune. No longer was she an indistinguishable woman on trial; she was part of a vibrant local community that firmly believed in both her innocence and her importance within that community.</w:t>
      </w:r>
      <w:r w:rsidR="007E0037">
        <w:rPr>
          <w:rFonts w:ascii="Times New Roman" w:hAnsi="Times New Roman"/>
        </w:rPr>
        <w:t xml:space="preserve"> </w:t>
      </w:r>
    </w:p>
    <w:p w:rsidR="00CB0720" w:rsidRDefault="001C5440" w:rsidP="00525111">
      <w:pPr>
        <w:spacing w:line="480" w:lineRule="auto"/>
        <w:contextualSpacing/>
        <w:rPr>
          <w:rFonts w:ascii="Times New Roman" w:hAnsi="Times New Roman"/>
        </w:rPr>
      </w:pPr>
      <w:r w:rsidRPr="00717C20">
        <w:rPr>
          <w:rFonts w:ascii="Times New Roman" w:hAnsi="Times New Roman"/>
        </w:rPr>
        <w:tab/>
        <w:t xml:space="preserve">Although </w:t>
      </w:r>
      <w:r>
        <w:rPr>
          <w:rFonts w:ascii="Times New Roman" w:hAnsi="Times New Roman"/>
        </w:rPr>
        <w:t>the letters of defense sent</w:t>
      </w:r>
      <w:r w:rsidRPr="00717C20">
        <w:rPr>
          <w:rFonts w:ascii="Times New Roman" w:hAnsi="Times New Roman"/>
        </w:rPr>
        <w:t xml:space="preserve"> by </w:t>
      </w:r>
      <w:r w:rsidRPr="00717C20">
        <w:rPr>
          <w:rFonts w:ascii="Times New Roman" w:hAnsi="Times New Roman" w:cs="Bookman Old Style"/>
          <w:szCs w:val="20"/>
        </w:rPr>
        <w:t xml:space="preserve">femme Bourdois’ </w:t>
      </w:r>
      <w:r w:rsidRPr="00717C20">
        <w:rPr>
          <w:rFonts w:ascii="Times New Roman" w:hAnsi="Times New Roman"/>
        </w:rPr>
        <w:t xml:space="preserve">section and femme Godefroy’s commune differed substantially in content, each succeeded in </w:t>
      </w:r>
      <w:r>
        <w:rPr>
          <w:rFonts w:ascii="Times New Roman" w:hAnsi="Times New Roman"/>
        </w:rPr>
        <w:t>politicizing</w:t>
      </w:r>
      <w:r w:rsidRPr="00717C20">
        <w:rPr>
          <w:rFonts w:ascii="Times New Roman" w:hAnsi="Times New Roman"/>
        </w:rPr>
        <w:t xml:space="preserve"> and localizing the defendant in such a way that made the constructed story of their crime less convincing than the equally constructed story of their personal, revolutionary identity.</w:t>
      </w:r>
      <w:r>
        <w:rPr>
          <w:rFonts w:ascii="Times New Roman" w:hAnsi="Times New Roman"/>
        </w:rPr>
        <w:t xml:space="preserve"> </w:t>
      </w:r>
      <w:r w:rsidRPr="00717C20">
        <w:rPr>
          <w:rFonts w:ascii="Times New Roman" w:hAnsi="Times New Roman"/>
        </w:rPr>
        <w:t>Specifi</w:t>
      </w:r>
      <w:r>
        <w:rPr>
          <w:rFonts w:ascii="Times New Roman" w:hAnsi="Times New Roman"/>
        </w:rPr>
        <w:t>c details, provided from a pro-r</w:t>
      </w:r>
      <w:r w:rsidRPr="00717C20">
        <w:rPr>
          <w:rFonts w:ascii="Times New Roman" w:hAnsi="Times New Roman"/>
        </w:rPr>
        <w:t>evolution</w:t>
      </w:r>
      <w:r>
        <w:rPr>
          <w:rFonts w:ascii="Times New Roman" w:hAnsi="Times New Roman"/>
        </w:rPr>
        <w:t>ary</w:t>
      </w:r>
      <w:r w:rsidRPr="00717C20">
        <w:rPr>
          <w:rFonts w:ascii="Times New Roman" w:hAnsi="Times New Roman"/>
        </w:rPr>
        <w:t xml:space="preserve"> organization,</w:t>
      </w:r>
      <w:r>
        <w:rPr>
          <w:rFonts w:ascii="Times New Roman" w:hAnsi="Times New Roman"/>
        </w:rPr>
        <w:t xml:space="preserve"> imparted an aura of revolutionary political allegiance to the accused and</w:t>
      </w:r>
      <w:r w:rsidRPr="00717C20">
        <w:rPr>
          <w:rFonts w:ascii="Times New Roman" w:hAnsi="Times New Roman"/>
        </w:rPr>
        <w:t xml:space="preserve"> forced the Tribunal to understand the defendant as more than simply a name on a sheet of parchment</w:t>
      </w:r>
      <w:r>
        <w:rPr>
          <w:rFonts w:ascii="Times New Roman" w:hAnsi="Times New Roman"/>
        </w:rPr>
        <w:t>.</w:t>
      </w:r>
      <w:r w:rsidRPr="00717C20">
        <w:rPr>
          <w:rFonts w:ascii="Times New Roman" w:hAnsi="Times New Roman"/>
        </w:rPr>
        <w:t xml:space="preserve"> </w:t>
      </w:r>
    </w:p>
    <w:p w:rsidR="001C5440" w:rsidRPr="00717C20" w:rsidRDefault="001C5440" w:rsidP="00525111">
      <w:pPr>
        <w:spacing w:line="480" w:lineRule="auto"/>
        <w:contextualSpacing/>
        <w:rPr>
          <w:rFonts w:ascii="Times New Roman" w:hAnsi="Times New Roman"/>
        </w:rPr>
      </w:pPr>
    </w:p>
    <w:p w:rsidR="001C5440" w:rsidRPr="00CB0720" w:rsidRDefault="001C5440" w:rsidP="00525111">
      <w:pPr>
        <w:spacing w:line="480" w:lineRule="auto"/>
        <w:contextualSpacing/>
        <w:rPr>
          <w:rFonts w:ascii="Times New Roman" w:hAnsi="Times New Roman"/>
          <w:smallCaps/>
        </w:rPr>
      </w:pPr>
      <w:r w:rsidRPr="00CB0720">
        <w:rPr>
          <w:rFonts w:ascii="Times New Roman" w:hAnsi="Times New Roman"/>
          <w:smallCaps/>
        </w:rPr>
        <w:t>Personal Letters of Defense</w:t>
      </w:r>
    </w:p>
    <w:p w:rsidR="001C5440" w:rsidRPr="00717C20" w:rsidRDefault="001C5440" w:rsidP="00525111">
      <w:pPr>
        <w:spacing w:line="480" w:lineRule="auto"/>
        <w:contextualSpacing/>
        <w:rPr>
          <w:rFonts w:ascii="Times New Roman" w:hAnsi="Times New Roman"/>
        </w:rPr>
      </w:pPr>
      <w:r w:rsidRPr="00717C20">
        <w:rPr>
          <w:rFonts w:ascii="Times New Roman" w:hAnsi="Times New Roman"/>
        </w:rPr>
        <w:tab/>
        <w:t xml:space="preserve">Although letters </w:t>
      </w:r>
      <w:r>
        <w:rPr>
          <w:rFonts w:ascii="Times New Roman" w:hAnsi="Times New Roman"/>
        </w:rPr>
        <w:t>crafted</w:t>
      </w:r>
      <w:r w:rsidRPr="00717C20">
        <w:rPr>
          <w:rFonts w:ascii="Times New Roman" w:hAnsi="Times New Roman"/>
        </w:rPr>
        <w:t xml:space="preserve"> by a defendant’s local co</w:t>
      </w:r>
      <w:r>
        <w:rPr>
          <w:rFonts w:ascii="Times New Roman" w:hAnsi="Times New Roman"/>
        </w:rPr>
        <w:t xml:space="preserve">mmunity carried great weight in most </w:t>
      </w:r>
      <w:r w:rsidRPr="00717C20">
        <w:rPr>
          <w:rFonts w:ascii="Times New Roman" w:hAnsi="Times New Roman"/>
        </w:rPr>
        <w:t>trial</w:t>
      </w:r>
      <w:r>
        <w:rPr>
          <w:rFonts w:ascii="Times New Roman" w:hAnsi="Times New Roman"/>
        </w:rPr>
        <w:t>s</w:t>
      </w:r>
      <w:r w:rsidRPr="00717C20">
        <w:rPr>
          <w:rFonts w:ascii="Times New Roman" w:hAnsi="Times New Roman"/>
        </w:rPr>
        <w:t>, the efficacy of personal letters of defense varied substantially based upon the specific content of the letter.</w:t>
      </w:r>
      <w:r>
        <w:rPr>
          <w:rFonts w:ascii="Times New Roman" w:hAnsi="Times New Roman"/>
        </w:rPr>
        <w:t xml:space="preserve"> P</w:t>
      </w:r>
      <w:r w:rsidRPr="00717C20">
        <w:rPr>
          <w:rFonts w:ascii="Times New Roman" w:hAnsi="Times New Roman"/>
        </w:rPr>
        <w:t xml:space="preserve">ersonal letters of defense needed to accomplish the same </w:t>
      </w:r>
      <w:r>
        <w:rPr>
          <w:rFonts w:ascii="Times New Roman" w:hAnsi="Times New Roman"/>
        </w:rPr>
        <w:lastRenderedPageBreak/>
        <w:t>essential task</w:t>
      </w:r>
      <w:r w:rsidRPr="00717C20">
        <w:rPr>
          <w:rFonts w:ascii="Times New Roman" w:hAnsi="Times New Roman"/>
        </w:rPr>
        <w:t xml:space="preserve"> as letters from </w:t>
      </w:r>
      <w:r>
        <w:rPr>
          <w:rFonts w:ascii="Times New Roman" w:hAnsi="Times New Roman"/>
        </w:rPr>
        <w:t>the defendant’s local community. They needed to situate</w:t>
      </w:r>
      <w:r w:rsidRPr="00717C20">
        <w:rPr>
          <w:rFonts w:ascii="Times New Roman" w:hAnsi="Times New Roman"/>
        </w:rPr>
        <w:t xml:space="preserve"> t</w:t>
      </w:r>
      <w:r>
        <w:rPr>
          <w:rFonts w:ascii="Times New Roman" w:hAnsi="Times New Roman"/>
        </w:rPr>
        <w:t xml:space="preserve">he defendant within a specific, often political </w:t>
      </w:r>
      <w:r w:rsidRPr="00717C20">
        <w:rPr>
          <w:rFonts w:ascii="Times New Roman" w:hAnsi="Times New Roman"/>
        </w:rPr>
        <w:t xml:space="preserve">context </w:t>
      </w:r>
      <w:r>
        <w:rPr>
          <w:rFonts w:ascii="Times New Roman" w:hAnsi="Times New Roman"/>
        </w:rPr>
        <w:t>to elicit</w:t>
      </w:r>
      <w:r w:rsidRPr="00717C20">
        <w:rPr>
          <w:rFonts w:ascii="Times New Roman" w:hAnsi="Times New Roman"/>
        </w:rPr>
        <w:t xml:space="preserve"> sympathy and understanding from the Tribunal</w:t>
      </w:r>
      <w:r>
        <w:rPr>
          <w:rFonts w:ascii="Times New Roman" w:hAnsi="Times New Roman"/>
        </w:rPr>
        <w:t xml:space="preserve">. </w:t>
      </w:r>
      <w:r w:rsidRPr="00717C20">
        <w:rPr>
          <w:rFonts w:ascii="Times New Roman" w:hAnsi="Times New Roman"/>
        </w:rPr>
        <w:t>Personal letters of defense,</w:t>
      </w:r>
      <w:r>
        <w:rPr>
          <w:rFonts w:ascii="Times New Roman" w:hAnsi="Times New Roman"/>
        </w:rPr>
        <w:t xml:space="preserve"> written</w:t>
      </w:r>
      <w:r w:rsidRPr="00717C20">
        <w:rPr>
          <w:rFonts w:ascii="Times New Roman" w:hAnsi="Times New Roman"/>
        </w:rPr>
        <w:t xml:space="preserve"> by the woman on trial or sometimes a male relative</w:t>
      </w:r>
      <w:r>
        <w:rPr>
          <w:rFonts w:ascii="Times New Roman" w:hAnsi="Times New Roman"/>
        </w:rPr>
        <w:t>,</w:t>
      </w:r>
      <w:r w:rsidRPr="00717C20">
        <w:rPr>
          <w:rFonts w:ascii="Times New Roman" w:hAnsi="Times New Roman"/>
        </w:rPr>
        <w:t xml:space="preserve"> presented women the opportunity to </w:t>
      </w:r>
      <w:r>
        <w:rPr>
          <w:rFonts w:ascii="Times New Roman" w:hAnsi="Times New Roman"/>
        </w:rPr>
        <w:t xml:space="preserve">retrospectively politicize their actions for </w:t>
      </w:r>
      <w:r w:rsidRPr="00717C20">
        <w:rPr>
          <w:rFonts w:ascii="Times New Roman" w:hAnsi="Times New Roman"/>
        </w:rPr>
        <w:t xml:space="preserve">the Tribunal. </w:t>
      </w:r>
      <w:r>
        <w:rPr>
          <w:rFonts w:ascii="Times New Roman" w:hAnsi="Times New Roman"/>
        </w:rPr>
        <w:t>However, f</w:t>
      </w:r>
      <w:r w:rsidRPr="00717C20">
        <w:rPr>
          <w:rFonts w:ascii="Times New Roman" w:hAnsi="Times New Roman"/>
        </w:rPr>
        <w:t xml:space="preserve">or these letters to be effective, </w:t>
      </w:r>
      <w:r>
        <w:rPr>
          <w:rFonts w:ascii="Times New Roman" w:hAnsi="Times New Roman"/>
        </w:rPr>
        <w:t>they had</w:t>
      </w:r>
      <w:r w:rsidRPr="00717C20">
        <w:rPr>
          <w:rFonts w:ascii="Times New Roman" w:hAnsi="Times New Roman"/>
        </w:rPr>
        <w:t xml:space="preserve"> to emphasize what made the defendant uniquely worthy of extra consideration.</w:t>
      </w:r>
      <w:r w:rsidR="007E0037">
        <w:rPr>
          <w:rFonts w:ascii="Times New Roman" w:hAnsi="Times New Roman"/>
        </w:rPr>
        <w:t xml:space="preserve"> </w:t>
      </w:r>
    </w:p>
    <w:p w:rsidR="001C5440" w:rsidRPr="00717C20" w:rsidRDefault="001C5440" w:rsidP="00525111">
      <w:pPr>
        <w:spacing w:line="480" w:lineRule="auto"/>
        <w:contextualSpacing/>
        <w:rPr>
          <w:rFonts w:ascii="Times New Roman" w:hAnsi="Times New Roman"/>
        </w:rPr>
      </w:pPr>
      <w:r w:rsidRPr="00717C20">
        <w:rPr>
          <w:rFonts w:ascii="Times New Roman" w:hAnsi="Times New Roman"/>
        </w:rPr>
        <w:tab/>
        <w:t xml:space="preserve">Building upon the melodramatic example of the </w:t>
      </w:r>
      <w:r w:rsidRPr="00717C20">
        <w:rPr>
          <w:rFonts w:ascii="Times New Roman" w:hAnsi="Times New Roman"/>
          <w:i/>
        </w:rPr>
        <w:t>mémoire judiciaire</w:t>
      </w:r>
      <w:r>
        <w:rPr>
          <w:rFonts w:ascii="Times New Roman" w:hAnsi="Times New Roman"/>
          <w:i/>
        </w:rPr>
        <w:t xml:space="preserve">, </w:t>
      </w:r>
      <w:r w:rsidRPr="00717C20">
        <w:rPr>
          <w:rFonts w:ascii="Times New Roman" w:hAnsi="Times New Roman"/>
        </w:rPr>
        <w:t xml:space="preserve">successful letters of defense often </w:t>
      </w:r>
      <w:r>
        <w:rPr>
          <w:rFonts w:ascii="Times New Roman" w:hAnsi="Times New Roman"/>
        </w:rPr>
        <w:t>presented universal concerns—</w:t>
      </w:r>
      <w:r w:rsidRPr="00717C20">
        <w:rPr>
          <w:rFonts w:ascii="Times New Roman" w:hAnsi="Times New Roman"/>
        </w:rPr>
        <w:t>family,</w:t>
      </w:r>
      <w:r>
        <w:rPr>
          <w:rFonts w:ascii="Times New Roman" w:hAnsi="Times New Roman"/>
        </w:rPr>
        <w:t xml:space="preserve"> pregnancy,</w:t>
      </w:r>
      <w:r w:rsidRPr="00717C20">
        <w:rPr>
          <w:rFonts w:ascii="Times New Roman" w:hAnsi="Times New Roman"/>
        </w:rPr>
        <w:t xml:space="preserve"> sickness, and to a lesser extent old age</w:t>
      </w:r>
      <w:r>
        <w:rPr>
          <w:rFonts w:ascii="Times New Roman" w:hAnsi="Times New Roman"/>
        </w:rPr>
        <w:t>—through the prism of gender.</w:t>
      </w:r>
      <w:r w:rsidRPr="00717C20">
        <w:rPr>
          <w:rFonts w:ascii="Times New Roman" w:hAnsi="Times New Roman"/>
        </w:rPr>
        <w:t xml:space="preserve"> The tone and themes of these letters seem expressly designed to elicit a “knight in shining armor” response from the judges and jurors of the Revolutionary Tribunal. Although many women capitalized on the perceived weakness of their sex to </w:t>
      </w:r>
      <w:r>
        <w:rPr>
          <w:rFonts w:ascii="Times New Roman" w:hAnsi="Times New Roman"/>
        </w:rPr>
        <w:t>forge a unique, personal identity</w:t>
      </w:r>
      <w:r w:rsidRPr="00717C20">
        <w:rPr>
          <w:rFonts w:ascii="Times New Roman" w:hAnsi="Times New Roman"/>
        </w:rPr>
        <w:t xml:space="preserve">, this ploy was not essential to effectively capturing both the attention and the understanding of the Tribunal. In an attempt to explain this phenomenon, I will rely on two cases at the extremes of this spectrum while nonetheless emphasizing that the characterizations put forward in most personal letters of defense fell between, not near, these poles. </w:t>
      </w:r>
    </w:p>
    <w:p w:rsidR="001C5440" w:rsidRPr="00717C20" w:rsidRDefault="001C5440" w:rsidP="00525111">
      <w:pPr>
        <w:spacing w:line="480" w:lineRule="auto"/>
        <w:contextualSpacing/>
        <w:rPr>
          <w:rFonts w:ascii="Times New Roman" w:hAnsi="Times New Roman"/>
        </w:rPr>
      </w:pPr>
      <w:r w:rsidRPr="00717C20">
        <w:rPr>
          <w:rFonts w:ascii="Times New Roman" w:hAnsi="Times New Roman"/>
        </w:rPr>
        <w:tab/>
        <w:t>In May 1794,</w:t>
      </w:r>
      <w:r>
        <w:rPr>
          <w:rFonts w:ascii="Times New Roman" w:hAnsi="Times New Roman"/>
        </w:rPr>
        <w:t xml:space="preserve"> the Tribunal charged</w:t>
      </w:r>
      <w:r w:rsidRPr="00717C20">
        <w:rPr>
          <w:rFonts w:ascii="Times New Roman" w:hAnsi="Times New Roman"/>
        </w:rPr>
        <w:t xml:space="preserve"> Madeleine Boudot, femme Gallet </w:t>
      </w:r>
      <w:r>
        <w:rPr>
          <w:rFonts w:ascii="Times New Roman" w:hAnsi="Times New Roman"/>
        </w:rPr>
        <w:t>with</w:t>
      </w:r>
      <w:r w:rsidRPr="00717C20">
        <w:rPr>
          <w:rFonts w:ascii="Times New Roman" w:hAnsi="Times New Roman"/>
        </w:rPr>
        <w:t xml:space="preserve"> holding counterrevolutionary opinions and conspiring with her husband to circumvent the Maximum Price Act.</w:t>
      </w:r>
      <w:r w:rsidRPr="00717C20">
        <w:rPr>
          <w:rStyle w:val="FootnoteReference"/>
          <w:rFonts w:ascii="Times New Roman" w:hAnsi="Times New Roman"/>
        </w:rPr>
        <w:footnoteReference w:id="111"/>
      </w:r>
      <w:r w:rsidRPr="00717C20">
        <w:rPr>
          <w:rFonts w:ascii="Times New Roman" w:hAnsi="Times New Roman"/>
        </w:rPr>
        <w:t xml:space="preserve"> However, femme Gallet’s personal letter</w:t>
      </w:r>
      <w:r>
        <w:rPr>
          <w:rFonts w:ascii="Times New Roman" w:hAnsi="Times New Roman"/>
        </w:rPr>
        <w:t xml:space="preserve"> of defense did</w:t>
      </w:r>
      <w:r w:rsidRPr="00717C20">
        <w:rPr>
          <w:rFonts w:ascii="Times New Roman" w:hAnsi="Times New Roman"/>
        </w:rPr>
        <w:t xml:space="preserve"> not address these concerns.</w:t>
      </w:r>
      <w:r w:rsidRPr="00717C20">
        <w:rPr>
          <w:rStyle w:val="FootnoteReference"/>
          <w:rFonts w:ascii="Times New Roman" w:hAnsi="Times New Roman"/>
        </w:rPr>
        <w:footnoteReference w:id="112"/>
      </w:r>
      <w:r w:rsidRPr="00717C20">
        <w:rPr>
          <w:rFonts w:ascii="Times New Roman" w:hAnsi="Times New Roman"/>
        </w:rPr>
        <w:t xml:space="preserve"> Written by her husband (whose case was dismissed before </w:t>
      </w:r>
      <w:r w:rsidRPr="00717C20">
        <w:rPr>
          <w:rFonts w:ascii="Times New Roman" w:hAnsi="Times New Roman"/>
        </w:rPr>
        <w:lastRenderedPageBreak/>
        <w:t>reaching the Revolutionary Tribunal), the lette</w:t>
      </w:r>
      <w:r>
        <w:rPr>
          <w:rFonts w:ascii="Times New Roman" w:hAnsi="Times New Roman"/>
        </w:rPr>
        <w:t>r of defense poignantly portrayed</w:t>
      </w:r>
      <w:r w:rsidRPr="00717C20">
        <w:rPr>
          <w:rFonts w:ascii="Times New Roman" w:hAnsi="Times New Roman"/>
        </w:rPr>
        <w:t xml:space="preserve"> the hardships th</w:t>
      </w:r>
      <w:r>
        <w:rPr>
          <w:rFonts w:ascii="Times New Roman" w:hAnsi="Times New Roman"/>
        </w:rPr>
        <w:t>at her trial and absence entailed</w:t>
      </w:r>
      <w:r w:rsidRPr="00717C20">
        <w:rPr>
          <w:rFonts w:ascii="Times New Roman" w:hAnsi="Times New Roman"/>
        </w:rPr>
        <w:t xml:space="preserve">. Poorly written and full of misspellings, the letter has been translated and reproduced in its entirety. </w:t>
      </w:r>
    </w:p>
    <w:p w:rsidR="001C5440" w:rsidRDefault="001C5440" w:rsidP="00525111">
      <w:pPr>
        <w:ind w:left="720" w:right="720"/>
        <w:contextualSpacing/>
        <w:rPr>
          <w:rFonts w:ascii="Times New Roman" w:hAnsi="Times New Roman" w:cs="Bookman Old Style"/>
          <w:color w:val="000000"/>
          <w:szCs w:val="20"/>
        </w:rPr>
      </w:pPr>
      <w:r>
        <w:rPr>
          <w:rFonts w:ascii="Times New Roman" w:hAnsi="Times New Roman" w:cs="Bookman Old Style"/>
          <w:color w:val="000000"/>
          <w:szCs w:val="20"/>
        </w:rPr>
        <w:t>Citizen,</w:t>
      </w:r>
    </w:p>
    <w:p w:rsidR="001C5440" w:rsidRDefault="001C5440" w:rsidP="00525111">
      <w:pPr>
        <w:ind w:left="720" w:right="720"/>
        <w:contextualSpacing/>
        <w:rPr>
          <w:rFonts w:ascii="Times New Roman" w:hAnsi="Times New Roman" w:cs="Bookman Old Style"/>
          <w:color w:val="000000"/>
          <w:szCs w:val="20"/>
        </w:rPr>
      </w:pPr>
      <w:r>
        <w:rPr>
          <w:rFonts w:ascii="Times New Roman" w:hAnsi="Times New Roman" w:cs="Bookman Old Style"/>
          <w:color w:val="000000"/>
          <w:szCs w:val="20"/>
        </w:rPr>
        <w:t xml:space="preserve">François Boudot begs you to quicken the trial of his tender wife who is imprisoned for some opinions that she is charged with holding. She is at </w:t>
      </w:r>
      <w:r>
        <w:rPr>
          <w:rFonts w:ascii="Times New Roman" w:hAnsi="Times New Roman" w:cs="Bookman Old Style"/>
          <w:i/>
          <w:color w:val="000000"/>
          <w:szCs w:val="20"/>
        </w:rPr>
        <w:t>l’hospice</w:t>
      </w:r>
      <w:r>
        <w:rPr>
          <w:rFonts w:ascii="Times New Roman" w:hAnsi="Times New Roman" w:cs="Bookman Old Style"/>
          <w:color w:val="000000"/>
          <w:szCs w:val="20"/>
        </w:rPr>
        <w:t xml:space="preserve"> with a young child of five weeks. Because I am a poor man with little fortune, I must buy milk to fill the bottle of my innocent son. I’ve abandoned everything to follow my tender wife and our little republican.</w:t>
      </w:r>
    </w:p>
    <w:p w:rsidR="001C5440" w:rsidRPr="00717C20" w:rsidRDefault="001C5440" w:rsidP="004C27A4">
      <w:pPr>
        <w:ind w:left="720" w:right="720"/>
        <w:contextualSpacing/>
        <w:rPr>
          <w:rFonts w:ascii="Times New Roman" w:hAnsi="Times New Roman" w:cs="Bookman Old Style"/>
          <w:color w:val="000000"/>
          <w:szCs w:val="20"/>
        </w:rPr>
      </w:pPr>
      <w:r>
        <w:rPr>
          <w:rFonts w:ascii="Times New Roman" w:hAnsi="Times New Roman" w:cs="Bookman Old Style"/>
          <w:color w:val="000000"/>
          <w:szCs w:val="20"/>
        </w:rPr>
        <w:t>Citizen, throw your eyes upon [my] innocent son who cannot have his subsistence because of the grief of his mother. We also have a small child of 22 months. This is why I beseech you to accelerate this trial as much as possible.</w:t>
      </w:r>
      <w:r w:rsidRPr="00717C20">
        <w:rPr>
          <w:rStyle w:val="FootnoteReference"/>
          <w:rFonts w:ascii="Times New Roman" w:hAnsi="Times New Roman" w:cs="Bookman Old Style"/>
          <w:color w:val="000000"/>
          <w:szCs w:val="20"/>
        </w:rPr>
        <w:footnoteReference w:id="113"/>
      </w:r>
    </w:p>
    <w:p w:rsidR="001C5440" w:rsidRPr="00717C20" w:rsidRDefault="001C5440" w:rsidP="00525111">
      <w:pPr>
        <w:ind w:left="720" w:right="720"/>
        <w:contextualSpacing/>
        <w:rPr>
          <w:rFonts w:ascii="Times New Roman" w:hAnsi="Times New Roman" w:cs="Bookman Old Style"/>
          <w:color w:val="000000"/>
          <w:szCs w:val="20"/>
        </w:rPr>
      </w:pPr>
    </w:p>
    <w:p w:rsidR="001C5440" w:rsidRPr="00717C20" w:rsidRDefault="001C5440" w:rsidP="00525111">
      <w:pPr>
        <w:spacing w:line="480" w:lineRule="auto"/>
        <w:contextualSpacing/>
        <w:rPr>
          <w:rFonts w:ascii="Times New Roman" w:hAnsi="Times New Roman" w:cs="Bookman Old Style"/>
          <w:color w:val="000000"/>
          <w:szCs w:val="20"/>
        </w:rPr>
      </w:pPr>
      <w:r w:rsidRPr="00717C20">
        <w:rPr>
          <w:rFonts w:ascii="Times New Roman" w:hAnsi="Times New Roman" w:cs="Bookman Old Style"/>
          <w:color w:val="000000"/>
          <w:szCs w:val="20"/>
        </w:rPr>
        <w:t xml:space="preserve">Although not written personally by femme Gallet, this personal letter of defense </w:t>
      </w:r>
      <w:r>
        <w:rPr>
          <w:rFonts w:ascii="Times New Roman" w:hAnsi="Times New Roman" w:cs="Bookman Old Style"/>
          <w:color w:val="000000"/>
          <w:szCs w:val="20"/>
        </w:rPr>
        <w:t>intentionally</w:t>
      </w:r>
      <w:r w:rsidRPr="00717C20">
        <w:rPr>
          <w:rFonts w:ascii="Times New Roman" w:hAnsi="Times New Roman" w:cs="Bookman Old Style"/>
          <w:color w:val="000000"/>
          <w:szCs w:val="20"/>
        </w:rPr>
        <w:t xml:space="preserve"> characterize</w:t>
      </w:r>
      <w:r>
        <w:rPr>
          <w:rFonts w:ascii="Times New Roman" w:hAnsi="Times New Roman" w:cs="Bookman Old Style"/>
          <w:color w:val="000000"/>
          <w:szCs w:val="20"/>
        </w:rPr>
        <w:t>d</w:t>
      </w:r>
      <w:r w:rsidRPr="00717C20">
        <w:rPr>
          <w:rFonts w:ascii="Times New Roman" w:hAnsi="Times New Roman" w:cs="Bookman Old Style"/>
          <w:color w:val="000000"/>
          <w:szCs w:val="20"/>
        </w:rPr>
        <w:t xml:space="preserve"> the defendant as a motherly, natural figure. Her confinement and separation, it plainly states, </w:t>
      </w:r>
      <w:r>
        <w:rPr>
          <w:rFonts w:ascii="Times New Roman" w:hAnsi="Times New Roman" w:cs="Bookman Old Style"/>
          <w:color w:val="000000"/>
          <w:szCs w:val="20"/>
        </w:rPr>
        <w:t>could pull</w:t>
      </w:r>
      <w:r w:rsidRPr="00717C20">
        <w:rPr>
          <w:rFonts w:ascii="Times New Roman" w:hAnsi="Times New Roman" w:cs="Bookman Old Style"/>
          <w:color w:val="000000"/>
          <w:szCs w:val="20"/>
        </w:rPr>
        <w:t xml:space="preserve"> apart a close, loving family. Femme Gallet </w:t>
      </w:r>
      <w:r>
        <w:rPr>
          <w:rFonts w:ascii="Times New Roman" w:hAnsi="Times New Roman" w:cs="Bookman Old Style"/>
          <w:color w:val="000000"/>
          <w:szCs w:val="20"/>
        </w:rPr>
        <w:t>was</w:t>
      </w:r>
      <w:r w:rsidRPr="00717C20">
        <w:rPr>
          <w:rFonts w:ascii="Times New Roman" w:hAnsi="Times New Roman" w:cs="Bookman Old Style"/>
          <w:color w:val="000000"/>
          <w:szCs w:val="20"/>
        </w:rPr>
        <w:t xml:space="preserve"> no longer an undist</w:t>
      </w:r>
      <w:r>
        <w:rPr>
          <w:rFonts w:ascii="Times New Roman" w:hAnsi="Times New Roman" w:cs="Bookman Old Style"/>
          <w:color w:val="000000"/>
          <w:szCs w:val="20"/>
        </w:rPr>
        <w:t>inguished woman on trial; she was</w:t>
      </w:r>
      <w:r w:rsidRPr="00717C20">
        <w:rPr>
          <w:rFonts w:ascii="Times New Roman" w:hAnsi="Times New Roman" w:cs="Bookman Old Style"/>
          <w:color w:val="000000"/>
          <w:szCs w:val="20"/>
        </w:rPr>
        <w:t xml:space="preserve"> a mother, a wife, and an integral caretaker </w:t>
      </w:r>
      <w:r>
        <w:rPr>
          <w:rFonts w:ascii="Times New Roman" w:hAnsi="Times New Roman" w:cs="Bookman Old Style"/>
          <w:color w:val="000000"/>
          <w:szCs w:val="20"/>
        </w:rPr>
        <w:t>for her dependents.</w:t>
      </w:r>
    </w:p>
    <w:p w:rsidR="001C5440" w:rsidRPr="00717C20" w:rsidRDefault="001C5440" w:rsidP="00525111">
      <w:pPr>
        <w:spacing w:line="480" w:lineRule="auto"/>
        <w:contextualSpacing/>
        <w:rPr>
          <w:rFonts w:ascii="Times New Roman" w:hAnsi="Times New Roman" w:cs="Bookman Old Style"/>
          <w:color w:val="000000"/>
          <w:szCs w:val="20"/>
        </w:rPr>
      </w:pPr>
      <w:r w:rsidRPr="00717C20">
        <w:rPr>
          <w:rFonts w:ascii="Times New Roman" w:hAnsi="Times New Roman" w:cs="Bookman Old Style"/>
          <w:color w:val="000000"/>
          <w:szCs w:val="20"/>
        </w:rPr>
        <w:tab/>
        <w:t>The letter of defense submitted on femme Ga</w:t>
      </w:r>
      <w:r>
        <w:rPr>
          <w:rFonts w:ascii="Times New Roman" w:hAnsi="Times New Roman" w:cs="Bookman Old Style"/>
          <w:color w:val="000000"/>
          <w:szCs w:val="20"/>
        </w:rPr>
        <w:t>llet’s behalf</w:t>
      </w:r>
      <w:r w:rsidRPr="00717C20">
        <w:rPr>
          <w:rFonts w:ascii="Times New Roman" w:hAnsi="Times New Roman" w:cs="Bookman Old Style"/>
          <w:color w:val="000000"/>
          <w:szCs w:val="20"/>
        </w:rPr>
        <w:t xml:space="preserve"> sets </w:t>
      </w:r>
      <w:r>
        <w:rPr>
          <w:rFonts w:ascii="Times New Roman" w:hAnsi="Times New Roman" w:cs="Bookman Old Style"/>
          <w:color w:val="000000"/>
          <w:szCs w:val="20"/>
        </w:rPr>
        <w:t xml:space="preserve">her trial apart from the trials of </w:t>
      </w:r>
      <w:r w:rsidRPr="00717C20">
        <w:rPr>
          <w:rFonts w:ascii="Times New Roman" w:hAnsi="Times New Roman" w:cs="Bookman Old Style"/>
          <w:color w:val="000000"/>
          <w:szCs w:val="20"/>
        </w:rPr>
        <w:t>women who submitted no written defense. More interesting for historians, however, is the Tr</w:t>
      </w:r>
      <w:r>
        <w:rPr>
          <w:rFonts w:ascii="Times New Roman" w:hAnsi="Times New Roman" w:cs="Bookman Old Style"/>
          <w:color w:val="000000"/>
          <w:szCs w:val="20"/>
        </w:rPr>
        <w:t xml:space="preserve">ibunal’s decision to </w:t>
      </w:r>
      <w:r w:rsidRPr="00717C20">
        <w:rPr>
          <w:rFonts w:ascii="Times New Roman" w:hAnsi="Times New Roman" w:cs="Bookman Old Style"/>
          <w:color w:val="000000"/>
          <w:szCs w:val="20"/>
        </w:rPr>
        <w:t>justify her acquittal in the official act of acquittal. Despite the vast archive of papers left behind by the Rev</w:t>
      </w:r>
      <w:r>
        <w:rPr>
          <w:rFonts w:ascii="Times New Roman" w:hAnsi="Times New Roman" w:cs="Bookman Old Style"/>
          <w:color w:val="000000"/>
          <w:szCs w:val="20"/>
        </w:rPr>
        <w:t>olutionary Tribunal, the court seldom justified its actions</w:t>
      </w:r>
      <w:r w:rsidRPr="00717C20">
        <w:rPr>
          <w:rFonts w:ascii="Times New Roman" w:hAnsi="Times New Roman" w:cs="Bookman Old Style"/>
          <w:color w:val="000000"/>
          <w:szCs w:val="20"/>
        </w:rPr>
        <w:t>.</w:t>
      </w:r>
      <w:r w:rsidRPr="00717C20">
        <w:rPr>
          <w:rStyle w:val="FootnoteReference"/>
          <w:rFonts w:ascii="Times New Roman" w:hAnsi="Times New Roman" w:cs="Bookman Old Style"/>
          <w:color w:val="000000"/>
          <w:szCs w:val="20"/>
        </w:rPr>
        <w:footnoteReference w:id="114"/>
      </w:r>
      <w:r w:rsidRPr="00717C20">
        <w:rPr>
          <w:rFonts w:ascii="Times New Roman" w:hAnsi="Times New Roman" w:cs="Bookman Old Style"/>
          <w:color w:val="000000"/>
          <w:szCs w:val="20"/>
        </w:rPr>
        <w:t xml:space="preserve"> </w:t>
      </w:r>
      <w:r>
        <w:rPr>
          <w:rFonts w:ascii="Times New Roman" w:hAnsi="Times New Roman" w:cs="Bookman Old Style"/>
          <w:color w:val="000000"/>
          <w:szCs w:val="20"/>
        </w:rPr>
        <w:t>H</w:t>
      </w:r>
      <w:r w:rsidRPr="00717C20">
        <w:rPr>
          <w:rFonts w:ascii="Times New Roman" w:hAnsi="Times New Roman" w:cs="Bookman Old Style"/>
          <w:color w:val="000000"/>
          <w:szCs w:val="20"/>
        </w:rPr>
        <w:t xml:space="preserve">istorians </w:t>
      </w:r>
      <w:r>
        <w:rPr>
          <w:rFonts w:ascii="Times New Roman" w:hAnsi="Times New Roman" w:cs="Bookman Old Style"/>
          <w:color w:val="000000"/>
          <w:szCs w:val="20"/>
        </w:rPr>
        <w:t xml:space="preserve">must often traverse the gap between surviving, </w:t>
      </w:r>
      <w:r w:rsidRPr="00717C20">
        <w:rPr>
          <w:rFonts w:ascii="Times New Roman" w:hAnsi="Times New Roman" w:cs="Bookman Old Style"/>
          <w:color w:val="000000"/>
          <w:szCs w:val="20"/>
        </w:rPr>
        <w:t xml:space="preserve">physical evidence </w:t>
      </w:r>
      <w:r>
        <w:rPr>
          <w:rFonts w:ascii="Times New Roman" w:hAnsi="Times New Roman" w:cs="Bookman Old Style"/>
          <w:color w:val="000000"/>
          <w:szCs w:val="20"/>
        </w:rPr>
        <w:t>and counterintuitive verdicts</w:t>
      </w:r>
      <w:r w:rsidRPr="00717C20">
        <w:rPr>
          <w:rFonts w:ascii="Times New Roman" w:hAnsi="Times New Roman" w:cs="Bookman Old Style"/>
          <w:color w:val="000000"/>
          <w:szCs w:val="20"/>
        </w:rPr>
        <w:t xml:space="preserve">. </w:t>
      </w:r>
    </w:p>
    <w:p w:rsidR="001C5440" w:rsidRPr="00717C20" w:rsidRDefault="001C5440" w:rsidP="00525111">
      <w:pPr>
        <w:spacing w:line="480" w:lineRule="auto"/>
        <w:ind w:firstLine="720"/>
        <w:contextualSpacing/>
        <w:rPr>
          <w:rFonts w:ascii="Times New Roman" w:hAnsi="Times New Roman" w:cs="Bookman Old Style"/>
          <w:color w:val="000000"/>
          <w:szCs w:val="20"/>
        </w:rPr>
      </w:pPr>
      <w:r w:rsidRPr="00717C20">
        <w:rPr>
          <w:rFonts w:ascii="Times New Roman" w:hAnsi="Times New Roman" w:cs="Bookman Old Style"/>
          <w:color w:val="000000"/>
          <w:szCs w:val="20"/>
        </w:rPr>
        <w:lastRenderedPageBreak/>
        <w:t>The case of femme Gallet, however, makes such guess work unnecessary. After a formulaic int</w:t>
      </w:r>
      <w:r>
        <w:rPr>
          <w:rFonts w:ascii="Times New Roman" w:hAnsi="Times New Roman" w:cs="Bookman Old Style"/>
          <w:color w:val="000000"/>
          <w:szCs w:val="20"/>
        </w:rPr>
        <w:t>roduction, the Tribunal declared</w:t>
      </w:r>
      <w:r w:rsidRPr="00717C20">
        <w:rPr>
          <w:rFonts w:ascii="Times New Roman" w:hAnsi="Times New Roman" w:cs="Bookman Old Style"/>
          <w:color w:val="000000"/>
          <w:szCs w:val="20"/>
        </w:rPr>
        <w:t xml:space="preserve"> that femme Gallet </w:t>
      </w:r>
      <w:r>
        <w:rPr>
          <w:rFonts w:ascii="Times New Roman" w:hAnsi="Times New Roman" w:cs="Bookman Old Style"/>
          <w:color w:val="000000"/>
          <w:szCs w:val="20"/>
        </w:rPr>
        <w:t xml:space="preserve">made her counterrevolutionary statements </w:t>
      </w:r>
      <w:r w:rsidRPr="00717C20">
        <w:rPr>
          <w:rFonts w:ascii="Times New Roman" w:hAnsi="Times New Roman" w:cs="Bookman Old Style"/>
          <w:color w:val="000000"/>
          <w:szCs w:val="20"/>
        </w:rPr>
        <w:t>“in a moment of anger” and that, because she “is subject, especially during her pregnancy to delusions and extravagances” that the Tribunal “cannot, in consequence, hold her accountable [for her statements]</w:t>
      </w:r>
      <w:r>
        <w:rPr>
          <w:rFonts w:ascii="Times New Roman" w:hAnsi="Times New Roman" w:cs="Bookman Old Style"/>
          <w:color w:val="000000"/>
          <w:szCs w:val="20"/>
        </w:rPr>
        <w:t>.</w:t>
      </w:r>
      <w:r w:rsidRPr="00717C20">
        <w:rPr>
          <w:rFonts w:ascii="Times New Roman" w:hAnsi="Times New Roman" w:cs="Bookman Old Style"/>
          <w:color w:val="000000"/>
          <w:szCs w:val="20"/>
        </w:rPr>
        <w:t xml:space="preserve">” The Tribunal </w:t>
      </w:r>
      <w:r>
        <w:rPr>
          <w:rFonts w:ascii="Times New Roman" w:hAnsi="Times New Roman" w:cs="Bookman Old Style"/>
          <w:color w:val="000000"/>
          <w:szCs w:val="20"/>
        </w:rPr>
        <w:t>demanded that she be</w:t>
      </w:r>
      <w:r w:rsidRPr="00717C20">
        <w:rPr>
          <w:rFonts w:ascii="Times New Roman" w:hAnsi="Times New Roman" w:cs="Bookman Old Style"/>
          <w:color w:val="000000"/>
          <w:szCs w:val="20"/>
        </w:rPr>
        <w:t xml:space="preserve"> “</w:t>
      </w:r>
      <w:r>
        <w:rPr>
          <w:rFonts w:ascii="Times New Roman" w:hAnsi="Times New Roman" w:cs="Bookman Old Style"/>
          <w:color w:val="000000"/>
          <w:szCs w:val="20"/>
        </w:rPr>
        <w:t>immediately freed</w:t>
      </w:r>
      <w:r w:rsidRPr="00717C20">
        <w:rPr>
          <w:rFonts w:ascii="Times New Roman" w:hAnsi="Times New Roman" w:cs="Bookman Old Style"/>
          <w:color w:val="000000"/>
          <w:szCs w:val="20"/>
        </w:rPr>
        <w:t>.”</w:t>
      </w:r>
      <w:r w:rsidRPr="00717C20">
        <w:rPr>
          <w:rStyle w:val="FootnoteReference"/>
          <w:rFonts w:ascii="Times New Roman" w:hAnsi="Times New Roman" w:cs="Bookman Old Style"/>
          <w:color w:val="000000"/>
          <w:szCs w:val="20"/>
        </w:rPr>
        <w:footnoteReference w:id="115"/>
      </w:r>
      <w:r w:rsidRPr="00717C20">
        <w:rPr>
          <w:rFonts w:ascii="Times New Roman" w:hAnsi="Times New Roman" w:cs="Bookman Old Style"/>
          <w:color w:val="000000"/>
          <w:szCs w:val="20"/>
        </w:rPr>
        <w:t xml:space="preserve"> In the same b</w:t>
      </w:r>
      <w:r>
        <w:rPr>
          <w:rFonts w:ascii="Times New Roman" w:hAnsi="Times New Roman" w:cs="Bookman Old Style"/>
          <w:color w:val="000000"/>
          <w:szCs w:val="20"/>
        </w:rPr>
        <w:t>reath, the Tribunal explicitly indicted femme Gallet for</w:t>
      </w:r>
      <w:r w:rsidRPr="00717C20">
        <w:rPr>
          <w:rFonts w:ascii="Times New Roman" w:hAnsi="Times New Roman" w:cs="Bookman Old Style"/>
          <w:color w:val="000000"/>
          <w:szCs w:val="20"/>
        </w:rPr>
        <w:t xml:space="preserve"> making counterrevolu</w:t>
      </w:r>
      <w:r>
        <w:rPr>
          <w:rFonts w:ascii="Times New Roman" w:hAnsi="Times New Roman" w:cs="Bookman Old Style"/>
          <w:color w:val="000000"/>
          <w:szCs w:val="20"/>
        </w:rPr>
        <w:t>tionary remarks and then pardoned</w:t>
      </w:r>
      <w:r w:rsidRPr="00717C20">
        <w:rPr>
          <w:rFonts w:ascii="Times New Roman" w:hAnsi="Times New Roman" w:cs="Bookman Old Style"/>
          <w:color w:val="000000"/>
          <w:szCs w:val="20"/>
        </w:rPr>
        <w:t xml:space="preserve"> her because of her recent pregnancy. </w:t>
      </w:r>
    </w:p>
    <w:p w:rsidR="001C5440" w:rsidRPr="00717C20" w:rsidRDefault="001C5440" w:rsidP="00525111">
      <w:pPr>
        <w:spacing w:line="480" w:lineRule="auto"/>
        <w:ind w:firstLine="720"/>
        <w:contextualSpacing/>
        <w:rPr>
          <w:rFonts w:ascii="Times New Roman" w:hAnsi="Times New Roman" w:cs="Bookman Old Style"/>
          <w:color w:val="000000"/>
          <w:szCs w:val="20"/>
        </w:rPr>
      </w:pPr>
      <w:r w:rsidRPr="00717C20">
        <w:rPr>
          <w:rFonts w:ascii="Times New Roman" w:hAnsi="Times New Roman" w:cs="Bookman Old Style"/>
          <w:color w:val="000000"/>
          <w:szCs w:val="20"/>
        </w:rPr>
        <w:t>However,</w:t>
      </w:r>
      <w:r>
        <w:rPr>
          <w:rFonts w:ascii="Times New Roman" w:hAnsi="Times New Roman" w:cs="Bookman Old Style"/>
          <w:color w:val="000000"/>
          <w:szCs w:val="20"/>
        </w:rPr>
        <w:t xml:space="preserve"> the Tribunal should not have been surprised by femme Gallet’s recent pregnancy and birth.</w:t>
      </w:r>
      <w:r w:rsidRPr="00717C20">
        <w:rPr>
          <w:rFonts w:ascii="Times New Roman" w:hAnsi="Times New Roman" w:cs="Bookman Old Style"/>
          <w:color w:val="000000"/>
          <w:szCs w:val="20"/>
        </w:rPr>
        <w:t xml:space="preserve"> Femme Gallet was visibly pregnant at the time of her alleged crime.</w:t>
      </w:r>
      <w:r w:rsidRPr="00717C20">
        <w:rPr>
          <w:rStyle w:val="FootnoteReference"/>
          <w:rFonts w:ascii="Times New Roman" w:hAnsi="Times New Roman" w:cs="Bookman Old Style"/>
          <w:color w:val="000000"/>
          <w:szCs w:val="20"/>
        </w:rPr>
        <w:footnoteReference w:id="116"/>
      </w:r>
      <w:r>
        <w:rPr>
          <w:rFonts w:ascii="Times New Roman" w:hAnsi="Times New Roman" w:cs="Bookman Old Style"/>
          <w:color w:val="000000"/>
          <w:szCs w:val="20"/>
        </w:rPr>
        <w:t xml:space="preserve"> </w:t>
      </w:r>
      <w:r w:rsidRPr="00717C20">
        <w:rPr>
          <w:rFonts w:ascii="Times New Roman" w:hAnsi="Times New Roman" w:cs="Bookman Old Style"/>
          <w:color w:val="000000"/>
          <w:szCs w:val="20"/>
        </w:rPr>
        <w:t xml:space="preserve">Even during her detainment before the trial, she </w:t>
      </w:r>
      <w:r>
        <w:rPr>
          <w:rFonts w:ascii="Times New Roman" w:hAnsi="Times New Roman" w:cs="Bookman Old Style"/>
          <w:color w:val="000000"/>
          <w:szCs w:val="20"/>
        </w:rPr>
        <w:t>shouldered partial</w:t>
      </w:r>
      <w:r w:rsidRPr="00717C20">
        <w:rPr>
          <w:rFonts w:ascii="Times New Roman" w:hAnsi="Times New Roman" w:cs="Bookman Old Style"/>
          <w:color w:val="000000"/>
          <w:szCs w:val="20"/>
        </w:rPr>
        <w:t xml:space="preserve"> responsib</w:t>
      </w:r>
      <w:r>
        <w:rPr>
          <w:rFonts w:ascii="Times New Roman" w:hAnsi="Times New Roman" w:cs="Bookman Old Style"/>
          <w:color w:val="000000"/>
          <w:szCs w:val="20"/>
        </w:rPr>
        <w:t>ility</w:t>
      </w:r>
      <w:r w:rsidRPr="00717C20">
        <w:rPr>
          <w:rFonts w:ascii="Times New Roman" w:hAnsi="Times New Roman" w:cs="Bookman Old Style"/>
          <w:color w:val="000000"/>
          <w:szCs w:val="20"/>
        </w:rPr>
        <w:t xml:space="preserve"> for the care of her five-week-old son, as evidenced by her husband’s letter. </w:t>
      </w:r>
      <w:r>
        <w:rPr>
          <w:rFonts w:ascii="Times New Roman" w:hAnsi="Times New Roman" w:cs="Bookman Old Style"/>
          <w:color w:val="000000"/>
          <w:szCs w:val="20"/>
        </w:rPr>
        <w:t>However, the Tribunal did not acquit her until it received</w:t>
      </w:r>
      <w:r w:rsidRPr="00717C20">
        <w:rPr>
          <w:rFonts w:ascii="Times New Roman" w:hAnsi="Times New Roman" w:cs="Bookman Old Style"/>
          <w:color w:val="000000"/>
          <w:szCs w:val="20"/>
        </w:rPr>
        <w:t xml:space="preserve"> the letter of defense from her husband </w:t>
      </w:r>
      <w:r>
        <w:rPr>
          <w:rFonts w:ascii="Times New Roman" w:hAnsi="Times New Roman" w:cs="Bookman Old Style"/>
          <w:color w:val="000000"/>
          <w:szCs w:val="20"/>
        </w:rPr>
        <w:t xml:space="preserve">detailing </w:t>
      </w:r>
      <w:r w:rsidRPr="00717C20">
        <w:rPr>
          <w:rFonts w:ascii="Times New Roman" w:hAnsi="Times New Roman" w:cs="Bookman Old Style"/>
          <w:color w:val="000000"/>
          <w:szCs w:val="20"/>
        </w:rPr>
        <w:t xml:space="preserve">her </w:t>
      </w:r>
      <w:r>
        <w:rPr>
          <w:rFonts w:ascii="Times New Roman" w:hAnsi="Times New Roman" w:cs="Bookman Old Style"/>
          <w:color w:val="000000"/>
          <w:szCs w:val="20"/>
        </w:rPr>
        <w:t>hardships</w:t>
      </w:r>
      <w:r w:rsidRPr="00717C20">
        <w:rPr>
          <w:rFonts w:ascii="Times New Roman" w:hAnsi="Times New Roman" w:cs="Bookman Old Style"/>
          <w:color w:val="000000"/>
          <w:szCs w:val="20"/>
        </w:rPr>
        <w:t xml:space="preserve">. Once alerted, the Tribunal sympathized with her plight and </w:t>
      </w:r>
      <w:r>
        <w:rPr>
          <w:rFonts w:ascii="Times New Roman" w:hAnsi="Times New Roman" w:cs="Bookman Old Style"/>
          <w:color w:val="000000"/>
          <w:szCs w:val="20"/>
        </w:rPr>
        <w:t xml:space="preserve">quickly </w:t>
      </w:r>
      <w:r w:rsidRPr="00717C20">
        <w:rPr>
          <w:rFonts w:ascii="Times New Roman" w:hAnsi="Times New Roman" w:cs="Bookman Old Style"/>
          <w:color w:val="000000"/>
          <w:szCs w:val="20"/>
        </w:rPr>
        <w:t>acquitted her.</w:t>
      </w:r>
      <w:r w:rsidRPr="00717C20">
        <w:rPr>
          <w:rStyle w:val="FootnoteReference"/>
          <w:rFonts w:ascii="Times New Roman" w:hAnsi="Times New Roman" w:cs="Bookman Old Style"/>
          <w:color w:val="000000"/>
          <w:szCs w:val="20"/>
        </w:rPr>
        <w:footnoteReference w:id="117"/>
      </w:r>
      <w:r w:rsidRPr="00717C20">
        <w:rPr>
          <w:rFonts w:ascii="Times New Roman" w:hAnsi="Times New Roman" w:cs="Bookman Old Style"/>
          <w:color w:val="000000"/>
          <w:szCs w:val="20"/>
        </w:rPr>
        <w:t xml:space="preserve"> </w:t>
      </w:r>
      <w:r>
        <w:rPr>
          <w:rFonts w:ascii="Times New Roman" w:hAnsi="Times New Roman" w:cs="Bookman Old Style"/>
          <w:color w:val="000000"/>
          <w:szCs w:val="20"/>
        </w:rPr>
        <w:t>Femme Gallet’s</w:t>
      </w:r>
      <w:r w:rsidRPr="00717C20">
        <w:rPr>
          <w:rFonts w:ascii="Times New Roman" w:hAnsi="Times New Roman" w:cs="Bookman Old Style"/>
          <w:color w:val="000000"/>
          <w:szCs w:val="20"/>
        </w:rPr>
        <w:t xml:space="preserve"> letter of defense effectively emphasized the facets of </w:t>
      </w:r>
      <w:r>
        <w:rPr>
          <w:rFonts w:ascii="Times New Roman" w:hAnsi="Times New Roman" w:cs="Bookman Old Style"/>
          <w:color w:val="000000"/>
          <w:szCs w:val="20"/>
        </w:rPr>
        <w:t xml:space="preserve">the </w:t>
      </w:r>
      <w:r w:rsidRPr="00717C20">
        <w:rPr>
          <w:rFonts w:ascii="Times New Roman" w:hAnsi="Times New Roman" w:cs="Bookman Old Style"/>
          <w:color w:val="000000"/>
          <w:szCs w:val="20"/>
        </w:rPr>
        <w:t xml:space="preserve">case that made her </w:t>
      </w:r>
      <w:r>
        <w:rPr>
          <w:rFonts w:ascii="Times New Roman" w:hAnsi="Times New Roman" w:cs="Bookman Old Style"/>
          <w:color w:val="000000"/>
          <w:szCs w:val="20"/>
        </w:rPr>
        <w:t xml:space="preserve">situation </w:t>
      </w:r>
      <w:r w:rsidRPr="00717C20">
        <w:rPr>
          <w:rFonts w:ascii="Times New Roman" w:hAnsi="Times New Roman" w:cs="Bookman Old Style"/>
          <w:color w:val="000000"/>
          <w:szCs w:val="20"/>
        </w:rPr>
        <w:t xml:space="preserve">worthy of unique consideration. The letter of defense set her apart from the multitude of other women on trial and forced the Tribunal to consider her as an individual, not a crime worthy of punishment. </w:t>
      </w:r>
    </w:p>
    <w:p w:rsidR="001C5440" w:rsidRPr="00717C20" w:rsidRDefault="001C5440" w:rsidP="00525111">
      <w:pPr>
        <w:spacing w:line="480" w:lineRule="auto"/>
        <w:ind w:firstLine="720"/>
        <w:contextualSpacing/>
        <w:rPr>
          <w:rFonts w:ascii="Times New Roman" w:hAnsi="Times New Roman" w:cs="Bookman Old Style"/>
          <w:color w:val="000000"/>
          <w:szCs w:val="20"/>
        </w:rPr>
      </w:pPr>
      <w:r w:rsidRPr="00717C20">
        <w:rPr>
          <w:rFonts w:ascii="Times New Roman" w:hAnsi="Times New Roman" w:cs="Bookman Old Style"/>
          <w:color w:val="000000"/>
          <w:szCs w:val="20"/>
        </w:rPr>
        <w:lastRenderedPageBreak/>
        <w:t xml:space="preserve">Élisabeth Brochant, veuve Lechanteur, in contrast to femme Gallet, effectively humanized </w:t>
      </w:r>
      <w:r>
        <w:rPr>
          <w:rFonts w:ascii="Times New Roman" w:hAnsi="Times New Roman" w:cs="Bookman Old Style"/>
          <w:color w:val="000000"/>
          <w:szCs w:val="20"/>
        </w:rPr>
        <w:t>and politicized herself by emphasizing</w:t>
      </w:r>
      <w:r w:rsidRPr="00717C20">
        <w:rPr>
          <w:rFonts w:ascii="Times New Roman" w:hAnsi="Times New Roman" w:cs="Bookman Old Style"/>
          <w:color w:val="000000"/>
          <w:szCs w:val="20"/>
        </w:rPr>
        <w:t xml:space="preserve"> her generous </w:t>
      </w:r>
      <w:r>
        <w:rPr>
          <w:rFonts w:ascii="Times New Roman" w:hAnsi="Times New Roman" w:cs="Bookman Old Style"/>
          <w:color w:val="000000"/>
          <w:szCs w:val="20"/>
        </w:rPr>
        <w:t>financial contributions to the R</w:t>
      </w:r>
      <w:r w:rsidRPr="00717C20">
        <w:rPr>
          <w:rFonts w:ascii="Times New Roman" w:hAnsi="Times New Roman" w:cs="Bookman Old Style"/>
          <w:color w:val="000000"/>
          <w:szCs w:val="20"/>
        </w:rPr>
        <w:t>evolution and her tremendous local esteem.</w:t>
      </w:r>
      <w:r w:rsidRPr="00717C20">
        <w:rPr>
          <w:rStyle w:val="FootnoteReference"/>
          <w:rFonts w:ascii="Times New Roman" w:hAnsi="Times New Roman" w:cs="Bookman Old Style"/>
          <w:color w:val="000000"/>
          <w:szCs w:val="20"/>
        </w:rPr>
        <w:footnoteReference w:id="118"/>
      </w:r>
      <w:r w:rsidRPr="00717C20">
        <w:rPr>
          <w:rFonts w:ascii="Times New Roman" w:hAnsi="Times New Roman" w:cs="Bookman Old Style"/>
          <w:color w:val="000000"/>
          <w:szCs w:val="20"/>
        </w:rPr>
        <w:t xml:space="preserve"> The Tribunal tried veuve Lechanteur in May 1794, only a few weeks after the acquittal of femme Gallet. </w:t>
      </w:r>
      <w:r>
        <w:rPr>
          <w:rFonts w:ascii="Times New Roman" w:hAnsi="Times New Roman" w:cs="Bookman Old Style"/>
          <w:color w:val="000000"/>
          <w:szCs w:val="20"/>
        </w:rPr>
        <w:t>The</w:t>
      </w:r>
      <w:r w:rsidR="00AD0377">
        <w:rPr>
          <w:rFonts w:ascii="Times New Roman" w:hAnsi="Times New Roman" w:cs="Bookman Old Style"/>
          <w:color w:val="000000"/>
          <w:szCs w:val="20"/>
        </w:rPr>
        <w:t xml:space="preserve"> Tribunal accused veuve Lechant</w:t>
      </w:r>
      <w:r>
        <w:rPr>
          <w:rFonts w:ascii="Times New Roman" w:hAnsi="Times New Roman" w:cs="Bookman Old Style"/>
          <w:color w:val="000000"/>
          <w:szCs w:val="20"/>
        </w:rPr>
        <w:t>e</w:t>
      </w:r>
      <w:r w:rsidR="00AD0377">
        <w:rPr>
          <w:rFonts w:ascii="Times New Roman" w:hAnsi="Times New Roman" w:cs="Bookman Old Style"/>
          <w:color w:val="000000"/>
          <w:szCs w:val="20"/>
        </w:rPr>
        <w:t>u</w:t>
      </w:r>
      <w:r>
        <w:rPr>
          <w:rFonts w:ascii="Times New Roman" w:hAnsi="Times New Roman" w:cs="Bookman Old Style"/>
          <w:color w:val="000000"/>
          <w:szCs w:val="20"/>
        </w:rPr>
        <w:t>r, t</w:t>
      </w:r>
      <w:r w:rsidRPr="00717C20">
        <w:rPr>
          <w:rFonts w:ascii="Times New Roman" w:hAnsi="Times New Roman" w:cs="Bookman Old Style"/>
          <w:color w:val="000000"/>
          <w:szCs w:val="20"/>
        </w:rPr>
        <w:t>he w</w:t>
      </w:r>
      <w:r>
        <w:rPr>
          <w:rFonts w:ascii="Times New Roman" w:hAnsi="Times New Roman" w:cs="Bookman Old Style"/>
          <w:color w:val="000000"/>
          <w:szCs w:val="20"/>
        </w:rPr>
        <w:t xml:space="preserve">idow of a former notary public, </w:t>
      </w:r>
      <w:r w:rsidRPr="00717C20">
        <w:rPr>
          <w:rFonts w:ascii="Times New Roman" w:hAnsi="Times New Roman" w:cs="Bookman Old Style"/>
          <w:color w:val="000000"/>
          <w:szCs w:val="20"/>
        </w:rPr>
        <w:t>of “having kept religious [fanatical] and counterrevolutionary writings” in her house.</w:t>
      </w:r>
      <w:r w:rsidRPr="00717C20">
        <w:rPr>
          <w:rStyle w:val="FootnoteReference"/>
          <w:rFonts w:ascii="Times New Roman" w:hAnsi="Times New Roman" w:cs="Bookman Old Style"/>
          <w:color w:val="000000"/>
          <w:szCs w:val="20"/>
        </w:rPr>
        <w:footnoteReference w:id="119"/>
      </w:r>
      <w:r w:rsidRPr="00717C20">
        <w:rPr>
          <w:rFonts w:ascii="Times New Roman" w:hAnsi="Times New Roman" w:cs="Bookman Old Style"/>
          <w:color w:val="000000"/>
          <w:szCs w:val="20"/>
        </w:rPr>
        <w:t xml:space="preserve"> </w:t>
      </w:r>
      <w:r>
        <w:rPr>
          <w:rFonts w:ascii="Times New Roman" w:hAnsi="Times New Roman" w:cs="Bookman Old Style"/>
          <w:color w:val="000000"/>
          <w:szCs w:val="20"/>
        </w:rPr>
        <w:t>The court seized s</w:t>
      </w:r>
      <w:r w:rsidRPr="00717C20">
        <w:rPr>
          <w:rFonts w:ascii="Times New Roman" w:hAnsi="Times New Roman" w:cs="Bookman Old Style"/>
          <w:color w:val="000000"/>
          <w:szCs w:val="20"/>
        </w:rPr>
        <w:t>everal such examples, including her original, vellum marriage certificate, to prove this point.</w:t>
      </w:r>
      <w:r w:rsidRPr="00717C20">
        <w:rPr>
          <w:rStyle w:val="FootnoteReference"/>
          <w:rFonts w:ascii="Times New Roman" w:hAnsi="Times New Roman" w:cs="Bookman Old Style"/>
          <w:color w:val="000000"/>
          <w:szCs w:val="20"/>
        </w:rPr>
        <w:footnoteReference w:id="120"/>
      </w:r>
      <w:r>
        <w:rPr>
          <w:rFonts w:ascii="Times New Roman" w:hAnsi="Times New Roman" w:cs="Bookman Old Style"/>
          <w:color w:val="000000"/>
          <w:szCs w:val="20"/>
        </w:rPr>
        <w:t xml:space="preserve"> To counteract these charges, veuve Lechanteur politicized</w:t>
      </w:r>
      <w:r w:rsidRPr="00717C20">
        <w:rPr>
          <w:rFonts w:ascii="Times New Roman" w:hAnsi="Times New Roman" w:cs="Bookman Old Style"/>
          <w:color w:val="000000"/>
          <w:szCs w:val="20"/>
        </w:rPr>
        <w:t xml:space="preserve"> her history of generosity </w:t>
      </w:r>
      <w:r>
        <w:rPr>
          <w:rFonts w:ascii="Times New Roman" w:hAnsi="Times New Roman" w:cs="Bookman Old Style"/>
          <w:color w:val="000000"/>
          <w:szCs w:val="20"/>
        </w:rPr>
        <w:t xml:space="preserve">and emphasized her position within the community within her personal letters of defense. </w:t>
      </w:r>
    </w:p>
    <w:p w:rsidR="001C5440" w:rsidRPr="00717C20" w:rsidRDefault="001C5440" w:rsidP="00525111">
      <w:pPr>
        <w:spacing w:line="480" w:lineRule="auto"/>
        <w:ind w:firstLine="720"/>
        <w:contextualSpacing/>
        <w:rPr>
          <w:rFonts w:ascii="Times New Roman" w:hAnsi="Times New Roman" w:cs="Bookman Old Style"/>
          <w:color w:val="000000"/>
          <w:szCs w:val="20"/>
        </w:rPr>
      </w:pPr>
      <w:r>
        <w:rPr>
          <w:rFonts w:ascii="Times New Roman" w:hAnsi="Times New Roman" w:cs="Bookman Old Style"/>
          <w:color w:val="000000"/>
          <w:szCs w:val="20"/>
        </w:rPr>
        <w:t>The defendant</w:t>
      </w:r>
      <w:r w:rsidRPr="00717C20">
        <w:rPr>
          <w:rFonts w:ascii="Times New Roman" w:hAnsi="Times New Roman" w:cs="Bookman Old Style"/>
          <w:color w:val="000000"/>
          <w:szCs w:val="20"/>
        </w:rPr>
        <w:t xml:space="preserve"> esta</w:t>
      </w:r>
      <w:r>
        <w:rPr>
          <w:rFonts w:ascii="Times New Roman" w:hAnsi="Times New Roman" w:cs="Bookman Old Style"/>
          <w:color w:val="000000"/>
          <w:szCs w:val="20"/>
        </w:rPr>
        <w:t xml:space="preserve">blished these attributes </w:t>
      </w:r>
      <w:r w:rsidRPr="00717C20">
        <w:rPr>
          <w:rFonts w:ascii="Times New Roman" w:hAnsi="Times New Roman" w:cs="Bookman Old Style"/>
          <w:color w:val="000000"/>
          <w:szCs w:val="20"/>
        </w:rPr>
        <w:t>through a series of receipts and other corroborating evidence from her section that minutely detail</w:t>
      </w:r>
      <w:r>
        <w:rPr>
          <w:rFonts w:ascii="Times New Roman" w:hAnsi="Times New Roman" w:cs="Bookman Old Style"/>
          <w:color w:val="000000"/>
          <w:szCs w:val="20"/>
        </w:rPr>
        <w:t>ed</w:t>
      </w:r>
      <w:r w:rsidRPr="00717C20">
        <w:rPr>
          <w:rFonts w:ascii="Times New Roman" w:hAnsi="Times New Roman" w:cs="Bookman Old Style"/>
          <w:color w:val="000000"/>
          <w:szCs w:val="20"/>
        </w:rPr>
        <w:t xml:space="preserve"> the widow’s </w:t>
      </w:r>
      <w:r>
        <w:rPr>
          <w:rFonts w:ascii="Times New Roman" w:hAnsi="Times New Roman" w:cs="Bookman Old Style"/>
          <w:color w:val="000000"/>
          <w:szCs w:val="20"/>
        </w:rPr>
        <w:t>economic generosity.</w:t>
      </w:r>
      <w:r w:rsidRPr="00717C20">
        <w:rPr>
          <w:rFonts w:ascii="Times New Roman" w:hAnsi="Times New Roman" w:cs="Bookman Old Style"/>
          <w:color w:val="000000"/>
          <w:szCs w:val="20"/>
        </w:rPr>
        <w:t xml:space="preserve"> Three short receipts document her charity for several years, including her donation of two hundred, eight hundred, and twenty livres, respectively.</w:t>
      </w:r>
      <w:r w:rsidRPr="00717C20">
        <w:rPr>
          <w:rStyle w:val="FootnoteReference"/>
          <w:rFonts w:ascii="Times New Roman" w:hAnsi="Times New Roman" w:cs="Bookman Old Style"/>
          <w:color w:val="000000"/>
          <w:szCs w:val="20"/>
        </w:rPr>
        <w:footnoteReference w:id="121"/>
      </w:r>
      <w:r w:rsidR="00AD0377">
        <w:rPr>
          <w:rFonts w:ascii="Times New Roman" w:hAnsi="Times New Roman" w:cs="Bookman Old Style"/>
          <w:color w:val="000000"/>
          <w:szCs w:val="20"/>
        </w:rPr>
        <w:t xml:space="preserve"> A</w:t>
      </w:r>
      <w:r w:rsidRPr="00717C20">
        <w:rPr>
          <w:rFonts w:ascii="Times New Roman" w:hAnsi="Times New Roman" w:cs="Bookman Old Style"/>
          <w:color w:val="000000"/>
          <w:szCs w:val="20"/>
        </w:rPr>
        <w:t xml:space="preserve"> </w:t>
      </w:r>
      <w:r w:rsidR="00AD0377">
        <w:rPr>
          <w:rFonts w:ascii="Times New Roman" w:hAnsi="Times New Roman" w:cs="Bookman Old Style"/>
          <w:color w:val="000000"/>
          <w:szCs w:val="20"/>
        </w:rPr>
        <w:t xml:space="preserve">letter of defense, </w:t>
      </w:r>
      <w:r w:rsidR="00AD0377" w:rsidRPr="00717C20">
        <w:rPr>
          <w:rFonts w:ascii="Times New Roman" w:hAnsi="Times New Roman" w:cs="Bookman Old Style"/>
          <w:color w:val="000000"/>
          <w:szCs w:val="20"/>
        </w:rPr>
        <w:t>composed by the maire of her commune and signed by approximately twenty others</w:t>
      </w:r>
      <w:r w:rsidR="00AD0377">
        <w:rPr>
          <w:rFonts w:ascii="Times New Roman" w:hAnsi="Times New Roman" w:cs="Bookman Old Style"/>
          <w:color w:val="000000"/>
          <w:szCs w:val="20"/>
        </w:rPr>
        <w:t xml:space="preserve">, further supported her </w:t>
      </w:r>
      <w:r w:rsidRPr="00717C20">
        <w:rPr>
          <w:rFonts w:ascii="Times New Roman" w:hAnsi="Times New Roman" w:cs="Bookman Old Style"/>
          <w:color w:val="000000"/>
          <w:szCs w:val="20"/>
        </w:rPr>
        <w:t>image as a</w:t>
      </w:r>
      <w:r>
        <w:rPr>
          <w:rFonts w:ascii="Times New Roman" w:hAnsi="Times New Roman" w:cs="Bookman Old Style"/>
          <w:color w:val="000000"/>
          <w:szCs w:val="20"/>
        </w:rPr>
        <w:t xml:space="preserve"> generous, benign donor to the R</w:t>
      </w:r>
      <w:r w:rsidRPr="00717C20">
        <w:rPr>
          <w:rFonts w:ascii="Times New Roman" w:hAnsi="Times New Roman" w:cs="Bookman Old Style"/>
          <w:color w:val="000000"/>
          <w:szCs w:val="20"/>
        </w:rPr>
        <w:t>evolution.</w:t>
      </w:r>
      <w:r w:rsidRPr="00717C20">
        <w:rPr>
          <w:rStyle w:val="FootnoteReference"/>
          <w:rFonts w:ascii="Times New Roman" w:hAnsi="Times New Roman" w:cs="Bookman Old Style"/>
          <w:color w:val="000000"/>
          <w:szCs w:val="20"/>
        </w:rPr>
        <w:footnoteReference w:id="122"/>
      </w:r>
      <w:r>
        <w:rPr>
          <w:rFonts w:ascii="Times New Roman" w:hAnsi="Times New Roman" w:cs="Bookman Old Style"/>
          <w:color w:val="000000"/>
          <w:szCs w:val="20"/>
        </w:rPr>
        <w:t xml:space="preserve"> The letter provided</w:t>
      </w:r>
      <w:r w:rsidRPr="00717C20">
        <w:rPr>
          <w:rFonts w:ascii="Times New Roman" w:hAnsi="Times New Roman" w:cs="Bookman Old Style"/>
          <w:color w:val="000000"/>
          <w:szCs w:val="20"/>
        </w:rPr>
        <w:t xml:space="preserve"> an extremely detailed list of her revolutionary contributions </w:t>
      </w:r>
      <w:r>
        <w:rPr>
          <w:rFonts w:ascii="Times New Roman" w:hAnsi="Times New Roman" w:cs="Bookman Old Style"/>
          <w:color w:val="000000"/>
          <w:szCs w:val="20"/>
        </w:rPr>
        <w:t>and</w:t>
      </w:r>
      <w:r w:rsidRPr="00717C20">
        <w:rPr>
          <w:rFonts w:ascii="Times New Roman" w:hAnsi="Times New Roman" w:cs="Bookman Old Style"/>
          <w:color w:val="000000"/>
          <w:szCs w:val="20"/>
        </w:rPr>
        <w:t xml:space="preserve"> a short </w:t>
      </w:r>
      <w:r>
        <w:rPr>
          <w:rFonts w:ascii="Times New Roman" w:hAnsi="Times New Roman" w:cs="Bookman Old Style"/>
          <w:color w:val="000000"/>
          <w:szCs w:val="20"/>
        </w:rPr>
        <w:t>explanation for what each contribution</w:t>
      </w:r>
      <w:r w:rsidRPr="00717C20">
        <w:rPr>
          <w:rFonts w:ascii="Times New Roman" w:hAnsi="Times New Roman" w:cs="Bookman Old Style"/>
          <w:color w:val="000000"/>
          <w:szCs w:val="20"/>
        </w:rPr>
        <w:t xml:space="preserve"> funded. </w:t>
      </w:r>
      <w:r>
        <w:rPr>
          <w:rFonts w:ascii="Times New Roman" w:hAnsi="Times New Roman" w:cs="Bookman Old Style"/>
          <w:color w:val="000000"/>
          <w:szCs w:val="20"/>
        </w:rPr>
        <w:t>Six hundred livres subsidized “t</w:t>
      </w:r>
      <w:r w:rsidRPr="00717C20">
        <w:rPr>
          <w:rFonts w:ascii="Times New Roman" w:hAnsi="Times New Roman" w:cs="Bookman Old Style"/>
          <w:color w:val="000000"/>
          <w:szCs w:val="20"/>
        </w:rPr>
        <w:t xml:space="preserve">he first four volunteers that left from the commune </w:t>
      </w:r>
      <w:r>
        <w:rPr>
          <w:rFonts w:ascii="Times New Roman" w:hAnsi="Times New Roman" w:cs="Bookman Old Style"/>
          <w:color w:val="000000"/>
          <w:szCs w:val="20"/>
        </w:rPr>
        <w:t xml:space="preserve">for the defense of the country.” </w:t>
      </w:r>
      <w:r w:rsidRPr="00717C20">
        <w:rPr>
          <w:rFonts w:ascii="Times New Roman" w:hAnsi="Times New Roman" w:cs="Bookman Old Style"/>
          <w:color w:val="000000"/>
          <w:szCs w:val="20"/>
        </w:rPr>
        <w:t xml:space="preserve">Two hundred livres </w:t>
      </w:r>
      <w:r>
        <w:rPr>
          <w:rFonts w:ascii="Times New Roman" w:hAnsi="Times New Roman" w:cs="Bookman Old Style"/>
          <w:color w:val="000000"/>
          <w:szCs w:val="20"/>
        </w:rPr>
        <w:t>financed</w:t>
      </w:r>
      <w:r w:rsidRPr="00717C20">
        <w:rPr>
          <w:rFonts w:ascii="Times New Roman" w:hAnsi="Times New Roman" w:cs="Bookman Old Style"/>
          <w:color w:val="000000"/>
          <w:szCs w:val="20"/>
        </w:rPr>
        <w:t xml:space="preserve"> the first men “drafted for the Vendée.”</w:t>
      </w:r>
      <w:r w:rsidRPr="00717C20">
        <w:rPr>
          <w:rStyle w:val="FootnoteReference"/>
          <w:rFonts w:ascii="Times New Roman" w:hAnsi="Times New Roman" w:cs="Bookman Old Style"/>
          <w:color w:val="000000"/>
          <w:szCs w:val="20"/>
        </w:rPr>
        <w:footnoteReference w:id="123"/>
      </w:r>
      <w:r>
        <w:rPr>
          <w:rFonts w:ascii="Times New Roman" w:hAnsi="Times New Roman" w:cs="Bookman Old Style"/>
          <w:color w:val="000000"/>
          <w:szCs w:val="20"/>
        </w:rPr>
        <w:t xml:space="preserve"> S</w:t>
      </w:r>
      <w:r w:rsidRPr="00717C20">
        <w:rPr>
          <w:rFonts w:ascii="Times New Roman" w:hAnsi="Times New Roman" w:cs="Bookman Old Style"/>
          <w:color w:val="000000"/>
          <w:szCs w:val="20"/>
        </w:rPr>
        <w:t xml:space="preserve">pecifying and personalizing the </w:t>
      </w:r>
      <w:r w:rsidRPr="00717C20">
        <w:rPr>
          <w:rFonts w:ascii="Times New Roman" w:hAnsi="Times New Roman" w:cs="Bookman Old Style"/>
          <w:color w:val="000000"/>
          <w:szCs w:val="20"/>
        </w:rPr>
        <w:lastRenderedPageBreak/>
        <w:t>charitable acts of the widow</w:t>
      </w:r>
      <w:r>
        <w:rPr>
          <w:rFonts w:ascii="Times New Roman" w:hAnsi="Times New Roman" w:cs="Bookman Old Style"/>
          <w:color w:val="000000"/>
          <w:szCs w:val="20"/>
        </w:rPr>
        <w:t xml:space="preserve"> explicitly politicized her charity, rendering her a great patriot </w:t>
      </w:r>
      <w:r w:rsidRPr="00717C20">
        <w:rPr>
          <w:rFonts w:ascii="Times New Roman" w:hAnsi="Times New Roman" w:cs="Bookman Old Style"/>
          <w:color w:val="000000"/>
          <w:szCs w:val="20"/>
        </w:rPr>
        <w:t xml:space="preserve">in the eyes of the Tribunal. </w:t>
      </w:r>
    </w:p>
    <w:p w:rsidR="001C5440" w:rsidRPr="00717C20" w:rsidRDefault="001C5440" w:rsidP="00525111">
      <w:pPr>
        <w:spacing w:line="480" w:lineRule="auto"/>
        <w:ind w:firstLine="720"/>
        <w:contextualSpacing/>
        <w:rPr>
          <w:rFonts w:ascii="Times New Roman" w:hAnsi="Times New Roman" w:cs="Bookman Old Style"/>
          <w:color w:val="000000"/>
          <w:szCs w:val="20"/>
        </w:rPr>
      </w:pPr>
      <w:r>
        <w:rPr>
          <w:rFonts w:ascii="Times New Roman" w:hAnsi="Times New Roman" w:cs="Bookman Old Style"/>
          <w:color w:val="000000"/>
          <w:szCs w:val="20"/>
        </w:rPr>
        <w:t>A</w:t>
      </w:r>
      <w:r w:rsidRPr="00717C20">
        <w:rPr>
          <w:rFonts w:ascii="Times New Roman" w:hAnsi="Times New Roman" w:cs="Bookman Old Style"/>
          <w:color w:val="000000"/>
          <w:szCs w:val="20"/>
        </w:rPr>
        <w:t xml:space="preserve"> three page </w:t>
      </w:r>
      <w:r>
        <w:rPr>
          <w:rFonts w:ascii="Times New Roman" w:hAnsi="Times New Roman" w:cs="Bookman Old Style"/>
          <w:color w:val="000000"/>
          <w:szCs w:val="20"/>
        </w:rPr>
        <w:t>personal letter of defense, synthesizing and summarizing</w:t>
      </w:r>
      <w:r w:rsidRPr="00717C20">
        <w:rPr>
          <w:rFonts w:ascii="Times New Roman" w:hAnsi="Times New Roman" w:cs="Bookman Old Style"/>
          <w:color w:val="000000"/>
          <w:szCs w:val="20"/>
        </w:rPr>
        <w:t xml:space="preserve"> </w:t>
      </w:r>
      <w:r>
        <w:rPr>
          <w:rFonts w:ascii="Times New Roman" w:hAnsi="Times New Roman" w:cs="Bookman Old Style"/>
          <w:color w:val="000000"/>
          <w:szCs w:val="20"/>
        </w:rPr>
        <w:t>veuve Lechanteur’s</w:t>
      </w:r>
      <w:r w:rsidRPr="00717C20">
        <w:rPr>
          <w:rFonts w:ascii="Times New Roman" w:hAnsi="Times New Roman" w:cs="Bookman Old Style"/>
          <w:color w:val="000000"/>
          <w:szCs w:val="20"/>
        </w:rPr>
        <w:t xml:space="preserve"> revolutionary charity and local esteem</w:t>
      </w:r>
      <w:r>
        <w:rPr>
          <w:rFonts w:ascii="Times New Roman" w:hAnsi="Times New Roman" w:cs="Bookman Old Style"/>
          <w:color w:val="000000"/>
          <w:szCs w:val="20"/>
        </w:rPr>
        <w:t>, capped off her defense.</w:t>
      </w:r>
      <w:r w:rsidRPr="00717C20">
        <w:rPr>
          <w:rFonts w:ascii="Times New Roman" w:hAnsi="Times New Roman" w:cs="Bookman Old Style"/>
          <w:color w:val="000000"/>
          <w:szCs w:val="20"/>
        </w:rPr>
        <w:t xml:space="preserve"> Although written in t</w:t>
      </w:r>
      <w:r>
        <w:rPr>
          <w:rFonts w:ascii="Times New Roman" w:hAnsi="Times New Roman" w:cs="Bookman Old Style"/>
          <w:color w:val="000000"/>
          <w:szCs w:val="20"/>
        </w:rPr>
        <w:t>he third person, the letter did</w:t>
      </w:r>
      <w:r w:rsidRPr="00717C20">
        <w:rPr>
          <w:rFonts w:ascii="Times New Roman" w:hAnsi="Times New Roman" w:cs="Bookman Old Style"/>
          <w:color w:val="000000"/>
          <w:szCs w:val="20"/>
        </w:rPr>
        <w:t xml:space="preserve"> not have a clear au</w:t>
      </w:r>
      <w:r w:rsidR="00AD0377">
        <w:rPr>
          <w:rFonts w:ascii="Times New Roman" w:hAnsi="Times New Roman" w:cs="Bookman Old Style"/>
          <w:color w:val="000000"/>
          <w:szCs w:val="20"/>
        </w:rPr>
        <w:t>thor. Cryptically, “A. E. Lec</w:t>
      </w:r>
      <w:r>
        <w:rPr>
          <w:rFonts w:ascii="Times New Roman" w:hAnsi="Times New Roman" w:cs="Bookman Old Style"/>
          <w:color w:val="000000"/>
          <w:szCs w:val="20"/>
        </w:rPr>
        <w:t>hanteur Brochant</w:t>
      </w:r>
      <w:r w:rsidRPr="00717C20">
        <w:rPr>
          <w:rFonts w:ascii="Times New Roman" w:hAnsi="Times New Roman" w:cs="Bookman Old Style"/>
          <w:color w:val="000000"/>
          <w:szCs w:val="20"/>
        </w:rPr>
        <w:t>”</w:t>
      </w:r>
      <w:r>
        <w:rPr>
          <w:rFonts w:ascii="Times New Roman" w:hAnsi="Times New Roman" w:cs="Bookman Old Style"/>
          <w:color w:val="000000"/>
          <w:szCs w:val="20"/>
        </w:rPr>
        <w:t xml:space="preserve"> signed it.</w:t>
      </w:r>
      <w:r w:rsidRPr="00717C20">
        <w:rPr>
          <w:rStyle w:val="FootnoteReference"/>
          <w:rFonts w:ascii="Times New Roman" w:hAnsi="Times New Roman" w:cs="Bookman Old Style"/>
          <w:color w:val="000000"/>
          <w:szCs w:val="20"/>
        </w:rPr>
        <w:footnoteReference w:id="124"/>
      </w:r>
      <w:r>
        <w:rPr>
          <w:rFonts w:ascii="Times New Roman" w:hAnsi="Times New Roman" w:cs="Bookman Old Style"/>
          <w:color w:val="000000"/>
          <w:szCs w:val="20"/>
        </w:rPr>
        <w:t xml:space="preserve"> Perhaps</w:t>
      </w:r>
      <w:r w:rsidRPr="00717C20">
        <w:rPr>
          <w:rFonts w:ascii="Times New Roman" w:hAnsi="Times New Roman" w:cs="Bookman Old Style"/>
          <w:color w:val="000000"/>
          <w:szCs w:val="20"/>
        </w:rPr>
        <w:t xml:space="preserve"> Élisabeth Brochant, veuve Lechanteur, wrote her own letter of defense in the third person. </w:t>
      </w:r>
      <w:r>
        <w:rPr>
          <w:rFonts w:ascii="Times New Roman" w:hAnsi="Times New Roman" w:cs="Bookman Old Style"/>
          <w:color w:val="000000"/>
          <w:szCs w:val="20"/>
        </w:rPr>
        <w:t>She did</w:t>
      </w:r>
      <w:r w:rsidRPr="00717C20">
        <w:rPr>
          <w:rFonts w:ascii="Times New Roman" w:hAnsi="Times New Roman" w:cs="Bookman Old Style"/>
          <w:color w:val="000000"/>
          <w:szCs w:val="20"/>
        </w:rPr>
        <w:t xml:space="preserve"> </w:t>
      </w:r>
      <w:r>
        <w:rPr>
          <w:rFonts w:ascii="Times New Roman" w:hAnsi="Times New Roman" w:cs="Bookman Old Style"/>
          <w:color w:val="000000"/>
          <w:szCs w:val="20"/>
        </w:rPr>
        <w:t>choose</w:t>
      </w:r>
      <w:r w:rsidRPr="00717C20">
        <w:rPr>
          <w:rFonts w:ascii="Times New Roman" w:hAnsi="Times New Roman" w:cs="Bookman Old Style"/>
          <w:color w:val="000000"/>
          <w:szCs w:val="20"/>
        </w:rPr>
        <w:t xml:space="preserve"> her own lawyer</w:t>
      </w:r>
      <w:r>
        <w:rPr>
          <w:rFonts w:ascii="Times New Roman" w:hAnsi="Times New Roman" w:cs="Bookman Old Style"/>
          <w:color w:val="000000"/>
          <w:szCs w:val="20"/>
        </w:rPr>
        <w:t xml:space="preserve"> at a time when others seldom did so.</w:t>
      </w:r>
      <w:r w:rsidRPr="00717C20">
        <w:rPr>
          <w:rStyle w:val="FootnoteReference"/>
          <w:rFonts w:ascii="Times New Roman" w:hAnsi="Times New Roman" w:cs="Bookman Old Style"/>
          <w:color w:val="000000"/>
          <w:szCs w:val="20"/>
        </w:rPr>
        <w:footnoteReference w:id="125"/>
      </w:r>
      <w:r w:rsidRPr="00717C20">
        <w:rPr>
          <w:rFonts w:ascii="Times New Roman" w:hAnsi="Times New Roman" w:cs="Bookman Old Style"/>
          <w:color w:val="000000"/>
          <w:szCs w:val="20"/>
        </w:rPr>
        <w:t xml:space="preserve"> However, the additional initial, as well as the use of third person, make</w:t>
      </w:r>
      <w:r>
        <w:rPr>
          <w:rFonts w:ascii="Times New Roman" w:hAnsi="Times New Roman" w:cs="Bookman Old Style"/>
          <w:color w:val="000000"/>
          <w:szCs w:val="20"/>
        </w:rPr>
        <w:t>s</w:t>
      </w:r>
      <w:r w:rsidRPr="00717C20">
        <w:rPr>
          <w:rFonts w:ascii="Times New Roman" w:hAnsi="Times New Roman" w:cs="Bookman Old Style"/>
          <w:color w:val="000000"/>
          <w:szCs w:val="20"/>
        </w:rPr>
        <w:t xml:space="preserve"> a positiv</w:t>
      </w:r>
      <w:r>
        <w:rPr>
          <w:rFonts w:ascii="Times New Roman" w:hAnsi="Times New Roman" w:cs="Bookman Old Style"/>
          <w:color w:val="000000"/>
          <w:szCs w:val="20"/>
        </w:rPr>
        <w:t>e identification of the letter’s</w:t>
      </w:r>
      <w:r w:rsidRPr="00717C20">
        <w:rPr>
          <w:rFonts w:ascii="Times New Roman" w:hAnsi="Times New Roman" w:cs="Bookman Old Style"/>
          <w:color w:val="000000"/>
          <w:szCs w:val="20"/>
        </w:rPr>
        <w:t xml:space="preserve"> author impossible at this distance. </w:t>
      </w:r>
    </w:p>
    <w:p w:rsidR="001C5440" w:rsidRPr="00717C20" w:rsidRDefault="001C5440" w:rsidP="00525111">
      <w:pPr>
        <w:spacing w:line="480" w:lineRule="auto"/>
        <w:ind w:firstLine="720"/>
        <w:contextualSpacing/>
        <w:rPr>
          <w:rFonts w:ascii="Times New Roman" w:hAnsi="Times New Roman" w:cs="Bookman Old Style"/>
          <w:color w:val="000000"/>
          <w:szCs w:val="20"/>
        </w:rPr>
      </w:pPr>
      <w:r w:rsidRPr="00717C20">
        <w:rPr>
          <w:rFonts w:ascii="Times New Roman" w:hAnsi="Times New Roman" w:cs="Bookman Old Style"/>
          <w:color w:val="000000"/>
          <w:szCs w:val="20"/>
        </w:rPr>
        <w:t>Clearly and persuasively writ</w:t>
      </w:r>
      <w:r>
        <w:rPr>
          <w:rFonts w:ascii="Times New Roman" w:hAnsi="Times New Roman" w:cs="Bookman Old Style"/>
          <w:color w:val="000000"/>
          <w:szCs w:val="20"/>
        </w:rPr>
        <w:t>ten, the letter first emphasized</w:t>
      </w:r>
      <w:r w:rsidRPr="00717C20">
        <w:rPr>
          <w:rFonts w:ascii="Times New Roman" w:hAnsi="Times New Roman" w:cs="Bookman Old Style"/>
          <w:color w:val="000000"/>
          <w:szCs w:val="20"/>
        </w:rPr>
        <w:t xml:space="preserve"> her standing and longe</w:t>
      </w:r>
      <w:r>
        <w:rPr>
          <w:rFonts w:ascii="Times New Roman" w:hAnsi="Times New Roman" w:cs="Bookman Old Style"/>
          <w:color w:val="000000"/>
          <w:szCs w:val="20"/>
        </w:rPr>
        <w:t>vit</w:t>
      </w:r>
      <w:r w:rsidRPr="00717C20">
        <w:rPr>
          <w:rFonts w:ascii="Times New Roman" w:hAnsi="Times New Roman" w:cs="Bookman Old Style"/>
          <w:color w:val="000000"/>
          <w:szCs w:val="20"/>
        </w:rPr>
        <w:t>y in the local community. “For thirty five years she has lived in the same house, and for thirty five years she has occupied herself with doing good in her neighborhoo</w:t>
      </w:r>
      <w:r>
        <w:rPr>
          <w:rFonts w:ascii="Times New Roman" w:hAnsi="Times New Roman" w:cs="Bookman Old Style"/>
          <w:color w:val="000000"/>
          <w:szCs w:val="20"/>
        </w:rPr>
        <w:t>d.” The letter further continued by</w:t>
      </w:r>
      <w:r w:rsidRPr="00717C20">
        <w:rPr>
          <w:rFonts w:ascii="Times New Roman" w:hAnsi="Times New Roman" w:cs="Bookman Old Style"/>
          <w:color w:val="000000"/>
          <w:szCs w:val="20"/>
        </w:rPr>
        <w:t xml:space="preserve"> imploring the Tribunal that “her conduct has been always irreproachable, she h</w:t>
      </w:r>
      <w:r>
        <w:rPr>
          <w:rFonts w:ascii="Times New Roman" w:hAnsi="Times New Roman" w:cs="Bookman Old Style"/>
          <w:color w:val="000000"/>
          <w:szCs w:val="20"/>
        </w:rPr>
        <w:t>as always been ahead [</w:t>
      </w:r>
      <w:r w:rsidRPr="00467776">
        <w:rPr>
          <w:rFonts w:ascii="Times New Roman" w:hAnsi="Times New Roman" w:cs="Bookman Old Style"/>
          <w:i/>
          <w:color w:val="000000"/>
          <w:szCs w:val="20"/>
        </w:rPr>
        <w:t>au devant</w:t>
      </w:r>
      <w:r>
        <w:rPr>
          <w:rFonts w:ascii="Times New Roman" w:hAnsi="Times New Roman" w:cs="Bookman Old Style"/>
          <w:color w:val="000000"/>
          <w:szCs w:val="20"/>
        </w:rPr>
        <w:t>]</w:t>
      </w:r>
      <w:r w:rsidRPr="00717C20">
        <w:rPr>
          <w:rFonts w:ascii="Times New Roman" w:hAnsi="Times New Roman" w:cs="Bookman Old Style"/>
          <w:color w:val="000000"/>
          <w:szCs w:val="20"/>
        </w:rPr>
        <w:t xml:space="preserve"> of the needs of her </w:t>
      </w:r>
      <w:r w:rsidRPr="00717C20">
        <w:rPr>
          <w:rFonts w:ascii="Times New Roman" w:hAnsi="Times New Roman" w:cs="Bookman Old Style"/>
          <w:i/>
          <w:color w:val="000000"/>
          <w:szCs w:val="20"/>
        </w:rPr>
        <w:t xml:space="preserve">patrie” </w:t>
      </w:r>
      <w:r w:rsidRPr="00717C20">
        <w:rPr>
          <w:rFonts w:ascii="Times New Roman" w:hAnsi="Times New Roman" w:cs="Bookman Old Style"/>
          <w:color w:val="000000"/>
          <w:szCs w:val="20"/>
        </w:rPr>
        <w:t xml:space="preserve">and that “it is therefore evident that there is not a condition more unhappy or less guilty than that of </w:t>
      </w:r>
      <w:r w:rsidRPr="00717C20">
        <w:rPr>
          <w:rFonts w:ascii="Times New Roman" w:hAnsi="Times New Roman" w:cs="Bookman Old Style"/>
          <w:i/>
          <w:color w:val="000000"/>
          <w:szCs w:val="20"/>
        </w:rPr>
        <w:t>citoyenne</w:t>
      </w:r>
      <w:r>
        <w:rPr>
          <w:rFonts w:ascii="Times New Roman" w:hAnsi="Times New Roman" w:cs="Bookman Old Style"/>
          <w:color w:val="000000"/>
          <w:szCs w:val="20"/>
        </w:rPr>
        <w:t xml:space="preserve"> Brochant.” The letter ended</w:t>
      </w:r>
      <w:r w:rsidRPr="00717C20">
        <w:rPr>
          <w:rFonts w:ascii="Times New Roman" w:hAnsi="Times New Roman" w:cs="Bookman Old Style"/>
          <w:color w:val="000000"/>
          <w:szCs w:val="20"/>
        </w:rPr>
        <w:t xml:space="preserve"> with a plea for her i</w:t>
      </w:r>
      <w:r>
        <w:rPr>
          <w:rFonts w:ascii="Times New Roman" w:hAnsi="Times New Roman" w:cs="Bookman Old Style"/>
          <w:color w:val="000000"/>
          <w:szCs w:val="20"/>
        </w:rPr>
        <w:t>mmediate release so that she could</w:t>
      </w:r>
      <w:r w:rsidRPr="00717C20">
        <w:rPr>
          <w:rFonts w:ascii="Times New Roman" w:hAnsi="Times New Roman" w:cs="Bookman Old Style"/>
          <w:color w:val="000000"/>
          <w:szCs w:val="20"/>
        </w:rPr>
        <w:t xml:space="preserve"> “continue to be useful to the unfortunate.”</w:t>
      </w:r>
      <w:r w:rsidRPr="00717C20">
        <w:rPr>
          <w:rStyle w:val="FootnoteReference"/>
          <w:rFonts w:ascii="Times New Roman" w:hAnsi="Times New Roman" w:cs="Bookman Old Style"/>
          <w:color w:val="000000"/>
          <w:szCs w:val="20"/>
        </w:rPr>
        <w:t xml:space="preserve"> </w:t>
      </w:r>
      <w:r w:rsidRPr="00717C20">
        <w:rPr>
          <w:rStyle w:val="FootnoteReference"/>
          <w:rFonts w:ascii="Times New Roman" w:hAnsi="Times New Roman" w:cs="Bookman Old Style"/>
          <w:color w:val="000000"/>
          <w:szCs w:val="20"/>
        </w:rPr>
        <w:footnoteReference w:id="126"/>
      </w:r>
      <w:r w:rsidRPr="00717C20">
        <w:rPr>
          <w:rFonts w:ascii="Times New Roman" w:hAnsi="Times New Roman" w:cs="Bookman Old Style"/>
          <w:color w:val="000000"/>
          <w:szCs w:val="20"/>
        </w:rPr>
        <w:t xml:space="preserve"> Clear and succ</w:t>
      </w:r>
      <w:r>
        <w:rPr>
          <w:rFonts w:ascii="Times New Roman" w:hAnsi="Times New Roman" w:cs="Bookman Old Style"/>
          <w:color w:val="000000"/>
          <w:szCs w:val="20"/>
        </w:rPr>
        <w:t>inct, the letter focused</w:t>
      </w:r>
      <w:r w:rsidRPr="00717C20">
        <w:rPr>
          <w:rFonts w:ascii="Times New Roman" w:hAnsi="Times New Roman" w:cs="Bookman Old Style"/>
          <w:color w:val="000000"/>
          <w:szCs w:val="20"/>
        </w:rPr>
        <w:t xml:space="preserve"> on veu</w:t>
      </w:r>
      <w:r>
        <w:rPr>
          <w:rFonts w:ascii="Times New Roman" w:hAnsi="Times New Roman" w:cs="Bookman Old Style"/>
          <w:color w:val="000000"/>
          <w:szCs w:val="20"/>
        </w:rPr>
        <w:t>ve Lechanteur’s charity and ended</w:t>
      </w:r>
      <w:r w:rsidRPr="00717C20">
        <w:rPr>
          <w:rFonts w:ascii="Times New Roman" w:hAnsi="Times New Roman" w:cs="Bookman Old Style"/>
          <w:color w:val="000000"/>
          <w:szCs w:val="20"/>
        </w:rPr>
        <w:t xml:space="preserve"> with a direct appeal based on this me</w:t>
      </w:r>
      <w:r>
        <w:rPr>
          <w:rFonts w:ascii="Times New Roman" w:hAnsi="Times New Roman" w:cs="Bookman Old Style"/>
          <w:color w:val="000000"/>
          <w:szCs w:val="20"/>
        </w:rPr>
        <w:t>ssage. Although the defendant suffered from</w:t>
      </w:r>
      <w:r w:rsidRPr="00717C20">
        <w:rPr>
          <w:rFonts w:ascii="Times New Roman" w:hAnsi="Times New Roman" w:cs="Bookman Old Style"/>
          <w:color w:val="000000"/>
          <w:szCs w:val="20"/>
        </w:rPr>
        <w:t xml:space="preserve"> old</w:t>
      </w:r>
      <w:r>
        <w:rPr>
          <w:rFonts w:ascii="Times New Roman" w:hAnsi="Times New Roman" w:cs="Bookman Old Style"/>
          <w:color w:val="000000"/>
          <w:szCs w:val="20"/>
        </w:rPr>
        <w:t xml:space="preserve"> age, widowhood, and decaying health, she did</w:t>
      </w:r>
      <w:r w:rsidRPr="00717C20">
        <w:rPr>
          <w:rFonts w:ascii="Times New Roman" w:hAnsi="Times New Roman" w:cs="Bookman Old Style"/>
          <w:color w:val="000000"/>
          <w:szCs w:val="20"/>
        </w:rPr>
        <w:t xml:space="preserve"> not rely on these qualities to establish sympathy within the Tribunal. She </w:t>
      </w:r>
      <w:r>
        <w:rPr>
          <w:rFonts w:ascii="Times New Roman" w:hAnsi="Times New Roman" w:cs="Bookman Old Style"/>
          <w:color w:val="000000"/>
          <w:szCs w:val="20"/>
        </w:rPr>
        <w:t>did</w:t>
      </w:r>
      <w:r w:rsidRPr="00717C20">
        <w:rPr>
          <w:rFonts w:ascii="Times New Roman" w:hAnsi="Times New Roman" w:cs="Bookman Old Style"/>
          <w:color w:val="000000"/>
          <w:szCs w:val="20"/>
        </w:rPr>
        <w:t xml:space="preserve"> not resort to </w:t>
      </w:r>
      <w:r w:rsidRPr="00717C20">
        <w:rPr>
          <w:rFonts w:ascii="Times New Roman" w:hAnsi="Times New Roman" w:cs="Bookman Old Style"/>
          <w:color w:val="000000"/>
          <w:szCs w:val="20"/>
        </w:rPr>
        <w:lastRenderedPageBreak/>
        <w:t xml:space="preserve">gendered stereotypes or her very real frailness to </w:t>
      </w:r>
      <w:r>
        <w:rPr>
          <w:rFonts w:ascii="Times New Roman" w:hAnsi="Times New Roman" w:cs="Bookman Old Style"/>
          <w:color w:val="000000"/>
          <w:szCs w:val="20"/>
        </w:rPr>
        <w:t>harness</w:t>
      </w:r>
      <w:r w:rsidRPr="00717C20">
        <w:rPr>
          <w:rFonts w:ascii="Times New Roman" w:hAnsi="Times New Roman" w:cs="Bookman Old Style"/>
          <w:color w:val="000000"/>
          <w:szCs w:val="20"/>
        </w:rPr>
        <w:t xml:space="preserve"> attention </w:t>
      </w:r>
      <w:r>
        <w:rPr>
          <w:rFonts w:ascii="Times New Roman" w:hAnsi="Times New Roman" w:cs="Bookman Old Style"/>
          <w:color w:val="000000"/>
          <w:szCs w:val="20"/>
        </w:rPr>
        <w:t>of the Tribunal. And yet, she succeeded.</w:t>
      </w:r>
      <w:r w:rsidR="007E0037">
        <w:rPr>
          <w:rFonts w:ascii="Times New Roman" w:hAnsi="Times New Roman" w:cs="Bookman Old Style"/>
          <w:color w:val="000000"/>
          <w:szCs w:val="20"/>
        </w:rPr>
        <w:t xml:space="preserve"> </w:t>
      </w:r>
    </w:p>
    <w:p w:rsidR="001C5440" w:rsidRPr="00717C20" w:rsidRDefault="001C5440" w:rsidP="00525111">
      <w:pPr>
        <w:spacing w:line="480" w:lineRule="auto"/>
        <w:contextualSpacing/>
        <w:rPr>
          <w:rFonts w:ascii="Times New Roman" w:hAnsi="Times New Roman"/>
          <w:bCs/>
          <w:color w:val="000000"/>
        </w:rPr>
      </w:pPr>
      <w:r w:rsidRPr="00717C20">
        <w:rPr>
          <w:rFonts w:ascii="Times New Roman" w:hAnsi="Times New Roman" w:cs="Bookman Old Style"/>
          <w:color w:val="000000"/>
          <w:szCs w:val="20"/>
        </w:rPr>
        <w:tab/>
        <w:t xml:space="preserve">Her acquittal </w:t>
      </w:r>
      <w:r>
        <w:rPr>
          <w:rFonts w:ascii="Times New Roman" w:hAnsi="Times New Roman" w:cs="Bookman Old Style"/>
          <w:color w:val="000000"/>
          <w:szCs w:val="20"/>
        </w:rPr>
        <w:t>follows standard form, although the Tribunal did</w:t>
      </w:r>
      <w:r w:rsidRPr="00717C20">
        <w:rPr>
          <w:rFonts w:ascii="Times New Roman" w:hAnsi="Times New Roman" w:cs="Bookman Old Style"/>
          <w:color w:val="000000"/>
          <w:szCs w:val="20"/>
        </w:rPr>
        <w:t xml:space="preserve"> </w:t>
      </w:r>
      <w:r>
        <w:rPr>
          <w:rFonts w:ascii="Times New Roman" w:hAnsi="Times New Roman" w:cs="Bookman Old Style"/>
          <w:color w:val="000000"/>
          <w:szCs w:val="20"/>
        </w:rPr>
        <w:t>ask</w:t>
      </w:r>
      <w:r w:rsidRPr="00717C20">
        <w:rPr>
          <w:rFonts w:ascii="Times New Roman" w:hAnsi="Times New Roman" w:cs="Bookman Old Style"/>
          <w:color w:val="000000"/>
          <w:szCs w:val="20"/>
        </w:rPr>
        <w:t xml:space="preserve"> that her local community keep her under house arrest for an indeterminate period.</w:t>
      </w:r>
      <w:r w:rsidRPr="00717C20">
        <w:rPr>
          <w:rStyle w:val="FootnoteReference"/>
          <w:rFonts w:ascii="Times New Roman" w:hAnsi="Times New Roman" w:cs="Bookman Old Style"/>
          <w:color w:val="000000"/>
          <w:szCs w:val="20"/>
        </w:rPr>
        <w:footnoteReference w:id="127"/>
      </w:r>
      <w:r w:rsidRPr="00717C20">
        <w:rPr>
          <w:rFonts w:ascii="Times New Roman" w:hAnsi="Times New Roman" w:cs="Bookman Old Style"/>
          <w:color w:val="000000"/>
          <w:szCs w:val="20"/>
        </w:rPr>
        <w:t xml:space="preserve"> (It is, of course, unlikely that the local community that loved her so greatly would actually have carried this out.) However, another small scrap of paper in her dossier, only four inches square, provides great insight into her acquittal. The paper </w:t>
      </w:r>
      <w:r>
        <w:rPr>
          <w:rFonts w:ascii="Times New Roman" w:hAnsi="Times New Roman" w:cs="Bookman Old Style"/>
          <w:color w:val="000000"/>
          <w:szCs w:val="20"/>
        </w:rPr>
        <w:t>lacked a signature, but mentioned</w:t>
      </w:r>
      <w:r w:rsidRPr="00717C20">
        <w:rPr>
          <w:rFonts w:ascii="Times New Roman" w:hAnsi="Times New Roman" w:cs="Bookman Old Style"/>
          <w:color w:val="000000"/>
          <w:szCs w:val="20"/>
        </w:rPr>
        <w:t xml:space="preserve"> by name “</w:t>
      </w:r>
      <w:r w:rsidRPr="00717C20">
        <w:rPr>
          <w:rFonts w:ascii="Times New Roman" w:hAnsi="Times New Roman"/>
          <w:bCs/>
          <w:color w:val="000000"/>
          <w:szCs w:val="18"/>
        </w:rPr>
        <w:t xml:space="preserve">Coffinal”, better known as </w:t>
      </w:r>
      <w:r w:rsidRPr="00717C20">
        <w:rPr>
          <w:rFonts w:ascii="Times New Roman" w:hAnsi="Times New Roman"/>
          <w:bCs/>
          <w:color w:val="000000"/>
        </w:rPr>
        <w:t>Pierre</w:t>
      </w:r>
      <w:r w:rsidRPr="00717C20">
        <w:rPr>
          <w:rFonts w:ascii="Times New Roman" w:hAnsi="Times New Roman"/>
          <w:color w:val="000000"/>
        </w:rPr>
        <w:t>-</w:t>
      </w:r>
      <w:r w:rsidRPr="00717C20">
        <w:rPr>
          <w:rFonts w:ascii="Times New Roman" w:hAnsi="Times New Roman"/>
          <w:bCs/>
          <w:color w:val="000000"/>
        </w:rPr>
        <w:t xml:space="preserve">André Coffinhal, vice president of the Tribunal and one of Marie </w:t>
      </w:r>
      <w:r w:rsidR="00AD0377" w:rsidRPr="00717C20">
        <w:rPr>
          <w:rFonts w:ascii="Times New Roman" w:hAnsi="Times New Roman"/>
          <w:bCs/>
          <w:color w:val="000000"/>
        </w:rPr>
        <w:t>Antoinette’s</w:t>
      </w:r>
      <w:r w:rsidRPr="00717C20">
        <w:rPr>
          <w:rFonts w:ascii="Times New Roman" w:hAnsi="Times New Roman"/>
          <w:bCs/>
          <w:color w:val="000000"/>
        </w:rPr>
        <w:t xml:space="preserve"> judges.</w:t>
      </w:r>
      <w:r w:rsidR="00841642">
        <w:rPr>
          <w:rStyle w:val="FootnoteReference"/>
          <w:rFonts w:ascii="Times New Roman" w:hAnsi="Times New Roman"/>
          <w:bCs/>
          <w:color w:val="000000"/>
        </w:rPr>
        <w:footnoteReference w:id="128"/>
      </w:r>
      <w:r>
        <w:rPr>
          <w:rFonts w:ascii="Times New Roman" w:hAnsi="Times New Roman"/>
          <w:bCs/>
          <w:color w:val="000000"/>
        </w:rPr>
        <w:t xml:space="preserve"> The small scrap summarized</w:t>
      </w:r>
      <w:r w:rsidRPr="00717C20">
        <w:rPr>
          <w:rFonts w:ascii="Times New Roman" w:hAnsi="Times New Roman"/>
          <w:bCs/>
          <w:color w:val="000000"/>
        </w:rPr>
        <w:t xml:space="preserve"> the case of the widow thusly:</w:t>
      </w:r>
    </w:p>
    <w:p w:rsidR="001C5440" w:rsidRPr="00717C20" w:rsidRDefault="001C5440" w:rsidP="00525111">
      <w:pPr>
        <w:ind w:left="720" w:right="720"/>
        <w:contextualSpacing/>
        <w:rPr>
          <w:rFonts w:ascii="Times New Roman" w:hAnsi="Times New Roman"/>
          <w:bCs/>
          <w:color w:val="000000"/>
        </w:rPr>
      </w:pPr>
      <w:r w:rsidRPr="00717C20">
        <w:rPr>
          <w:rFonts w:ascii="Times New Roman" w:hAnsi="Times New Roman"/>
          <w:bCs/>
          <w:color w:val="000000"/>
        </w:rPr>
        <w:t>The widow Brochand (sic), 78, is a Jansenist and</w:t>
      </w:r>
      <w:r>
        <w:rPr>
          <w:rFonts w:ascii="Times New Roman" w:hAnsi="Times New Roman"/>
          <w:bCs/>
          <w:color w:val="000000"/>
        </w:rPr>
        <w:t xml:space="preserve"> a</w:t>
      </w:r>
      <w:r w:rsidRPr="00717C20">
        <w:rPr>
          <w:rFonts w:ascii="Times New Roman" w:hAnsi="Times New Roman"/>
          <w:bCs/>
          <w:color w:val="000000"/>
        </w:rPr>
        <w:t xml:space="preserve"> [religious] fanatic, but she doesn’t seem to me to be at all counterrevolutionary.</w:t>
      </w:r>
    </w:p>
    <w:p w:rsidR="001C5440" w:rsidRPr="00717C20" w:rsidRDefault="001C5440" w:rsidP="00525111">
      <w:pPr>
        <w:ind w:left="720" w:right="720"/>
        <w:contextualSpacing/>
        <w:rPr>
          <w:rFonts w:ascii="Times New Roman" w:hAnsi="Times New Roman"/>
          <w:bCs/>
          <w:color w:val="000000"/>
        </w:rPr>
      </w:pPr>
      <w:r w:rsidRPr="00717C20">
        <w:rPr>
          <w:rFonts w:ascii="Times New Roman" w:hAnsi="Times New Roman"/>
          <w:bCs/>
          <w:color w:val="000000"/>
        </w:rPr>
        <w:t>She is very esteemed in her section where she does a lot of good.</w:t>
      </w:r>
    </w:p>
    <w:p w:rsidR="001C5440" w:rsidRPr="00717C20" w:rsidRDefault="001C5440" w:rsidP="00525111">
      <w:pPr>
        <w:ind w:left="720" w:right="720"/>
        <w:contextualSpacing/>
        <w:rPr>
          <w:rFonts w:ascii="Times New Roman" w:hAnsi="Times New Roman"/>
          <w:bCs/>
          <w:color w:val="000000"/>
        </w:rPr>
      </w:pPr>
      <w:r w:rsidRPr="00717C20">
        <w:rPr>
          <w:rFonts w:ascii="Times New Roman" w:hAnsi="Times New Roman"/>
          <w:bCs/>
          <w:color w:val="000000"/>
        </w:rPr>
        <w:t xml:space="preserve">The </w:t>
      </w:r>
      <w:r w:rsidRPr="00717C20">
        <w:rPr>
          <w:rFonts w:ascii="Times New Roman" w:hAnsi="Times New Roman"/>
          <w:bCs/>
          <w:i/>
          <w:color w:val="000000"/>
        </w:rPr>
        <w:t>citoyen</w:t>
      </w:r>
      <w:r w:rsidRPr="00717C20">
        <w:rPr>
          <w:rFonts w:ascii="Times New Roman" w:hAnsi="Times New Roman"/>
          <w:bCs/>
          <w:color w:val="000000"/>
        </w:rPr>
        <w:t xml:space="preserve"> Coffinal (sic) thinks the same.</w:t>
      </w:r>
    </w:p>
    <w:p w:rsidR="001C5440" w:rsidRPr="00717C20" w:rsidRDefault="001C5440" w:rsidP="00525111">
      <w:pPr>
        <w:ind w:left="720" w:right="720"/>
        <w:contextualSpacing/>
        <w:rPr>
          <w:rFonts w:ascii="Times New Roman" w:hAnsi="Times New Roman"/>
          <w:szCs w:val="20"/>
        </w:rPr>
      </w:pPr>
      <w:r w:rsidRPr="00717C20">
        <w:rPr>
          <w:rFonts w:ascii="Times New Roman" w:hAnsi="Times New Roman"/>
          <w:szCs w:val="20"/>
        </w:rPr>
        <w:t>The incriminating evidence doesn’t say anything against her.</w:t>
      </w:r>
      <w:r w:rsidR="00841642" w:rsidRPr="00841642">
        <w:rPr>
          <w:rStyle w:val="FootnoteReference"/>
          <w:rFonts w:ascii="Times New Roman" w:hAnsi="Times New Roman"/>
          <w:szCs w:val="20"/>
        </w:rPr>
        <w:t xml:space="preserve"> </w:t>
      </w:r>
      <w:r w:rsidR="00841642" w:rsidRPr="00717C20">
        <w:rPr>
          <w:rStyle w:val="FootnoteReference"/>
          <w:rFonts w:ascii="Times New Roman" w:hAnsi="Times New Roman"/>
          <w:szCs w:val="20"/>
        </w:rPr>
        <w:footnoteReference w:id="129"/>
      </w:r>
    </w:p>
    <w:p w:rsidR="001C5440" w:rsidRPr="00717C20" w:rsidRDefault="001C5440" w:rsidP="00525111">
      <w:pPr>
        <w:ind w:left="720" w:right="720"/>
        <w:contextualSpacing/>
        <w:rPr>
          <w:rFonts w:ascii="Times New Roman" w:hAnsi="Times New Roman"/>
          <w:szCs w:val="20"/>
        </w:rPr>
      </w:pPr>
    </w:p>
    <w:p w:rsidR="001C5440" w:rsidRPr="00717C20" w:rsidRDefault="001C5440" w:rsidP="00525111">
      <w:pPr>
        <w:spacing w:line="480" w:lineRule="auto"/>
        <w:contextualSpacing/>
        <w:rPr>
          <w:rFonts w:ascii="Times New Roman" w:hAnsi="Times New Roman" w:cs="Bookman Old Style"/>
          <w:color w:val="000000"/>
          <w:szCs w:val="20"/>
        </w:rPr>
      </w:pPr>
      <w:r w:rsidRPr="00717C20">
        <w:rPr>
          <w:rFonts w:ascii="Times New Roman" w:hAnsi="Times New Roman"/>
          <w:szCs w:val="20"/>
        </w:rPr>
        <w:t xml:space="preserve">Clearly veuve </w:t>
      </w:r>
      <w:r w:rsidRPr="00717C20">
        <w:rPr>
          <w:rFonts w:ascii="Times New Roman" w:hAnsi="Times New Roman" w:cs="Bookman Old Style"/>
          <w:color w:val="000000"/>
          <w:szCs w:val="20"/>
        </w:rPr>
        <w:t>Lechanteur succeeded in portraying herself as a charitably minded member of her local community. Coffinhal and the anonymou</w:t>
      </w:r>
      <w:r>
        <w:rPr>
          <w:rFonts w:ascii="Times New Roman" w:hAnsi="Times New Roman" w:cs="Bookman Old Style"/>
          <w:color w:val="000000"/>
          <w:szCs w:val="20"/>
        </w:rPr>
        <w:t xml:space="preserve">s author of this small scrap could </w:t>
      </w:r>
      <w:r w:rsidRPr="00717C20">
        <w:rPr>
          <w:rFonts w:ascii="Times New Roman" w:hAnsi="Times New Roman" w:cs="Bookman Old Style"/>
          <w:color w:val="000000"/>
          <w:szCs w:val="20"/>
        </w:rPr>
        <w:t>overlook the widow’s religious and counterrevolutionary possessions in light of her charity and apparent goodw</w:t>
      </w:r>
      <w:r>
        <w:rPr>
          <w:rFonts w:ascii="Times New Roman" w:hAnsi="Times New Roman" w:cs="Bookman Old Style"/>
          <w:color w:val="000000"/>
          <w:szCs w:val="20"/>
        </w:rPr>
        <w:t>ill. The defendant’s focused, politicized</w:t>
      </w:r>
      <w:r w:rsidRPr="00717C20">
        <w:rPr>
          <w:rFonts w:ascii="Times New Roman" w:hAnsi="Times New Roman" w:cs="Bookman Old Style"/>
          <w:color w:val="000000"/>
          <w:szCs w:val="20"/>
        </w:rPr>
        <w:t xml:space="preserve"> characterization of herself proved more compelling that the public prosecutor’s equally focused and antagonist portrayal of the widow.</w:t>
      </w:r>
    </w:p>
    <w:p w:rsidR="00CB0720" w:rsidRDefault="001C5440" w:rsidP="00525111">
      <w:pPr>
        <w:spacing w:line="480" w:lineRule="auto"/>
        <w:contextualSpacing/>
        <w:rPr>
          <w:rFonts w:ascii="Times New Roman" w:hAnsi="Times New Roman" w:cs="Bookman Old Style"/>
          <w:color w:val="000000"/>
          <w:szCs w:val="20"/>
        </w:rPr>
      </w:pPr>
      <w:r w:rsidRPr="00717C20">
        <w:rPr>
          <w:rFonts w:ascii="Times New Roman" w:hAnsi="Times New Roman" w:cs="Bookman Old Style"/>
          <w:color w:val="000000"/>
          <w:szCs w:val="20"/>
        </w:rPr>
        <w:tab/>
        <w:t xml:space="preserve">The cases of femme Gallet and veuve Lechanteur each demonstrate the power of persuasion that personal letters of defense contained. These letters allowed the defendant </w:t>
      </w:r>
      <w:r w:rsidRPr="00717C20">
        <w:rPr>
          <w:rFonts w:ascii="Times New Roman" w:hAnsi="Times New Roman" w:cs="Bookman Old Style"/>
          <w:color w:val="000000"/>
          <w:szCs w:val="20"/>
        </w:rPr>
        <w:lastRenderedPageBreak/>
        <w:t xml:space="preserve">the unique opportunity to present their story to the Tribunal without the negative, moderating influence of a prosecutor. For these letters to succeed, </w:t>
      </w:r>
      <w:r>
        <w:rPr>
          <w:rFonts w:ascii="Times New Roman" w:hAnsi="Times New Roman" w:cs="Bookman Old Style"/>
          <w:color w:val="000000"/>
          <w:szCs w:val="20"/>
        </w:rPr>
        <w:t>they needed</w:t>
      </w:r>
      <w:r w:rsidRPr="00717C20">
        <w:rPr>
          <w:rFonts w:ascii="Times New Roman" w:hAnsi="Times New Roman" w:cs="Bookman Old Style"/>
          <w:color w:val="000000"/>
          <w:szCs w:val="20"/>
        </w:rPr>
        <w:t xml:space="preserve"> to emphasis </w:t>
      </w:r>
      <w:r>
        <w:rPr>
          <w:rFonts w:ascii="Times New Roman" w:hAnsi="Times New Roman" w:cs="Bookman Old Style"/>
          <w:color w:val="000000"/>
          <w:szCs w:val="20"/>
        </w:rPr>
        <w:t xml:space="preserve">and politicize </w:t>
      </w:r>
      <w:r w:rsidRPr="00717C20">
        <w:rPr>
          <w:rFonts w:ascii="Times New Roman" w:hAnsi="Times New Roman" w:cs="Bookman Old Style"/>
          <w:color w:val="000000"/>
          <w:szCs w:val="20"/>
        </w:rPr>
        <w:t>the characteristics that made the defendant dese</w:t>
      </w:r>
      <w:r>
        <w:rPr>
          <w:rFonts w:ascii="Times New Roman" w:hAnsi="Times New Roman" w:cs="Bookman Old Style"/>
          <w:color w:val="000000"/>
          <w:szCs w:val="20"/>
        </w:rPr>
        <w:t>rving of special consideration.</w:t>
      </w:r>
    </w:p>
    <w:p w:rsidR="001C5440" w:rsidRPr="00717C20" w:rsidRDefault="001C5440" w:rsidP="00525111">
      <w:pPr>
        <w:spacing w:line="480" w:lineRule="auto"/>
        <w:contextualSpacing/>
        <w:rPr>
          <w:rFonts w:ascii="Times New Roman" w:hAnsi="Times New Roman" w:cs="Bookman Old Style"/>
          <w:color w:val="000000"/>
          <w:szCs w:val="20"/>
        </w:rPr>
      </w:pPr>
    </w:p>
    <w:p w:rsidR="001C5440" w:rsidRPr="00CB0720" w:rsidRDefault="009B0728" w:rsidP="00525111">
      <w:pPr>
        <w:spacing w:line="480" w:lineRule="auto"/>
        <w:contextualSpacing/>
        <w:rPr>
          <w:rFonts w:ascii="Times New Roman" w:hAnsi="Times New Roman" w:cs="Bookman Old Style"/>
          <w:smallCaps/>
          <w:color w:val="000000"/>
          <w:szCs w:val="20"/>
        </w:rPr>
      </w:pPr>
      <w:r>
        <w:rPr>
          <w:rFonts w:ascii="Times New Roman" w:hAnsi="Times New Roman" w:cs="Bookman Old Style"/>
          <w:smallCaps/>
          <w:color w:val="000000"/>
          <w:szCs w:val="20"/>
        </w:rPr>
        <w:t>Using Logic as a Defense</w:t>
      </w:r>
    </w:p>
    <w:p w:rsidR="001C5440" w:rsidRPr="00717C20" w:rsidRDefault="001C5440" w:rsidP="00AF24B0">
      <w:pPr>
        <w:spacing w:line="480" w:lineRule="auto"/>
        <w:contextualSpacing/>
        <w:rPr>
          <w:rFonts w:ascii="Times New Roman" w:hAnsi="Times New Roman" w:cs="Bookman Old Style"/>
          <w:color w:val="000000"/>
          <w:szCs w:val="20"/>
        </w:rPr>
      </w:pPr>
      <w:r w:rsidRPr="00717C20">
        <w:rPr>
          <w:rFonts w:ascii="Times New Roman" w:hAnsi="Times New Roman" w:cs="Bookman Old Style"/>
          <w:color w:val="000000"/>
          <w:szCs w:val="20"/>
        </w:rPr>
        <w:tab/>
        <w:t xml:space="preserve">Up to this point, </w:t>
      </w:r>
      <w:r>
        <w:rPr>
          <w:rFonts w:ascii="Times New Roman" w:hAnsi="Times New Roman" w:cs="Bookman Old Style"/>
          <w:color w:val="000000"/>
          <w:szCs w:val="20"/>
        </w:rPr>
        <w:t xml:space="preserve">I have focused </w:t>
      </w:r>
      <w:r w:rsidRPr="00717C20">
        <w:rPr>
          <w:rFonts w:ascii="Times New Roman" w:hAnsi="Times New Roman" w:cs="Bookman Old Style"/>
          <w:color w:val="000000"/>
          <w:szCs w:val="20"/>
        </w:rPr>
        <w:t>most of the</w:t>
      </w:r>
      <w:r>
        <w:rPr>
          <w:rFonts w:ascii="Times New Roman" w:hAnsi="Times New Roman" w:cs="Bookman Old Style"/>
          <w:color w:val="000000"/>
          <w:szCs w:val="20"/>
        </w:rPr>
        <w:t xml:space="preserve"> discussion of women’s defense</w:t>
      </w:r>
      <w:r w:rsidRPr="00717C20">
        <w:rPr>
          <w:rFonts w:ascii="Times New Roman" w:hAnsi="Times New Roman" w:cs="Bookman Old Style"/>
          <w:color w:val="000000"/>
          <w:szCs w:val="20"/>
        </w:rPr>
        <w:t xml:space="preserve"> on instances where certain methods and forms of defense effectively influenced the Tribunal’s eventual judgment</w:t>
      </w:r>
      <w:r>
        <w:rPr>
          <w:rFonts w:ascii="Times New Roman" w:hAnsi="Times New Roman" w:cs="Bookman Old Style"/>
          <w:color w:val="000000"/>
          <w:szCs w:val="20"/>
        </w:rPr>
        <w:t>. Unfortunately, these cases were</w:t>
      </w:r>
      <w:r w:rsidRPr="00717C20">
        <w:rPr>
          <w:rFonts w:ascii="Times New Roman" w:hAnsi="Times New Roman" w:cs="Bookman Old Style"/>
          <w:color w:val="000000"/>
          <w:szCs w:val="20"/>
        </w:rPr>
        <w:t xml:space="preserve"> relatively few and far between in the trial record. Instead, the historian must come to grips with the fact that very few women </w:t>
      </w:r>
      <w:r>
        <w:rPr>
          <w:rFonts w:ascii="Times New Roman" w:hAnsi="Times New Roman" w:cs="Bookman Old Style"/>
          <w:color w:val="000000"/>
          <w:szCs w:val="20"/>
        </w:rPr>
        <w:t>formulated</w:t>
      </w:r>
      <w:r w:rsidRPr="00717C20">
        <w:rPr>
          <w:rFonts w:ascii="Times New Roman" w:hAnsi="Times New Roman" w:cs="Bookman Old Style"/>
          <w:color w:val="000000"/>
          <w:szCs w:val="20"/>
        </w:rPr>
        <w:t xml:space="preserve"> any form of defense, and those that did</w:t>
      </w:r>
      <w:r>
        <w:rPr>
          <w:rFonts w:ascii="Times New Roman" w:hAnsi="Times New Roman" w:cs="Bookman Old Style"/>
          <w:color w:val="000000"/>
          <w:szCs w:val="20"/>
        </w:rPr>
        <w:t xml:space="preserve"> so</w:t>
      </w:r>
      <w:r w:rsidRPr="00717C20">
        <w:rPr>
          <w:rFonts w:ascii="Times New Roman" w:hAnsi="Times New Roman" w:cs="Bookman Old Style"/>
          <w:color w:val="000000"/>
          <w:szCs w:val="20"/>
        </w:rPr>
        <w:t xml:space="preserve"> often chose a mode of defense unsuitable to the Tribunal’s unique biases. Defenses, for instance, based upon a logical refutation of the charges against the defendant </w:t>
      </w:r>
      <w:r>
        <w:rPr>
          <w:rFonts w:ascii="Times New Roman" w:hAnsi="Times New Roman" w:cs="Bookman Old Style"/>
          <w:color w:val="000000"/>
          <w:szCs w:val="20"/>
        </w:rPr>
        <w:t>seldom swayed the Tribunal</w:t>
      </w:r>
      <w:r w:rsidRPr="00717C20">
        <w:rPr>
          <w:rFonts w:ascii="Times New Roman" w:hAnsi="Times New Roman" w:cs="Bookman Old Style"/>
          <w:color w:val="000000"/>
          <w:szCs w:val="20"/>
        </w:rPr>
        <w:t xml:space="preserve">. </w:t>
      </w:r>
      <w:r>
        <w:rPr>
          <w:rFonts w:ascii="Times New Roman" w:hAnsi="Times New Roman" w:cs="Bookman Old Style"/>
          <w:color w:val="000000"/>
          <w:szCs w:val="20"/>
        </w:rPr>
        <w:t>Arguments constructed</w:t>
      </w:r>
      <w:r w:rsidRPr="00717C20">
        <w:rPr>
          <w:rFonts w:ascii="Times New Roman" w:hAnsi="Times New Roman" w:cs="Bookman Old Style"/>
          <w:color w:val="000000"/>
          <w:szCs w:val="20"/>
        </w:rPr>
        <w:t xml:space="preserve"> upon procedural irregularities in the legal process </w:t>
      </w:r>
      <w:r>
        <w:rPr>
          <w:rFonts w:ascii="Times New Roman" w:hAnsi="Times New Roman" w:cs="Bookman Old Style"/>
          <w:color w:val="000000"/>
          <w:szCs w:val="20"/>
        </w:rPr>
        <w:t>suffered a similar fate</w:t>
      </w:r>
      <w:r w:rsidRPr="00717C20">
        <w:rPr>
          <w:rFonts w:ascii="Times New Roman" w:hAnsi="Times New Roman" w:cs="Bookman Old Style"/>
          <w:color w:val="000000"/>
          <w:szCs w:val="20"/>
        </w:rPr>
        <w:t xml:space="preserve">. These </w:t>
      </w:r>
      <w:r>
        <w:rPr>
          <w:rFonts w:ascii="Times New Roman" w:hAnsi="Times New Roman" w:cs="Bookman Old Style"/>
          <w:color w:val="000000"/>
          <w:szCs w:val="20"/>
        </w:rPr>
        <w:t>forms</w:t>
      </w:r>
      <w:r w:rsidRPr="00717C20">
        <w:rPr>
          <w:rFonts w:ascii="Times New Roman" w:hAnsi="Times New Roman" w:cs="Bookman Old Style"/>
          <w:color w:val="000000"/>
          <w:szCs w:val="20"/>
        </w:rPr>
        <w:t xml:space="preserve"> of defenses did not capture the hearts and imaginations of the judges and jurors of the Tribunal. In short, the Tribunal </w:t>
      </w:r>
      <w:r>
        <w:rPr>
          <w:rFonts w:ascii="Times New Roman" w:hAnsi="Times New Roman" w:cs="Bookman Old Style"/>
          <w:color w:val="000000"/>
          <w:szCs w:val="20"/>
        </w:rPr>
        <w:t>rarely</w:t>
      </w:r>
      <w:r w:rsidRPr="00717C20">
        <w:rPr>
          <w:rFonts w:ascii="Times New Roman" w:hAnsi="Times New Roman" w:cs="Bookman Old Style"/>
          <w:color w:val="000000"/>
          <w:szCs w:val="20"/>
        </w:rPr>
        <w:t xml:space="preserve"> gave</w:t>
      </w:r>
      <w:r>
        <w:rPr>
          <w:rFonts w:ascii="Times New Roman" w:hAnsi="Times New Roman" w:cs="Bookman Old Style"/>
          <w:color w:val="000000"/>
          <w:szCs w:val="20"/>
        </w:rPr>
        <w:t xml:space="preserve"> </w:t>
      </w:r>
      <w:r w:rsidRPr="00717C20">
        <w:rPr>
          <w:rFonts w:ascii="Times New Roman" w:hAnsi="Times New Roman" w:cs="Bookman Old Style"/>
          <w:color w:val="000000"/>
          <w:szCs w:val="20"/>
        </w:rPr>
        <w:t>special regard</w:t>
      </w:r>
      <w:r>
        <w:rPr>
          <w:rFonts w:ascii="Times New Roman" w:hAnsi="Times New Roman" w:cs="Bookman Old Style"/>
          <w:color w:val="000000"/>
          <w:szCs w:val="20"/>
        </w:rPr>
        <w:t xml:space="preserve"> to</w:t>
      </w:r>
      <w:r w:rsidRPr="00717C20">
        <w:rPr>
          <w:rFonts w:ascii="Times New Roman" w:hAnsi="Times New Roman" w:cs="Bookman Old Style"/>
          <w:color w:val="000000"/>
          <w:szCs w:val="20"/>
        </w:rPr>
        <w:t xml:space="preserve"> women who used forms of defense that did not attempt to </w:t>
      </w:r>
      <w:r>
        <w:rPr>
          <w:rFonts w:ascii="Times New Roman" w:hAnsi="Times New Roman" w:cs="Bookman Old Style"/>
          <w:color w:val="000000"/>
          <w:szCs w:val="20"/>
        </w:rPr>
        <w:t>personalize or politicize</w:t>
      </w:r>
      <w:r w:rsidRPr="00717C20">
        <w:rPr>
          <w:rFonts w:ascii="Times New Roman" w:hAnsi="Times New Roman" w:cs="Bookman Old Style"/>
          <w:color w:val="000000"/>
          <w:szCs w:val="20"/>
        </w:rPr>
        <w:t xml:space="preserve"> </w:t>
      </w:r>
      <w:r>
        <w:rPr>
          <w:rFonts w:ascii="Times New Roman" w:hAnsi="Times New Roman" w:cs="Bookman Old Style"/>
          <w:color w:val="000000"/>
          <w:szCs w:val="20"/>
        </w:rPr>
        <w:t>the defendant</w:t>
      </w:r>
      <w:r w:rsidRPr="00717C20">
        <w:rPr>
          <w:rFonts w:ascii="Times New Roman" w:hAnsi="Times New Roman" w:cs="Bookman Old Style"/>
          <w:color w:val="000000"/>
          <w:szCs w:val="20"/>
        </w:rPr>
        <w:t xml:space="preserve">. A logical account refuting the accusations brought against the defendant in no way endeared </w:t>
      </w:r>
      <w:r>
        <w:rPr>
          <w:rFonts w:ascii="Times New Roman" w:hAnsi="Times New Roman" w:cs="Bookman Old Style"/>
          <w:color w:val="000000"/>
          <w:szCs w:val="20"/>
        </w:rPr>
        <w:t>a defendant</w:t>
      </w:r>
      <w:r w:rsidRPr="00717C20">
        <w:rPr>
          <w:rFonts w:ascii="Times New Roman" w:hAnsi="Times New Roman" w:cs="Bookman Old Style"/>
          <w:color w:val="000000"/>
          <w:szCs w:val="20"/>
        </w:rPr>
        <w:t xml:space="preserve"> to the Tribunal. </w:t>
      </w:r>
    </w:p>
    <w:p w:rsidR="001C5440" w:rsidRPr="00717C20" w:rsidRDefault="001C5440" w:rsidP="00525111">
      <w:pPr>
        <w:spacing w:line="480" w:lineRule="auto"/>
        <w:ind w:firstLine="720"/>
        <w:contextualSpacing/>
        <w:rPr>
          <w:rFonts w:ascii="Times New Roman" w:hAnsi="Times New Roman"/>
        </w:rPr>
      </w:pPr>
      <w:r w:rsidRPr="00717C20">
        <w:rPr>
          <w:rFonts w:ascii="Times New Roman" w:hAnsi="Times New Roman"/>
        </w:rPr>
        <w:t xml:space="preserve">Take, for instance, the style of defense favored by the former marquise, </w:t>
      </w:r>
      <w:r w:rsidRPr="00717C20">
        <w:rPr>
          <w:rFonts w:ascii="Times New Roman" w:hAnsi="Times New Roman" w:cs="Bookman Old Style"/>
          <w:color w:val="000000"/>
          <w:szCs w:val="20"/>
        </w:rPr>
        <w:t>Anne-Michelle de Marbeuf.</w:t>
      </w:r>
      <w:r w:rsidRPr="00717C20">
        <w:rPr>
          <w:rFonts w:ascii="Times New Roman" w:hAnsi="Times New Roman"/>
        </w:rPr>
        <w:t xml:space="preserve"> After </w:t>
      </w:r>
      <w:r>
        <w:rPr>
          <w:rFonts w:ascii="Times New Roman" w:hAnsi="Times New Roman"/>
        </w:rPr>
        <w:t xml:space="preserve">the Tribunal </w:t>
      </w:r>
      <w:r w:rsidRPr="00717C20">
        <w:rPr>
          <w:rFonts w:ascii="Times New Roman" w:hAnsi="Times New Roman"/>
        </w:rPr>
        <w:t>arrested</w:t>
      </w:r>
      <w:r>
        <w:rPr>
          <w:rFonts w:ascii="Times New Roman" w:hAnsi="Times New Roman"/>
        </w:rPr>
        <w:t xml:space="preserve"> her</w:t>
      </w:r>
      <w:r w:rsidRPr="00717C20">
        <w:rPr>
          <w:rFonts w:ascii="Times New Roman" w:hAnsi="Times New Roman"/>
        </w:rPr>
        <w:t xml:space="preserve"> on 1 November 1793, the widow de Marbeuf filed no less than six letters and memoranda in defense before her trial in </w:t>
      </w:r>
      <w:r w:rsidRPr="00717C20">
        <w:rPr>
          <w:rFonts w:ascii="Times New Roman" w:hAnsi="Times New Roman"/>
        </w:rPr>
        <w:lastRenderedPageBreak/>
        <w:t>February 1794.</w:t>
      </w:r>
      <w:r w:rsidRPr="00717C20">
        <w:rPr>
          <w:rStyle w:val="FootnoteReference"/>
          <w:rFonts w:ascii="Times New Roman" w:hAnsi="Times New Roman"/>
        </w:rPr>
        <w:footnoteReference w:id="130"/>
      </w:r>
      <w:r>
        <w:rPr>
          <w:rFonts w:ascii="Times New Roman" w:hAnsi="Times New Roman"/>
        </w:rPr>
        <w:t xml:space="preserve"> The Tribunal charged</w:t>
      </w:r>
      <w:r w:rsidRPr="00717C20">
        <w:rPr>
          <w:rFonts w:ascii="Times New Roman" w:hAnsi="Times New Roman"/>
        </w:rPr>
        <w:t xml:space="preserve"> Marbeuf</w:t>
      </w:r>
      <w:r>
        <w:rPr>
          <w:rFonts w:ascii="Times New Roman" w:hAnsi="Times New Roman"/>
        </w:rPr>
        <w:t>,</w:t>
      </w:r>
      <w:r w:rsidRPr="00AF24B0">
        <w:rPr>
          <w:rFonts w:ascii="Times New Roman" w:hAnsi="Times New Roman"/>
        </w:rPr>
        <w:t xml:space="preserve"> </w:t>
      </w:r>
      <w:r>
        <w:rPr>
          <w:rFonts w:ascii="Times New Roman" w:hAnsi="Times New Roman"/>
        </w:rPr>
        <w:t>t</w:t>
      </w:r>
      <w:r w:rsidRPr="00717C20">
        <w:rPr>
          <w:rFonts w:ascii="Times New Roman" w:hAnsi="Times New Roman"/>
        </w:rPr>
        <w:t xml:space="preserve">he sole owner and manager of several farms </w:t>
      </w:r>
      <w:r>
        <w:rPr>
          <w:rFonts w:ascii="Times New Roman" w:hAnsi="Times New Roman"/>
        </w:rPr>
        <w:t>near Paris,</w:t>
      </w:r>
      <w:r w:rsidRPr="00717C20">
        <w:rPr>
          <w:rFonts w:ascii="Times New Roman" w:hAnsi="Times New Roman"/>
        </w:rPr>
        <w:t xml:space="preserve"> o</w:t>
      </w:r>
      <w:r>
        <w:rPr>
          <w:rFonts w:ascii="Times New Roman" w:hAnsi="Times New Roman"/>
        </w:rPr>
        <w:t>f hoarding. Although Marbeuf</w:t>
      </w:r>
      <w:r w:rsidRPr="00717C20">
        <w:rPr>
          <w:rFonts w:ascii="Times New Roman" w:hAnsi="Times New Roman"/>
        </w:rPr>
        <w:t xml:space="preserve"> characterize</w:t>
      </w:r>
      <w:r>
        <w:rPr>
          <w:rFonts w:ascii="Times New Roman" w:hAnsi="Times New Roman"/>
        </w:rPr>
        <w:t>d</w:t>
      </w:r>
      <w:r w:rsidRPr="00717C20">
        <w:rPr>
          <w:rFonts w:ascii="Times New Roman" w:hAnsi="Times New Roman"/>
        </w:rPr>
        <w:t xml:space="preserve"> herself as a “victim of the most absurd calumny,” and “a woman being unjustly persecuted,” the majority o</w:t>
      </w:r>
      <w:r>
        <w:rPr>
          <w:rFonts w:ascii="Times New Roman" w:hAnsi="Times New Roman"/>
        </w:rPr>
        <w:t xml:space="preserve">f her many defense documents </w:t>
      </w:r>
      <w:r w:rsidRPr="00717C20">
        <w:rPr>
          <w:rFonts w:ascii="Times New Roman" w:hAnsi="Times New Roman"/>
        </w:rPr>
        <w:t xml:space="preserve">focused on a methodical and logical refutation of the </w:t>
      </w:r>
      <w:r>
        <w:rPr>
          <w:rFonts w:ascii="Times New Roman" w:hAnsi="Times New Roman"/>
        </w:rPr>
        <w:t>hoarding charge</w:t>
      </w:r>
      <w:r w:rsidRPr="00717C20">
        <w:rPr>
          <w:rFonts w:ascii="Times New Roman" w:hAnsi="Times New Roman"/>
        </w:rPr>
        <w:t>.</w:t>
      </w:r>
      <w:r w:rsidRPr="00717C20">
        <w:rPr>
          <w:rStyle w:val="FootnoteReference"/>
          <w:rFonts w:ascii="Times New Roman" w:hAnsi="Times New Roman"/>
        </w:rPr>
        <w:footnoteReference w:id="131"/>
      </w:r>
      <w:r>
        <w:rPr>
          <w:rFonts w:ascii="Times New Roman" w:hAnsi="Times New Roman"/>
        </w:rPr>
        <w:t xml:space="preserve"> She discussed specific</w:t>
      </w:r>
      <w:r w:rsidRPr="00717C20">
        <w:rPr>
          <w:rFonts w:ascii="Times New Roman" w:hAnsi="Times New Roman"/>
        </w:rPr>
        <w:t xml:space="preserve"> de</w:t>
      </w:r>
      <w:r>
        <w:rPr>
          <w:rFonts w:ascii="Times New Roman" w:hAnsi="Times New Roman"/>
        </w:rPr>
        <w:t>tails, such as her farm’s accounts,</w:t>
      </w:r>
      <w:r w:rsidRPr="00717C20">
        <w:rPr>
          <w:rFonts w:ascii="Times New Roman" w:hAnsi="Times New Roman"/>
        </w:rPr>
        <w:t xml:space="preserve"> the numbe</w:t>
      </w:r>
      <w:r>
        <w:rPr>
          <w:rFonts w:ascii="Times New Roman" w:hAnsi="Times New Roman"/>
        </w:rPr>
        <w:t xml:space="preserve">r of people she employs, and </w:t>
      </w:r>
      <w:r w:rsidRPr="00717C20">
        <w:rPr>
          <w:rFonts w:ascii="Times New Roman" w:hAnsi="Times New Roman"/>
        </w:rPr>
        <w:t>her relationship with her accusers.</w:t>
      </w:r>
    </w:p>
    <w:p w:rsidR="001C5440" w:rsidRPr="00717C20" w:rsidRDefault="001C5440" w:rsidP="00525111">
      <w:pPr>
        <w:spacing w:line="480" w:lineRule="auto"/>
        <w:ind w:firstLine="720"/>
        <w:contextualSpacing/>
        <w:rPr>
          <w:rFonts w:ascii="Times New Roman" w:hAnsi="Times New Roman"/>
        </w:rPr>
      </w:pPr>
      <w:r>
        <w:rPr>
          <w:rFonts w:ascii="Times New Roman" w:hAnsi="Times New Roman"/>
        </w:rPr>
        <w:t xml:space="preserve">Further, Marbeuf wrote and had </w:t>
      </w:r>
      <w:r w:rsidRPr="00717C20">
        <w:rPr>
          <w:rFonts w:ascii="Times New Roman" w:hAnsi="Times New Roman"/>
        </w:rPr>
        <w:t xml:space="preserve">printed </w:t>
      </w:r>
      <w:r>
        <w:rPr>
          <w:rFonts w:ascii="Times New Roman" w:hAnsi="Times New Roman"/>
        </w:rPr>
        <w:t xml:space="preserve">a twenty-one page pamphlet </w:t>
      </w:r>
      <w:r w:rsidRPr="00717C20">
        <w:rPr>
          <w:rFonts w:ascii="Times New Roman" w:hAnsi="Times New Roman"/>
        </w:rPr>
        <w:t>outlining the main arguments of her defense.</w:t>
      </w:r>
      <w:r w:rsidRPr="00717C20">
        <w:rPr>
          <w:rStyle w:val="FootnoteReference"/>
          <w:rFonts w:ascii="Times New Roman" w:hAnsi="Times New Roman"/>
        </w:rPr>
        <w:footnoteReference w:id="132"/>
      </w:r>
      <w:r w:rsidRPr="00717C20">
        <w:rPr>
          <w:rFonts w:ascii="Times New Roman" w:hAnsi="Times New Roman"/>
        </w:rPr>
        <w:t xml:space="preserve"> The pamphlet</w:t>
      </w:r>
      <w:r>
        <w:rPr>
          <w:rFonts w:ascii="Times New Roman" w:hAnsi="Times New Roman"/>
        </w:rPr>
        <w:t xml:space="preserve"> systematically listed</w:t>
      </w:r>
      <w:r w:rsidRPr="00717C20">
        <w:rPr>
          <w:rFonts w:ascii="Times New Roman" w:hAnsi="Times New Roman"/>
        </w:rPr>
        <w:t xml:space="preserve"> </w:t>
      </w:r>
      <w:r>
        <w:rPr>
          <w:rFonts w:ascii="Times New Roman" w:hAnsi="Times New Roman"/>
        </w:rPr>
        <w:t>the multiple charges against Marbeuf and countered</w:t>
      </w:r>
      <w:r w:rsidRPr="00717C20">
        <w:rPr>
          <w:rFonts w:ascii="Times New Roman" w:hAnsi="Times New Roman"/>
        </w:rPr>
        <w:t xml:space="preserve"> each one directly. For instance, one example of the widow’s “hoarding” is her non-declaration of a variety of building materials found on her property. Invoking a nuanced understanding </w:t>
      </w:r>
      <w:r>
        <w:rPr>
          <w:rFonts w:ascii="Times New Roman" w:hAnsi="Times New Roman"/>
        </w:rPr>
        <w:t>of the law, she contended</w:t>
      </w:r>
      <w:r w:rsidRPr="00717C20">
        <w:rPr>
          <w:rFonts w:ascii="Times New Roman" w:hAnsi="Times New Roman"/>
        </w:rPr>
        <w:t xml:space="preserve"> that “[the widow] was not obligated to declare the lead, copper, iron, boards, and wood found with her…</w:t>
      </w:r>
      <w:r>
        <w:rPr>
          <w:rFonts w:ascii="Times New Roman" w:hAnsi="Times New Roman"/>
        </w:rPr>
        <w:t>[T</w:t>
      </w:r>
      <w:r w:rsidRPr="00717C20">
        <w:rPr>
          <w:rFonts w:ascii="Times New Roman" w:hAnsi="Times New Roman"/>
        </w:rPr>
        <w:t>hey] are necessary for the construction of a cotton spinning factory, and even they are not sufficient for this immense enterprise.”</w:t>
      </w:r>
      <w:r w:rsidRPr="00717C20">
        <w:rPr>
          <w:rStyle w:val="FootnoteReference"/>
          <w:rFonts w:ascii="Times New Roman" w:hAnsi="Times New Roman"/>
        </w:rPr>
        <w:footnoteReference w:id="133"/>
      </w:r>
      <w:r w:rsidRPr="00717C20">
        <w:rPr>
          <w:rFonts w:ascii="Times New Roman" w:hAnsi="Times New Roman"/>
        </w:rPr>
        <w:t xml:space="preserve"> </w:t>
      </w:r>
      <w:r>
        <w:rPr>
          <w:rFonts w:ascii="Times New Roman" w:hAnsi="Times New Roman"/>
        </w:rPr>
        <w:t>The widow employed t</w:t>
      </w:r>
      <w:r w:rsidRPr="00717C20">
        <w:rPr>
          <w:rFonts w:ascii="Times New Roman" w:hAnsi="Times New Roman"/>
        </w:rPr>
        <w:t xml:space="preserve">his same </w:t>
      </w:r>
      <w:r>
        <w:rPr>
          <w:rFonts w:ascii="Times New Roman" w:hAnsi="Times New Roman"/>
        </w:rPr>
        <w:t xml:space="preserve">style of defense to refute </w:t>
      </w:r>
      <w:r w:rsidRPr="00717C20">
        <w:rPr>
          <w:rFonts w:ascii="Times New Roman" w:hAnsi="Times New Roman"/>
        </w:rPr>
        <w:t xml:space="preserve">other specific charges leveled against her. </w:t>
      </w:r>
    </w:p>
    <w:p w:rsidR="001C5440" w:rsidRPr="00717C20" w:rsidRDefault="001C5440" w:rsidP="00525111">
      <w:pPr>
        <w:spacing w:line="480" w:lineRule="auto"/>
        <w:ind w:firstLine="720"/>
        <w:contextualSpacing/>
        <w:rPr>
          <w:rFonts w:ascii="Times New Roman" w:hAnsi="Times New Roman"/>
        </w:rPr>
      </w:pPr>
      <w:r>
        <w:rPr>
          <w:rFonts w:ascii="Times New Roman" w:hAnsi="Times New Roman"/>
        </w:rPr>
        <w:t>The verdict—guilty—confirmed</w:t>
      </w:r>
      <w:r w:rsidRPr="00717C20">
        <w:rPr>
          <w:rFonts w:ascii="Times New Roman" w:hAnsi="Times New Roman"/>
        </w:rPr>
        <w:t xml:space="preserve"> many of the Tribunal’s systematic biases</w:t>
      </w:r>
      <w:r>
        <w:rPr>
          <w:rFonts w:ascii="Times New Roman" w:hAnsi="Times New Roman"/>
        </w:rPr>
        <w:t xml:space="preserve">. Marbeuf, an independent noblewoman, controlled </w:t>
      </w:r>
      <w:r w:rsidRPr="00717C20">
        <w:rPr>
          <w:rFonts w:ascii="Times New Roman" w:hAnsi="Times New Roman"/>
        </w:rPr>
        <w:t>vast tracts of land just to the east of Paris.</w:t>
      </w:r>
      <w:r w:rsidRPr="00717C20">
        <w:rPr>
          <w:rStyle w:val="FootnoteReference"/>
          <w:rFonts w:ascii="Times New Roman" w:hAnsi="Times New Roman"/>
        </w:rPr>
        <w:footnoteReference w:id="134"/>
      </w:r>
      <w:r>
        <w:rPr>
          <w:rFonts w:ascii="Times New Roman" w:hAnsi="Times New Roman"/>
        </w:rPr>
        <w:t xml:space="preserve"> Her influence, wealth, and social class made her immediately suspect to the Tribunal. However, her combative, direct method of defense reinforced the Tribunal’s prejudices.</w:t>
      </w:r>
      <w:r w:rsidRPr="00717C20">
        <w:rPr>
          <w:rFonts w:ascii="Times New Roman" w:hAnsi="Times New Roman"/>
        </w:rPr>
        <w:t xml:space="preserve"> When interrogated by the Tribunal about the management of her farms, </w:t>
      </w:r>
      <w:r w:rsidRPr="00717C20">
        <w:rPr>
          <w:rFonts w:ascii="Times New Roman" w:hAnsi="Times New Roman"/>
        </w:rPr>
        <w:lastRenderedPageBreak/>
        <w:t>Marbeuf responded</w:t>
      </w:r>
      <w:r>
        <w:rPr>
          <w:rFonts w:ascii="Times New Roman" w:hAnsi="Times New Roman"/>
        </w:rPr>
        <w:t xml:space="preserve"> that</w:t>
      </w:r>
      <w:r w:rsidRPr="00717C20">
        <w:rPr>
          <w:rFonts w:ascii="Times New Roman" w:hAnsi="Times New Roman"/>
        </w:rPr>
        <w:t xml:space="preserve"> “she is the master and can dispose of her lands how she sees best.”</w:t>
      </w:r>
      <w:r w:rsidRPr="00717C20">
        <w:rPr>
          <w:rStyle w:val="FootnoteReference"/>
          <w:rFonts w:ascii="Times New Roman" w:hAnsi="Times New Roman"/>
        </w:rPr>
        <w:footnoteReference w:id="135"/>
      </w:r>
      <w:r w:rsidRPr="00717C20">
        <w:rPr>
          <w:rFonts w:ascii="Times New Roman" w:hAnsi="Times New Roman"/>
        </w:rPr>
        <w:t xml:space="preserve"> The widow’s very real power, in addition to her logical but emotionless style of defense, all but assured the Tribunal’s</w:t>
      </w:r>
      <w:r>
        <w:rPr>
          <w:rFonts w:ascii="Times New Roman" w:hAnsi="Times New Roman"/>
        </w:rPr>
        <w:t xml:space="preserve"> final</w:t>
      </w:r>
      <w:r w:rsidRPr="00717C20">
        <w:rPr>
          <w:rFonts w:ascii="Times New Roman" w:hAnsi="Times New Roman"/>
        </w:rPr>
        <w:t xml:space="preserve"> verdict.</w:t>
      </w:r>
    </w:p>
    <w:p w:rsidR="001C5440" w:rsidRPr="00717C20" w:rsidRDefault="001C5440" w:rsidP="00586190">
      <w:pPr>
        <w:spacing w:line="480" w:lineRule="auto"/>
        <w:ind w:firstLine="720"/>
        <w:contextualSpacing/>
        <w:rPr>
          <w:rFonts w:ascii="Times New Roman" w:hAnsi="Times New Roman"/>
          <w:szCs w:val="20"/>
        </w:rPr>
      </w:pPr>
      <w:r>
        <w:rPr>
          <w:rFonts w:ascii="Times New Roman" w:hAnsi="Times New Roman"/>
          <w:szCs w:val="20"/>
        </w:rPr>
        <w:t xml:space="preserve">Most women who employed a logical form of defense faced a similar fate to the widow de Marbeuf. Claire Nantiat, for instance, </w:t>
      </w:r>
      <w:r w:rsidRPr="00C50E46">
        <w:rPr>
          <w:rFonts w:ascii="Times New Roman" w:hAnsi="Times New Roman"/>
        </w:rPr>
        <w:t>claimed that she could not be held responsible for the laws against possession of certain religious objects becau</w:t>
      </w:r>
      <w:r>
        <w:rPr>
          <w:rFonts w:ascii="Times New Roman" w:hAnsi="Times New Roman"/>
        </w:rPr>
        <w:t xml:space="preserve">se her local government never read the law aloud </w:t>
      </w:r>
      <w:r w:rsidRPr="00C50E46">
        <w:rPr>
          <w:rFonts w:ascii="Times New Roman" w:hAnsi="Times New Roman"/>
        </w:rPr>
        <w:t xml:space="preserve">in her community. </w:t>
      </w:r>
      <w:r>
        <w:rPr>
          <w:rFonts w:ascii="Times New Roman" w:hAnsi="Times New Roman"/>
        </w:rPr>
        <w:t>Although technically true, the Tribunal</w:t>
      </w:r>
      <w:r w:rsidRPr="00C50E46">
        <w:rPr>
          <w:rFonts w:ascii="Times New Roman" w:hAnsi="Times New Roman"/>
        </w:rPr>
        <w:t xml:space="preserve"> did not believe this to be sufficient reason to find the defendant innocent.</w:t>
      </w:r>
      <w:r w:rsidRPr="00586190">
        <w:rPr>
          <w:rStyle w:val="FootnoteReference"/>
          <w:rFonts w:ascii="Times New Roman" w:hAnsi="Times New Roman"/>
          <w:szCs w:val="20"/>
        </w:rPr>
        <w:t xml:space="preserve"> </w:t>
      </w:r>
      <w:r w:rsidRPr="00717C20">
        <w:rPr>
          <w:rStyle w:val="FootnoteReference"/>
          <w:rFonts w:ascii="Times New Roman" w:hAnsi="Times New Roman"/>
          <w:szCs w:val="20"/>
        </w:rPr>
        <w:footnoteReference w:id="136"/>
      </w:r>
      <w:r>
        <w:rPr>
          <w:rStyle w:val="FootnoteReference"/>
          <w:rFonts w:ascii="Times New Roman" w:hAnsi="Times New Roman"/>
          <w:szCs w:val="20"/>
        </w:rPr>
        <w:t xml:space="preserve"> </w:t>
      </w:r>
      <w:r>
        <w:rPr>
          <w:rFonts w:ascii="Times New Roman" w:hAnsi="Times New Roman"/>
          <w:szCs w:val="20"/>
        </w:rPr>
        <w:t>However,</w:t>
      </w:r>
      <w:r w:rsidRPr="00717C20">
        <w:rPr>
          <w:rFonts w:ascii="Times New Roman" w:hAnsi="Times New Roman"/>
          <w:szCs w:val="20"/>
        </w:rPr>
        <w:t xml:space="preserve"> </w:t>
      </w:r>
      <w:r>
        <w:rPr>
          <w:rFonts w:ascii="Times New Roman" w:hAnsi="Times New Roman"/>
          <w:szCs w:val="20"/>
        </w:rPr>
        <w:t>the court did recognize certain</w:t>
      </w:r>
      <w:r w:rsidRPr="00717C20">
        <w:rPr>
          <w:rFonts w:ascii="Times New Roman" w:hAnsi="Times New Roman"/>
          <w:szCs w:val="20"/>
        </w:rPr>
        <w:t xml:space="preserve"> forms of</w:t>
      </w:r>
      <w:r>
        <w:rPr>
          <w:rFonts w:ascii="Times New Roman" w:hAnsi="Times New Roman"/>
          <w:szCs w:val="20"/>
        </w:rPr>
        <w:t xml:space="preserve"> reason; in April of 1794 the Tribunal acquitted</w:t>
      </w:r>
      <w:r w:rsidRPr="00717C20">
        <w:rPr>
          <w:rFonts w:ascii="Times New Roman" w:hAnsi="Times New Roman"/>
          <w:szCs w:val="20"/>
        </w:rPr>
        <w:t xml:space="preserve"> a group of men and women brought before the court for stealing from a government building.</w:t>
      </w:r>
      <w:r>
        <w:rPr>
          <w:rFonts w:ascii="Times New Roman" w:hAnsi="Times New Roman"/>
          <w:szCs w:val="20"/>
        </w:rPr>
        <w:t xml:space="preserve"> The</w:t>
      </w:r>
      <w:r w:rsidRPr="00717C20">
        <w:rPr>
          <w:rFonts w:ascii="Times New Roman" w:hAnsi="Times New Roman"/>
          <w:szCs w:val="20"/>
        </w:rPr>
        <w:t xml:space="preserve"> case consisted of a group of nine defendants—four women and five men—who lived in a large building shared by the revolutionary government of their commune.</w:t>
      </w:r>
      <w:r w:rsidRPr="00717C20">
        <w:rPr>
          <w:rStyle w:val="FootnoteReference"/>
          <w:rFonts w:ascii="Times New Roman" w:hAnsi="Times New Roman"/>
          <w:szCs w:val="20"/>
        </w:rPr>
        <w:footnoteReference w:id="137"/>
      </w:r>
      <w:r w:rsidRPr="00717C20">
        <w:rPr>
          <w:rFonts w:ascii="Times New Roman" w:hAnsi="Times New Roman"/>
          <w:szCs w:val="20"/>
        </w:rPr>
        <w:t xml:space="preserve"> </w:t>
      </w:r>
      <w:r>
        <w:rPr>
          <w:rFonts w:ascii="Times New Roman" w:hAnsi="Times New Roman"/>
          <w:szCs w:val="20"/>
        </w:rPr>
        <w:t>The local commune found a</w:t>
      </w:r>
      <w:r w:rsidRPr="00717C20">
        <w:rPr>
          <w:rFonts w:ascii="Times New Roman" w:hAnsi="Times New Roman"/>
          <w:szCs w:val="20"/>
        </w:rPr>
        <w:t>n extrem</w:t>
      </w:r>
      <w:r>
        <w:rPr>
          <w:rFonts w:ascii="Times New Roman" w:hAnsi="Times New Roman"/>
          <w:szCs w:val="20"/>
        </w:rPr>
        <w:t>ely large sum of money</w:t>
      </w:r>
      <w:r w:rsidRPr="00717C20">
        <w:rPr>
          <w:rFonts w:ascii="Times New Roman" w:hAnsi="Times New Roman"/>
          <w:szCs w:val="20"/>
        </w:rPr>
        <w:t xml:space="preserve"> missing from the</w:t>
      </w:r>
      <w:r>
        <w:rPr>
          <w:rFonts w:ascii="Times New Roman" w:hAnsi="Times New Roman"/>
          <w:szCs w:val="20"/>
        </w:rPr>
        <w:t xml:space="preserve"> government office and</w:t>
      </w:r>
      <w:r w:rsidRPr="00717C20">
        <w:rPr>
          <w:rFonts w:ascii="Times New Roman" w:hAnsi="Times New Roman"/>
          <w:szCs w:val="20"/>
        </w:rPr>
        <w:t xml:space="preserve"> quickly assumed that the thief </w:t>
      </w:r>
      <w:r>
        <w:rPr>
          <w:rFonts w:ascii="Times New Roman" w:hAnsi="Times New Roman"/>
          <w:szCs w:val="20"/>
        </w:rPr>
        <w:t xml:space="preserve">resided in the building. </w:t>
      </w:r>
    </w:p>
    <w:p w:rsidR="001C5440" w:rsidRDefault="001C5440" w:rsidP="00525111">
      <w:pPr>
        <w:spacing w:line="480" w:lineRule="auto"/>
        <w:ind w:firstLine="720"/>
        <w:contextualSpacing/>
        <w:rPr>
          <w:rFonts w:ascii="Times New Roman" w:hAnsi="Times New Roman"/>
          <w:szCs w:val="20"/>
        </w:rPr>
      </w:pPr>
      <w:r w:rsidRPr="00717C20">
        <w:rPr>
          <w:rFonts w:ascii="Times New Roman" w:hAnsi="Times New Roman"/>
          <w:szCs w:val="20"/>
        </w:rPr>
        <w:t xml:space="preserve">The </w:t>
      </w:r>
      <w:r>
        <w:rPr>
          <w:rFonts w:ascii="Times New Roman" w:hAnsi="Times New Roman"/>
          <w:szCs w:val="20"/>
        </w:rPr>
        <w:t>group of nine defendants wrote</w:t>
      </w:r>
      <w:r w:rsidRPr="00717C20">
        <w:rPr>
          <w:rFonts w:ascii="Times New Roman" w:hAnsi="Times New Roman"/>
          <w:szCs w:val="20"/>
        </w:rPr>
        <w:t xml:space="preserve"> several generic letters of defense, but the m</w:t>
      </w:r>
      <w:r>
        <w:rPr>
          <w:rFonts w:ascii="Times New Roman" w:hAnsi="Times New Roman"/>
          <w:szCs w:val="20"/>
        </w:rPr>
        <w:t>ost striking piece of defense was</w:t>
      </w:r>
      <w:r w:rsidRPr="00717C20">
        <w:rPr>
          <w:rFonts w:ascii="Times New Roman" w:hAnsi="Times New Roman"/>
          <w:szCs w:val="20"/>
        </w:rPr>
        <w:t xml:space="preserve"> a large architectural plan of the</w:t>
      </w:r>
      <w:r>
        <w:rPr>
          <w:rFonts w:ascii="Times New Roman" w:hAnsi="Times New Roman"/>
          <w:szCs w:val="20"/>
        </w:rPr>
        <w:t xml:space="preserve"> building which minutely detailed</w:t>
      </w:r>
      <w:r w:rsidRPr="00717C20">
        <w:rPr>
          <w:rFonts w:ascii="Times New Roman" w:hAnsi="Times New Roman"/>
          <w:szCs w:val="20"/>
        </w:rPr>
        <w:t xml:space="preserve"> the livings arrangements of each defendant in relation to the area occupied by the revolutionary government.</w:t>
      </w:r>
      <w:r w:rsidRPr="00717C20">
        <w:rPr>
          <w:rStyle w:val="FootnoteReference"/>
          <w:rFonts w:ascii="Times New Roman" w:hAnsi="Times New Roman"/>
          <w:szCs w:val="20"/>
        </w:rPr>
        <w:footnoteReference w:id="138"/>
      </w:r>
      <w:r w:rsidRPr="00717C20">
        <w:rPr>
          <w:rFonts w:ascii="Times New Roman" w:hAnsi="Times New Roman"/>
          <w:szCs w:val="20"/>
        </w:rPr>
        <w:t xml:space="preserve"> </w:t>
      </w:r>
      <w:r>
        <w:rPr>
          <w:rFonts w:ascii="Times New Roman" w:hAnsi="Times New Roman"/>
          <w:szCs w:val="20"/>
        </w:rPr>
        <w:t>A</w:t>
      </w:r>
      <w:r w:rsidRPr="00717C20">
        <w:rPr>
          <w:rFonts w:ascii="Times New Roman" w:hAnsi="Times New Roman"/>
          <w:szCs w:val="20"/>
        </w:rPr>
        <w:t xml:space="preserve"> skilled artist or architect specifically </w:t>
      </w:r>
      <w:r>
        <w:rPr>
          <w:rFonts w:ascii="Times New Roman" w:hAnsi="Times New Roman"/>
          <w:szCs w:val="20"/>
        </w:rPr>
        <w:t>p</w:t>
      </w:r>
      <w:r w:rsidRPr="00717C20">
        <w:rPr>
          <w:rFonts w:ascii="Times New Roman" w:hAnsi="Times New Roman"/>
          <w:szCs w:val="20"/>
        </w:rPr>
        <w:t xml:space="preserve">repared the large floor plan </w:t>
      </w:r>
      <w:r>
        <w:rPr>
          <w:rFonts w:ascii="Times New Roman" w:hAnsi="Times New Roman"/>
          <w:szCs w:val="20"/>
        </w:rPr>
        <w:t>for use</w:t>
      </w:r>
      <w:r w:rsidRPr="00717C20">
        <w:rPr>
          <w:rFonts w:ascii="Times New Roman" w:hAnsi="Times New Roman"/>
          <w:szCs w:val="20"/>
        </w:rPr>
        <w:t xml:space="preserve"> in the trial. </w:t>
      </w:r>
      <w:r>
        <w:rPr>
          <w:rFonts w:ascii="Times New Roman" w:hAnsi="Times New Roman"/>
          <w:szCs w:val="20"/>
        </w:rPr>
        <w:t>A</w:t>
      </w:r>
      <w:r w:rsidRPr="00717C20">
        <w:rPr>
          <w:rFonts w:ascii="Times New Roman" w:hAnsi="Times New Roman"/>
          <w:szCs w:val="20"/>
        </w:rPr>
        <w:t xml:space="preserve">n </w:t>
      </w:r>
      <w:r>
        <w:rPr>
          <w:rFonts w:ascii="Times New Roman" w:hAnsi="Times New Roman"/>
          <w:szCs w:val="20"/>
        </w:rPr>
        <w:t>explanatory letter accompanied the plans and assured</w:t>
      </w:r>
      <w:r w:rsidRPr="00717C20">
        <w:rPr>
          <w:rFonts w:ascii="Times New Roman" w:hAnsi="Times New Roman"/>
          <w:szCs w:val="20"/>
        </w:rPr>
        <w:t xml:space="preserve"> the verity of the architectural drawing</w:t>
      </w:r>
      <w:r>
        <w:rPr>
          <w:rFonts w:ascii="Times New Roman" w:hAnsi="Times New Roman"/>
          <w:szCs w:val="20"/>
        </w:rPr>
        <w:t>. The letter further confirmed</w:t>
      </w:r>
      <w:r w:rsidRPr="00717C20">
        <w:rPr>
          <w:rFonts w:ascii="Times New Roman" w:hAnsi="Times New Roman"/>
          <w:szCs w:val="20"/>
        </w:rPr>
        <w:t xml:space="preserve"> that the nine defendants </w:t>
      </w:r>
      <w:r w:rsidRPr="00717C20">
        <w:rPr>
          <w:rFonts w:ascii="Times New Roman" w:hAnsi="Times New Roman"/>
          <w:szCs w:val="20"/>
        </w:rPr>
        <w:lastRenderedPageBreak/>
        <w:t>“have never been seen either in the office or in the apartment” occupied by the revolutionary government.</w:t>
      </w:r>
      <w:r w:rsidRPr="00717C20">
        <w:rPr>
          <w:rStyle w:val="FootnoteReference"/>
          <w:rFonts w:ascii="Times New Roman" w:hAnsi="Times New Roman"/>
          <w:szCs w:val="20"/>
        </w:rPr>
        <w:footnoteReference w:id="139"/>
      </w:r>
      <w:r w:rsidRPr="00717C20">
        <w:rPr>
          <w:rFonts w:ascii="Times New Roman" w:hAnsi="Times New Roman"/>
          <w:szCs w:val="20"/>
        </w:rPr>
        <w:t xml:space="preserve"> </w:t>
      </w:r>
    </w:p>
    <w:p w:rsidR="001C5440" w:rsidRPr="00717C20" w:rsidRDefault="001C5440" w:rsidP="00525111">
      <w:pPr>
        <w:spacing w:line="480" w:lineRule="auto"/>
        <w:ind w:firstLine="720"/>
        <w:contextualSpacing/>
        <w:rPr>
          <w:rFonts w:ascii="Times New Roman" w:hAnsi="Times New Roman"/>
          <w:szCs w:val="20"/>
        </w:rPr>
      </w:pPr>
      <w:r w:rsidRPr="00717C20">
        <w:rPr>
          <w:rFonts w:ascii="Times New Roman" w:hAnsi="Times New Roman"/>
          <w:szCs w:val="20"/>
        </w:rPr>
        <w:t>The success, in this instance, of an extremely logical defense is anomalous in the trial record. In fact, the entire trial—from accusation to acquittal—</w:t>
      </w:r>
      <w:r>
        <w:rPr>
          <w:rFonts w:ascii="Times New Roman" w:hAnsi="Times New Roman"/>
          <w:szCs w:val="20"/>
        </w:rPr>
        <w:t>refused to follow the expected trajectory</w:t>
      </w:r>
      <w:r w:rsidRPr="00717C20">
        <w:rPr>
          <w:rFonts w:ascii="Times New Roman" w:hAnsi="Times New Roman"/>
          <w:szCs w:val="20"/>
        </w:rPr>
        <w:t xml:space="preserve">. The Revolutionary Tribunal </w:t>
      </w:r>
      <w:r>
        <w:rPr>
          <w:rFonts w:ascii="Times New Roman" w:hAnsi="Times New Roman"/>
          <w:szCs w:val="20"/>
        </w:rPr>
        <w:t>did not serve as</w:t>
      </w:r>
      <w:r w:rsidRPr="00717C20">
        <w:rPr>
          <w:rFonts w:ascii="Times New Roman" w:hAnsi="Times New Roman"/>
          <w:szCs w:val="20"/>
        </w:rPr>
        <w:t xml:space="preserve"> the basic criminal court. The Tribunal did not</w:t>
      </w:r>
      <w:r>
        <w:rPr>
          <w:rFonts w:ascii="Times New Roman" w:hAnsi="Times New Roman"/>
          <w:szCs w:val="20"/>
        </w:rPr>
        <w:t xml:space="preserve"> (usually)</w:t>
      </w:r>
      <w:r w:rsidRPr="00717C20">
        <w:rPr>
          <w:rFonts w:ascii="Times New Roman" w:hAnsi="Times New Roman"/>
          <w:szCs w:val="20"/>
        </w:rPr>
        <w:t xml:space="preserve"> hear trials ab</w:t>
      </w:r>
      <w:r>
        <w:rPr>
          <w:rFonts w:ascii="Times New Roman" w:hAnsi="Times New Roman"/>
          <w:szCs w:val="20"/>
        </w:rPr>
        <w:t>out theft, violence, or</w:t>
      </w:r>
      <w:r w:rsidRPr="00717C20">
        <w:rPr>
          <w:rFonts w:ascii="Times New Roman" w:hAnsi="Times New Roman"/>
          <w:szCs w:val="20"/>
        </w:rPr>
        <w:t xml:space="preserve"> other common, but inherently non-political charges. However, </w:t>
      </w:r>
      <w:r>
        <w:rPr>
          <w:rFonts w:ascii="Times New Roman" w:hAnsi="Times New Roman"/>
          <w:szCs w:val="20"/>
        </w:rPr>
        <w:t xml:space="preserve">the Tribunal deemed </w:t>
      </w:r>
      <w:r w:rsidRPr="00717C20">
        <w:rPr>
          <w:rFonts w:ascii="Times New Roman" w:hAnsi="Times New Roman"/>
          <w:szCs w:val="20"/>
        </w:rPr>
        <w:t xml:space="preserve">this theft, because the victim was the revolutionary government, an act of counterrevolution. The judges and jurors </w:t>
      </w:r>
      <w:r>
        <w:rPr>
          <w:rFonts w:ascii="Times New Roman" w:hAnsi="Times New Roman"/>
          <w:szCs w:val="20"/>
        </w:rPr>
        <w:t xml:space="preserve">heard few cases of this type. Their reaction to this trial is incomparable to their </w:t>
      </w:r>
      <w:r w:rsidRPr="00717C20">
        <w:rPr>
          <w:rFonts w:ascii="Times New Roman" w:hAnsi="Times New Roman"/>
          <w:szCs w:val="20"/>
        </w:rPr>
        <w:t>understanding</w:t>
      </w:r>
      <w:r>
        <w:rPr>
          <w:rFonts w:ascii="Times New Roman" w:hAnsi="Times New Roman"/>
          <w:szCs w:val="20"/>
        </w:rPr>
        <w:t xml:space="preserve"> of </w:t>
      </w:r>
      <w:r w:rsidRPr="00717C20">
        <w:rPr>
          <w:rFonts w:ascii="Times New Roman" w:hAnsi="Times New Roman"/>
          <w:szCs w:val="20"/>
        </w:rPr>
        <w:t xml:space="preserve">more </w:t>
      </w:r>
      <w:r>
        <w:rPr>
          <w:rFonts w:ascii="Times New Roman" w:hAnsi="Times New Roman"/>
          <w:szCs w:val="20"/>
        </w:rPr>
        <w:t>politically charged trials</w:t>
      </w:r>
      <w:r w:rsidRPr="00717C20">
        <w:rPr>
          <w:rFonts w:ascii="Times New Roman" w:hAnsi="Times New Roman"/>
          <w:szCs w:val="20"/>
        </w:rPr>
        <w:t xml:space="preserve">. </w:t>
      </w:r>
      <w:r>
        <w:rPr>
          <w:rFonts w:ascii="Times New Roman" w:hAnsi="Times New Roman"/>
          <w:szCs w:val="20"/>
        </w:rPr>
        <w:t>W</w:t>
      </w:r>
      <w:r w:rsidRPr="00717C20">
        <w:rPr>
          <w:rFonts w:ascii="Times New Roman" w:hAnsi="Times New Roman"/>
          <w:szCs w:val="20"/>
        </w:rPr>
        <w:t xml:space="preserve">ith its logical defense and its resulting acquittals, </w:t>
      </w:r>
      <w:r>
        <w:rPr>
          <w:rFonts w:ascii="Times New Roman" w:hAnsi="Times New Roman"/>
          <w:szCs w:val="20"/>
        </w:rPr>
        <w:t>this trial demonstrated</w:t>
      </w:r>
      <w:r w:rsidRPr="00717C20">
        <w:rPr>
          <w:rFonts w:ascii="Times New Roman" w:hAnsi="Times New Roman"/>
          <w:szCs w:val="20"/>
        </w:rPr>
        <w:t xml:space="preserve"> the variability and </w:t>
      </w:r>
      <w:r>
        <w:rPr>
          <w:rFonts w:ascii="Times New Roman" w:hAnsi="Times New Roman"/>
          <w:szCs w:val="20"/>
        </w:rPr>
        <w:t>adaptability of larger trends of</w:t>
      </w:r>
      <w:r w:rsidRPr="00717C20">
        <w:rPr>
          <w:rFonts w:ascii="Times New Roman" w:hAnsi="Times New Roman"/>
          <w:szCs w:val="20"/>
        </w:rPr>
        <w:t xml:space="preserve"> the Revolutionary Tribunal. Although the</w:t>
      </w:r>
      <w:r>
        <w:rPr>
          <w:rFonts w:ascii="Times New Roman" w:hAnsi="Times New Roman"/>
          <w:szCs w:val="20"/>
        </w:rPr>
        <w:t xml:space="preserve"> court</w:t>
      </w:r>
      <w:r w:rsidRPr="00717C20">
        <w:rPr>
          <w:rFonts w:ascii="Times New Roman" w:hAnsi="Times New Roman"/>
          <w:szCs w:val="20"/>
        </w:rPr>
        <w:t xml:space="preserve"> gave certain forms of defense preferential treatment, </w:t>
      </w:r>
      <w:r>
        <w:rPr>
          <w:rFonts w:ascii="Times New Roman" w:hAnsi="Times New Roman"/>
          <w:szCs w:val="20"/>
        </w:rPr>
        <w:t xml:space="preserve">it could adapt </w:t>
      </w:r>
      <w:r w:rsidRPr="00717C20">
        <w:rPr>
          <w:rFonts w:ascii="Times New Roman" w:hAnsi="Times New Roman"/>
          <w:szCs w:val="20"/>
        </w:rPr>
        <w:t>these biases to the particul</w:t>
      </w:r>
      <w:r>
        <w:rPr>
          <w:rFonts w:ascii="Times New Roman" w:hAnsi="Times New Roman"/>
          <w:szCs w:val="20"/>
        </w:rPr>
        <w:t>ar individual or group on trial.</w:t>
      </w:r>
    </w:p>
    <w:p w:rsidR="001C5440" w:rsidRPr="00717C20" w:rsidRDefault="001C5440" w:rsidP="00525111">
      <w:pPr>
        <w:spacing w:line="480" w:lineRule="auto"/>
        <w:contextualSpacing/>
        <w:rPr>
          <w:rFonts w:ascii="Times New Roman" w:hAnsi="Times New Roman"/>
          <w:szCs w:val="20"/>
        </w:rPr>
      </w:pPr>
      <w:r w:rsidRPr="00717C20">
        <w:rPr>
          <w:rFonts w:ascii="Times New Roman" w:hAnsi="Times New Roman"/>
          <w:szCs w:val="20"/>
        </w:rPr>
        <w:tab/>
        <w:t>The use of defense before the Revolutionary Tribunal, while not a common practice for women, had the ability to substantially alter the outcome of the trial. Letters from a defendant’s section, as well as perso</w:t>
      </w:r>
      <w:r>
        <w:rPr>
          <w:rFonts w:ascii="Times New Roman" w:hAnsi="Times New Roman"/>
          <w:szCs w:val="20"/>
        </w:rPr>
        <w:t>nal letters of defense, gave</w:t>
      </w:r>
      <w:r w:rsidRPr="00717C20">
        <w:rPr>
          <w:rFonts w:ascii="Times New Roman" w:hAnsi="Times New Roman"/>
          <w:szCs w:val="20"/>
        </w:rPr>
        <w:t xml:space="preserve"> defendant</w:t>
      </w:r>
      <w:r>
        <w:rPr>
          <w:rFonts w:ascii="Times New Roman" w:hAnsi="Times New Roman"/>
          <w:szCs w:val="20"/>
        </w:rPr>
        <w:t>s</w:t>
      </w:r>
      <w:r w:rsidRPr="00717C20">
        <w:rPr>
          <w:rFonts w:ascii="Times New Roman" w:hAnsi="Times New Roman"/>
          <w:szCs w:val="20"/>
        </w:rPr>
        <w:t xml:space="preserve"> the opportunity to pr</w:t>
      </w:r>
      <w:r>
        <w:rPr>
          <w:rFonts w:ascii="Times New Roman" w:hAnsi="Times New Roman"/>
          <w:szCs w:val="20"/>
        </w:rPr>
        <w:t>esent themselves and their stories</w:t>
      </w:r>
      <w:r w:rsidRPr="00717C20">
        <w:rPr>
          <w:rFonts w:ascii="Times New Roman" w:hAnsi="Times New Roman"/>
          <w:szCs w:val="20"/>
        </w:rPr>
        <w:t xml:space="preserve"> directly to the Tribunal. When properly crafted, these letters </w:t>
      </w:r>
      <w:r>
        <w:rPr>
          <w:rFonts w:ascii="Times New Roman" w:hAnsi="Times New Roman"/>
          <w:szCs w:val="20"/>
        </w:rPr>
        <w:t>painted a picture</w:t>
      </w:r>
      <w:r w:rsidRPr="00717C20">
        <w:rPr>
          <w:rFonts w:ascii="Times New Roman" w:hAnsi="Times New Roman"/>
          <w:szCs w:val="20"/>
        </w:rPr>
        <w:t xml:space="preserve"> </w:t>
      </w:r>
      <w:r>
        <w:rPr>
          <w:rFonts w:ascii="Times New Roman" w:hAnsi="Times New Roman"/>
          <w:szCs w:val="20"/>
        </w:rPr>
        <w:t>of</w:t>
      </w:r>
      <w:r w:rsidRPr="00717C20">
        <w:rPr>
          <w:rFonts w:ascii="Times New Roman" w:hAnsi="Times New Roman"/>
          <w:szCs w:val="20"/>
        </w:rPr>
        <w:t xml:space="preserve"> the defendant </w:t>
      </w:r>
      <w:r>
        <w:rPr>
          <w:rFonts w:ascii="Times New Roman" w:hAnsi="Times New Roman"/>
          <w:szCs w:val="20"/>
        </w:rPr>
        <w:t>which politicized her actions and</w:t>
      </w:r>
      <w:r w:rsidRPr="00717C20">
        <w:rPr>
          <w:rFonts w:ascii="Times New Roman" w:hAnsi="Times New Roman"/>
          <w:szCs w:val="20"/>
        </w:rPr>
        <w:t xml:space="preserve"> situated her w</w:t>
      </w:r>
      <w:r>
        <w:rPr>
          <w:rFonts w:ascii="Times New Roman" w:hAnsi="Times New Roman"/>
          <w:szCs w:val="20"/>
        </w:rPr>
        <w:t xml:space="preserve">ithin the local community. This form of defense </w:t>
      </w:r>
      <w:r w:rsidRPr="00717C20">
        <w:rPr>
          <w:rFonts w:ascii="Times New Roman" w:hAnsi="Times New Roman"/>
          <w:szCs w:val="20"/>
        </w:rPr>
        <w:t xml:space="preserve">effectively </w:t>
      </w:r>
      <w:r>
        <w:rPr>
          <w:rFonts w:ascii="Times New Roman" w:hAnsi="Times New Roman"/>
          <w:szCs w:val="20"/>
        </w:rPr>
        <w:t>personalized</w:t>
      </w:r>
      <w:r w:rsidRPr="00717C20">
        <w:rPr>
          <w:rFonts w:ascii="Times New Roman" w:hAnsi="Times New Roman"/>
          <w:szCs w:val="20"/>
        </w:rPr>
        <w:t xml:space="preserve"> the defendant in the eyes of the judges and jurors, eliciting a sympathetic response. </w:t>
      </w:r>
    </w:p>
    <w:p w:rsidR="001C5440" w:rsidRPr="00717C20" w:rsidRDefault="001C5440" w:rsidP="00525111">
      <w:pPr>
        <w:spacing w:line="480" w:lineRule="auto"/>
        <w:contextualSpacing/>
        <w:rPr>
          <w:rFonts w:ascii="Times New Roman" w:hAnsi="Times New Roman"/>
          <w:szCs w:val="20"/>
        </w:rPr>
      </w:pPr>
      <w:r w:rsidRPr="00717C20">
        <w:rPr>
          <w:rFonts w:ascii="Times New Roman" w:hAnsi="Times New Roman"/>
          <w:szCs w:val="20"/>
        </w:rPr>
        <w:tab/>
        <w:t>Although many women chose to emphasize their gendered differences, other pers</w:t>
      </w:r>
      <w:r>
        <w:rPr>
          <w:rFonts w:ascii="Times New Roman" w:hAnsi="Times New Roman"/>
          <w:szCs w:val="20"/>
        </w:rPr>
        <w:t>onal details elicited the same</w:t>
      </w:r>
      <w:r w:rsidRPr="00717C20">
        <w:rPr>
          <w:rFonts w:ascii="Times New Roman" w:hAnsi="Times New Roman"/>
          <w:szCs w:val="20"/>
        </w:rPr>
        <w:t xml:space="preserve"> response from the Tribunal. Defenses focused on charitable acts and local revolutionary fervor were equally effective as those focused on </w:t>
      </w:r>
      <w:r w:rsidRPr="00717C20">
        <w:rPr>
          <w:rFonts w:ascii="Times New Roman" w:hAnsi="Times New Roman"/>
          <w:szCs w:val="20"/>
        </w:rPr>
        <w:lastRenderedPageBreak/>
        <w:t>issues of motherhood and personal frailty. The defendant needed to catch the attention of the judges and jurors</w:t>
      </w:r>
      <w:r>
        <w:rPr>
          <w:rFonts w:ascii="Times New Roman" w:hAnsi="Times New Roman"/>
          <w:szCs w:val="20"/>
        </w:rPr>
        <w:t xml:space="preserve"> and situate herself within a local, politically active community</w:t>
      </w:r>
      <w:r w:rsidRPr="00717C20">
        <w:rPr>
          <w:rFonts w:ascii="Times New Roman" w:hAnsi="Times New Roman"/>
          <w:szCs w:val="20"/>
        </w:rPr>
        <w:t xml:space="preserve">. Only then could the defendant </w:t>
      </w:r>
      <w:r>
        <w:rPr>
          <w:rFonts w:ascii="Times New Roman" w:hAnsi="Times New Roman"/>
          <w:szCs w:val="20"/>
        </w:rPr>
        <w:t xml:space="preserve">effectively </w:t>
      </w:r>
      <w:r w:rsidRPr="00717C20">
        <w:rPr>
          <w:rFonts w:ascii="Times New Roman" w:hAnsi="Times New Roman"/>
          <w:szCs w:val="20"/>
        </w:rPr>
        <w:t xml:space="preserve">counter the prosecution’s story of guilt. </w:t>
      </w:r>
    </w:p>
    <w:p w:rsidR="000D14E2" w:rsidRDefault="000D14E2" w:rsidP="000D14E2">
      <w:pPr>
        <w:spacing w:after="0"/>
        <w:rPr>
          <w:rFonts w:ascii="Times New Roman" w:hAnsi="Times New Roman"/>
          <w:szCs w:val="20"/>
        </w:rPr>
      </w:pPr>
      <w:r>
        <w:rPr>
          <w:rFonts w:ascii="Times New Roman" w:hAnsi="Times New Roman"/>
          <w:sz w:val="36"/>
          <w:szCs w:val="20"/>
        </w:rPr>
        <w:br w:type="page"/>
      </w:r>
      <w:r>
        <w:rPr>
          <w:rFonts w:ascii="Times New Roman" w:hAnsi="Times New Roman"/>
          <w:sz w:val="36"/>
          <w:szCs w:val="20"/>
        </w:rPr>
        <w:lastRenderedPageBreak/>
        <w:t>C</w:t>
      </w:r>
      <w:r w:rsidR="001C5440" w:rsidRPr="00717C20">
        <w:rPr>
          <w:rFonts w:ascii="Times New Roman" w:hAnsi="Times New Roman"/>
          <w:sz w:val="28"/>
          <w:szCs w:val="20"/>
        </w:rPr>
        <w:t>onclusion</w:t>
      </w:r>
    </w:p>
    <w:p w:rsidR="001C5440" w:rsidRPr="000D14E2" w:rsidRDefault="001C5440" w:rsidP="000D14E2">
      <w:pPr>
        <w:spacing w:after="0"/>
        <w:rPr>
          <w:rFonts w:ascii="Times New Roman" w:hAnsi="Times New Roman"/>
          <w:szCs w:val="20"/>
        </w:rPr>
      </w:pPr>
    </w:p>
    <w:p w:rsidR="001C5440" w:rsidRDefault="001C5440" w:rsidP="00525111">
      <w:pPr>
        <w:spacing w:line="480" w:lineRule="auto"/>
        <w:contextualSpacing/>
        <w:rPr>
          <w:rFonts w:ascii="Times New Roman" w:hAnsi="Times New Roman"/>
          <w:szCs w:val="20"/>
        </w:rPr>
      </w:pPr>
      <w:r>
        <w:rPr>
          <w:rFonts w:ascii="Times New Roman" w:hAnsi="Times New Roman"/>
          <w:szCs w:val="20"/>
        </w:rPr>
        <w:tab/>
        <w:t xml:space="preserve">Systematic prejudice and advantage guided the Tribunal’s conviction of women. Fearing both the real and imagined influence of women in society, the Tribunal preferred defendants who lacked the necessary connections for such influence and treated with greater leniency counterrevolutionary crimes incapable of affecting powerful individuals. Conversely, the Tribunal feared women with higher levels of education, social connections, or social status because of their strong powers of influence. </w:t>
      </w:r>
    </w:p>
    <w:p w:rsidR="001C5440" w:rsidRDefault="001C5440" w:rsidP="00525111">
      <w:pPr>
        <w:spacing w:line="480" w:lineRule="auto"/>
        <w:contextualSpacing/>
        <w:rPr>
          <w:rFonts w:ascii="Times New Roman" w:hAnsi="Times New Roman"/>
          <w:szCs w:val="20"/>
        </w:rPr>
      </w:pPr>
      <w:r>
        <w:rPr>
          <w:rFonts w:ascii="Times New Roman" w:hAnsi="Times New Roman"/>
          <w:szCs w:val="20"/>
        </w:rPr>
        <w:tab/>
        <w:t xml:space="preserve">The Tribunal’s prejudice stemmed originally from perceived abuses in the </w:t>
      </w:r>
      <w:r>
        <w:rPr>
          <w:rFonts w:ascii="Times New Roman" w:hAnsi="Times New Roman"/>
          <w:i/>
          <w:szCs w:val="20"/>
        </w:rPr>
        <w:t xml:space="preserve">Ancien Regime. </w:t>
      </w:r>
      <w:r>
        <w:rPr>
          <w:rFonts w:ascii="Times New Roman" w:hAnsi="Times New Roman"/>
          <w:szCs w:val="20"/>
        </w:rPr>
        <w:t>The bitter hatred of Marie Antoinette, along with her conspicuous trial and execution demonstrated the potency of these feelings. A radical departure from previous practices served as an integral part of revolutionary doctrine, and the idealization of women’s role in society reflected these upheavals.</w:t>
      </w:r>
    </w:p>
    <w:p w:rsidR="001C5440" w:rsidRDefault="001C5440" w:rsidP="00525111">
      <w:pPr>
        <w:spacing w:line="480" w:lineRule="auto"/>
        <w:contextualSpacing/>
        <w:rPr>
          <w:rFonts w:ascii="Times New Roman" w:hAnsi="Times New Roman"/>
          <w:szCs w:val="20"/>
        </w:rPr>
      </w:pPr>
      <w:r>
        <w:rPr>
          <w:rFonts w:ascii="Times New Roman" w:hAnsi="Times New Roman"/>
          <w:szCs w:val="20"/>
        </w:rPr>
        <w:t xml:space="preserve"> </w:t>
      </w:r>
      <w:r>
        <w:rPr>
          <w:rFonts w:ascii="Times New Roman" w:hAnsi="Times New Roman"/>
          <w:szCs w:val="20"/>
        </w:rPr>
        <w:tab/>
        <w:t xml:space="preserve">Accordingly, the Tribunal found women particularly culpable for counterrevolutionary actions that had the possibility of influencing men of power. The Tribunal particularly detested written acts because of the possibility of prolonged and potent influence. Letters and manuscripts could be passed from hand to hand among the literate and powerful elite, spreading the counterrevolutionary message of one woman to many. Speech acts, conversely, were limited in time, audience, and place. Occurring most often in marketplaces, counterrevolutionary outbursts seldom caught the attention of influential men. </w:t>
      </w:r>
    </w:p>
    <w:p w:rsidR="001C5440" w:rsidRDefault="001C5440" w:rsidP="00525111">
      <w:pPr>
        <w:spacing w:line="480" w:lineRule="auto"/>
        <w:contextualSpacing/>
        <w:rPr>
          <w:rFonts w:ascii="Times New Roman" w:hAnsi="Times New Roman"/>
          <w:szCs w:val="20"/>
        </w:rPr>
      </w:pPr>
      <w:r>
        <w:rPr>
          <w:rFonts w:ascii="Times New Roman" w:hAnsi="Times New Roman"/>
          <w:szCs w:val="20"/>
        </w:rPr>
        <w:tab/>
        <w:t xml:space="preserve">The Tribunal’s inherent bias assumed, as a prerequisite, that women could profoundly influence those around them. Therefore, when the husbands and sons of a woman committed counterrevolutionary crimes, the Tribunal often indicted the wife or </w:t>
      </w:r>
      <w:r>
        <w:rPr>
          <w:rFonts w:ascii="Times New Roman" w:hAnsi="Times New Roman"/>
          <w:szCs w:val="20"/>
        </w:rPr>
        <w:lastRenderedPageBreak/>
        <w:t xml:space="preserve">mother for complicity. Serving as the moral backbone of the family, mothers and wives needed to inculcate revolutionary values among their relatives and furiously oppose counterrevolutionary proclivities. Although many social and legal constraints prevented women from distancing themselves from errant sons and husbands, the Tribunal relentlessly brought women to trial based on their failure to “properly” condemn the actions of their relatives. </w:t>
      </w:r>
    </w:p>
    <w:p w:rsidR="001C5440" w:rsidRDefault="001C5440" w:rsidP="00525111">
      <w:pPr>
        <w:spacing w:line="480" w:lineRule="auto"/>
        <w:contextualSpacing/>
        <w:rPr>
          <w:rFonts w:ascii="Times New Roman" w:hAnsi="Times New Roman"/>
          <w:szCs w:val="20"/>
        </w:rPr>
      </w:pPr>
      <w:r>
        <w:rPr>
          <w:rFonts w:ascii="Times New Roman" w:hAnsi="Times New Roman"/>
          <w:szCs w:val="20"/>
        </w:rPr>
        <w:tab/>
        <w:t>In contrast, the Tribunal treated women’s religious crimes, especially those committed by former nuns, leniently because of the court’s comfort with religious women. The Tribunal did not fear nuns or other religious women, while refractory priests were almost invariably executed. Further, the Tribunal could not ignore the reality that nuns and other religious women performed important acts of charity in the community. The Tribunal’s understanding of religious women did not accord them great influence, and they were therefore less culpable for their actions.</w:t>
      </w:r>
    </w:p>
    <w:p w:rsidR="001C5440" w:rsidRDefault="001C5440" w:rsidP="00525111">
      <w:pPr>
        <w:spacing w:line="480" w:lineRule="auto"/>
        <w:contextualSpacing/>
        <w:rPr>
          <w:rFonts w:ascii="Times New Roman" w:hAnsi="Times New Roman"/>
          <w:szCs w:val="20"/>
        </w:rPr>
      </w:pPr>
      <w:r>
        <w:rPr>
          <w:rFonts w:ascii="Times New Roman" w:hAnsi="Times New Roman"/>
          <w:szCs w:val="20"/>
        </w:rPr>
        <w:tab/>
        <w:t>Although the Tribunal ultimately determined the outcome for each defendant on trial, some women took control of their own depiction before the Tribunal through the creation of defense documents. When cases appeared before the Tribunal, the court necessarily decided between two competing interpretations of character. The public prosecutor, of course, portrayed the defendant and her actions as consciously counterrevolutionary. Through letters from their local community and personal letters of defense, women countered this criminalizing characterization and advance their own. Effective forms of defense humanized the woman on trial in the eyes of the Tribunal, and once humanized, the defendant could politicize her past actions and cause the judges and jurors to doubt the veracity of the prosecutor’s claim.</w:t>
      </w:r>
    </w:p>
    <w:p w:rsidR="001C5440" w:rsidRDefault="001C5440" w:rsidP="00525111">
      <w:pPr>
        <w:spacing w:line="480" w:lineRule="auto"/>
        <w:contextualSpacing/>
        <w:rPr>
          <w:rFonts w:ascii="Times New Roman" w:hAnsi="Times New Roman"/>
          <w:szCs w:val="20"/>
        </w:rPr>
      </w:pPr>
      <w:r>
        <w:rPr>
          <w:rFonts w:ascii="Times New Roman" w:hAnsi="Times New Roman"/>
          <w:szCs w:val="20"/>
        </w:rPr>
        <w:lastRenderedPageBreak/>
        <w:tab/>
        <w:t xml:space="preserve">Certain types and strategies of defense proved more effective than others. Letters submitted be the defendant’s local government or revolutionary society concretely situated the defendant in a local, specific context. No longer could the Tribunal regard her as simply a woman on trial; she participated in a thriving, revolutionary, politically involved community. Often poignant, this form of defense effectively caught the attention of the Tribunal by humanizing the defendant and proclaiming her revolutionary vigor. </w:t>
      </w:r>
    </w:p>
    <w:p w:rsidR="001C5440" w:rsidRDefault="001C5440" w:rsidP="00525111">
      <w:pPr>
        <w:spacing w:line="480" w:lineRule="auto"/>
        <w:contextualSpacing/>
        <w:rPr>
          <w:rFonts w:ascii="Times New Roman" w:hAnsi="Times New Roman"/>
          <w:szCs w:val="20"/>
        </w:rPr>
      </w:pPr>
      <w:r>
        <w:rPr>
          <w:rFonts w:ascii="Times New Roman" w:hAnsi="Times New Roman"/>
          <w:szCs w:val="20"/>
        </w:rPr>
        <w:tab/>
        <w:t>Personal letters of defense, whether sent directly by the defendant or a male relative, often achieved the same objective. After catching the attention of the Tribunal, an effective letter presented the factors that made the defendant uniquely worthy of special consideration. The Tribunal sympathetically viewed common themes among women, such as pregnancy, sickness, family, and old age. However, women did not need to exploit their perceived weakness to gain the Tribunal’s special regard. Women emphasized other factors—such as their incredible, local generosity—to achieve the same effect.</w:t>
      </w:r>
      <w:r w:rsidR="007E0037">
        <w:rPr>
          <w:rFonts w:ascii="Times New Roman" w:hAnsi="Times New Roman"/>
          <w:szCs w:val="20"/>
        </w:rPr>
        <w:t xml:space="preserve"> </w:t>
      </w:r>
    </w:p>
    <w:p w:rsidR="001C5440" w:rsidRDefault="001C5440" w:rsidP="00525111">
      <w:pPr>
        <w:spacing w:line="480" w:lineRule="auto"/>
        <w:contextualSpacing/>
        <w:rPr>
          <w:rFonts w:ascii="Times New Roman" w:hAnsi="Times New Roman"/>
          <w:szCs w:val="20"/>
        </w:rPr>
      </w:pPr>
      <w:r>
        <w:rPr>
          <w:rFonts w:ascii="Times New Roman" w:hAnsi="Times New Roman"/>
          <w:szCs w:val="20"/>
        </w:rPr>
        <w:tab/>
        <w:t>Forms of defense that did not individualize or politicize the woman rarely succeeded. The Tribunal had little patience for a detailed and logical refutation of the charges brought against the defendant. Rather, the Tribunal seemed offended that the defendant would deny the accuracy of the court. The court treated women who rested their defense upon procedural loopholes—such as the revolutionary government’s failure to announce the institution of a new law—with equal disdain. For the Tribunal, these forms of defense emphasized the alleged crime of the defendant, not the defendant’s purported innocence.</w:t>
      </w:r>
    </w:p>
    <w:p w:rsidR="001C5440" w:rsidRPr="00BF40C4" w:rsidRDefault="001C5440" w:rsidP="00525111">
      <w:pPr>
        <w:spacing w:line="480" w:lineRule="auto"/>
        <w:contextualSpacing/>
        <w:rPr>
          <w:rFonts w:ascii="Times New Roman" w:hAnsi="Times New Roman"/>
        </w:rPr>
      </w:pPr>
      <w:r>
        <w:rPr>
          <w:rFonts w:ascii="Times New Roman" w:hAnsi="Times New Roman"/>
          <w:szCs w:val="20"/>
        </w:rPr>
        <w:tab/>
        <w:t xml:space="preserve">Many factors, therefore, coalesced to determine the eventual outcome of each case before the Tribunal. Popular culture, has often perceived the Tribunal as an irrational and crazed court system, incapable of acquitting any case that came before it. I cannot deny the </w:t>
      </w:r>
      <w:r>
        <w:rPr>
          <w:rFonts w:ascii="Times New Roman" w:hAnsi="Times New Roman"/>
          <w:szCs w:val="20"/>
        </w:rPr>
        <w:lastRenderedPageBreak/>
        <w:t>occasional validity of that assessment. Mass trials based on non</w:t>
      </w:r>
      <w:r w:rsidRPr="00850AB9">
        <w:rPr>
          <w:rFonts w:ascii="Times New Roman" w:hAnsi="Times New Roman"/>
          <w:szCs w:val="20"/>
        </w:rPr>
        <w:t xml:space="preserve">-existent evidence </w:t>
      </w:r>
      <w:r>
        <w:rPr>
          <w:rFonts w:ascii="Times New Roman" w:hAnsi="Times New Roman"/>
          <w:szCs w:val="20"/>
        </w:rPr>
        <w:t>marred</w:t>
      </w:r>
      <w:r w:rsidRPr="00850AB9">
        <w:rPr>
          <w:rFonts w:ascii="Times New Roman" w:hAnsi="Times New Roman"/>
          <w:szCs w:val="20"/>
        </w:rPr>
        <w:t xml:space="preserve"> the Tribunal’s history. However, many, if not most, of the women tried by the Tribunal were viewed through the </w:t>
      </w:r>
      <w:r w:rsidRPr="00850AB9">
        <w:rPr>
          <w:rFonts w:ascii="Times New Roman" w:hAnsi="Times New Roman"/>
        </w:rPr>
        <w:t>complex lens of both traditional gender dynamics as well as the dynamics of revolutionary political participation.</w:t>
      </w:r>
      <w:r>
        <w:rPr>
          <w:rFonts w:ascii="Times New Roman" w:hAnsi="Times New Roman"/>
        </w:rPr>
        <w:t xml:space="preserve"> An overriding anxiety over the </w:t>
      </w:r>
      <w:r w:rsidRPr="00BF40C4">
        <w:rPr>
          <w:rFonts w:ascii="Times New Roman" w:hAnsi="Times New Roman"/>
        </w:rPr>
        <w:t xml:space="preserve">deleterious, indirect influence of women shaped the Tribunal’s understanding of female crime. Further, the court’s reaction towards female defense reflected the logistical realities of the courtroom; catching the attention of someone, anyone, served as the essential first step towards fashioning a counter explanation to the prosecution’s vignette. </w:t>
      </w:r>
    </w:p>
    <w:p w:rsidR="001C5440" w:rsidRPr="00BF40C4" w:rsidRDefault="001C5440" w:rsidP="00525111">
      <w:pPr>
        <w:spacing w:line="505" w:lineRule="auto"/>
        <w:ind w:firstLine="720"/>
        <w:rPr>
          <w:rFonts w:ascii="Times New Roman" w:hAnsi="Times New Roman"/>
        </w:rPr>
      </w:pPr>
      <w:r w:rsidRPr="00BF40C4">
        <w:rPr>
          <w:rFonts w:ascii="Times New Roman" w:hAnsi="Times New Roman"/>
        </w:rPr>
        <w:t>I originally set out to study women’s defense and self-representation within the revolutionary justice system. I wanted to illuminate the role gendered norms played in the exercise of justice and how women strategically concocted their own political personas. In my quest to answer these questions, I realized that the Tribunal itself, not the defendants on trial, yielded more interesting subject matter.</w:t>
      </w:r>
      <w:r>
        <w:rPr>
          <w:rFonts w:ascii="Times New Roman" w:hAnsi="Times New Roman"/>
        </w:rPr>
        <w:t xml:space="preserve"> </w:t>
      </w:r>
      <w:r w:rsidRPr="00BF40C4">
        <w:rPr>
          <w:rFonts w:ascii="Times New Roman" w:hAnsi="Times New Roman"/>
        </w:rPr>
        <w:t xml:space="preserve">Existing for little more than a year, the Revolutionary Tribunal profoundly shaped the course of the Revolution and burned itself into the public’s imagination. Even today, the guillotine of Dickens’ </w:t>
      </w:r>
      <w:r w:rsidRPr="00BF40C4">
        <w:rPr>
          <w:rFonts w:ascii="Times New Roman" w:hAnsi="Times New Roman"/>
          <w:i/>
        </w:rPr>
        <w:t xml:space="preserve">The Tale of Two Cities </w:t>
      </w:r>
      <w:r w:rsidRPr="00BF40C4">
        <w:rPr>
          <w:rFonts w:ascii="Times New Roman" w:hAnsi="Times New Roman"/>
        </w:rPr>
        <w:t xml:space="preserve">evokes fear and fascination in readers. Although often imagined as summarily condemning thousands to their death, the Revolutionary Tribunal dispensed a nuanced form of justice, strongly influenced by and indicative of societal values, fears, and aspirations. In this way, the Tribunal reflected the views of both the revolutionary government and society more generally. A greater study of the Revolutionary Tribunal—especially of the thousands of men it tried—will augment the current understanding of revolutionary justice. It is easy to dismiss the decisions of the Tribunal as arbitrary, but a </w:t>
      </w:r>
      <w:r w:rsidRPr="00BF40C4">
        <w:rPr>
          <w:rFonts w:ascii="Times New Roman" w:hAnsi="Times New Roman"/>
        </w:rPr>
        <w:lastRenderedPageBreak/>
        <w:t xml:space="preserve">more detailed analysis provides insight into the values of not only the Tribunal, but of revolutionary society more generally. </w:t>
      </w:r>
    </w:p>
    <w:p w:rsidR="00CB0720" w:rsidRDefault="00CB0720" w:rsidP="00CB0720">
      <w:pPr>
        <w:spacing w:after="0"/>
        <w:rPr>
          <w:rFonts w:ascii="Times New Roman" w:hAnsi="Times New Roman"/>
          <w:szCs w:val="20"/>
        </w:rPr>
      </w:pPr>
    </w:p>
    <w:p w:rsidR="001C5440" w:rsidRPr="00CB0720" w:rsidRDefault="00CB0720" w:rsidP="00CB0720">
      <w:pPr>
        <w:spacing w:after="0"/>
        <w:jc w:val="center"/>
        <w:rPr>
          <w:rFonts w:ascii="Times New Roman" w:hAnsi="Times New Roman"/>
          <w:smallCaps/>
          <w:szCs w:val="20"/>
        </w:rPr>
      </w:pPr>
      <w:r>
        <w:rPr>
          <w:rFonts w:ascii="Times New Roman" w:hAnsi="Times New Roman"/>
          <w:smallCaps/>
          <w:szCs w:val="20"/>
        </w:rPr>
        <w:br w:type="page"/>
      </w:r>
      <w:r w:rsidR="001C5440" w:rsidRPr="00CB0720">
        <w:rPr>
          <w:rFonts w:ascii="Times New Roman" w:hAnsi="Times New Roman"/>
          <w:smallCaps/>
          <w:szCs w:val="20"/>
        </w:rPr>
        <w:lastRenderedPageBreak/>
        <w:t>Bibliography</w:t>
      </w:r>
    </w:p>
    <w:p w:rsidR="001C5440" w:rsidRDefault="001C5440" w:rsidP="00BF30D3">
      <w:pPr>
        <w:ind w:left="432" w:hanging="432"/>
        <w:contextualSpacing/>
        <w:rPr>
          <w:rFonts w:ascii="Times New Roman" w:hAnsi="Times New Roman"/>
          <w:szCs w:val="20"/>
        </w:rPr>
      </w:pPr>
    </w:p>
    <w:p w:rsidR="001C5440" w:rsidRDefault="001C5440" w:rsidP="00200C5B">
      <w:pPr>
        <w:spacing w:line="480" w:lineRule="auto"/>
        <w:ind w:left="432" w:hanging="432"/>
        <w:contextualSpacing/>
        <w:rPr>
          <w:rFonts w:ascii="Times New Roman" w:hAnsi="Times New Roman"/>
          <w:szCs w:val="20"/>
        </w:rPr>
      </w:pPr>
      <w:r w:rsidRPr="00BF30D3">
        <w:rPr>
          <w:rFonts w:ascii="Times New Roman" w:hAnsi="Times New Roman"/>
          <w:i/>
          <w:szCs w:val="20"/>
        </w:rPr>
        <w:t>A History of Women in the West</w:t>
      </w:r>
      <w:r>
        <w:rPr>
          <w:rFonts w:ascii="Times New Roman" w:hAnsi="Times New Roman"/>
          <w:i/>
          <w:szCs w:val="20"/>
        </w:rPr>
        <w:t>.</w:t>
      </w:r>
      <w:r w:rsidRPr="00BF30D3">
        <w:rPr>
          <w:rFonts w:ascii="Times New Roman" w:hAnsi="Times New Roman"/>
          <w:szCs w:val="20"/>
        </w:rPr>
        <w:t xml:space="preserve"> </w:t>
      </w:r>
      <w:r>
        <w:rPr>
          <w:rFonts w:ascii="Times New Roman" w:hAnsi="Times New Roman"/>
          <w:szCs w:val="20"/>
        </w:rPr>
        <w:t xml:space="preserve">Cambridge, Mass.: Belknap Press of Harvard University Press, 1992. </w:t>
      </w:r>
    </w:p>
    <w:p w:rsidR="001C5440" w:rsidRDefault="001C5440" w:rsidP="00200C5B">
      <w:pPr>
        <w:spacing w:line="480" w:lineRule="auto"/>
        <w:ind w:left="432" w:hanging="432"/>
        <w:contextualSpacing/>
        <w:rPr>
          <w:rFonts w:ascii="Times New Roman" w:hAnsi="Times New Roman"/>
          <w:szCs w:val="20"/>
        </w:rPr>
      </w:pPr>
      <w:r>
        <w:rPr>
          <w:rFonts w:ascii="Times New Roman" w:hAnsi="Times New Roman"/>
          <w:szCs w:val="20"/>
        </w:rPr>
        <w:t xml:space="preserve">Arasse, Daniel. </w:t>
      </w:r>
      <w:r w:rsidRPr="00BF30D3">
        <w:rPr>
          <w:rFonts w:ascii="Times New Roman" w:hAnsi="Times New Roman"/>
          <w:i/>
          <w:szCs w:val="20"/>
        </w:rPr>
        <w:t>The Guillotine and the Terror</w:t>
      </w:r>
      <w:r>
        <w:rPr>
          <w:rFonts w:ascii="Times New Roman" w:hAnsi="Times New Roman"/>
          <w:i/>
          <w:szCs w:val="20"/>
        </w:rPr>
        <w:t>.</w:t>
      </w:r>
      <w:r w:rsidRPr="00BF30D3">
        <w:rPr>
          <w:rFonts w:ascii="Times New Roman" w:hAnsi="Times New Roman"/>
          <w:szCs w:val="20"/>
        </w:rPr>
        <w:t xml:space="preserve"> </w:t>
      </w:r>
      <w:r>
        <w:rPr>
          <w:rFonts w:ascii="Times New Roman" w:hAnsi="Times New Roman"/>
          <w:szCs w:val="20"/>
        </w:rPr>
        <w:t xml:space="preserve">London: Lane, 1989. </w:t>
      </w:r>
    </w:p>
    <w:p w:rsidR="001C5440" w:rsidRDefault="001C5440" w:rsidP="00200C5B">
      <w:pPr>
        <w:spacing w:line="480" w:lineRule="auto"/>
        <w:ind w:left="432" w:hanging="432"/>
        <w:contextualSpacing/>
        <w:rPr>
          <w:rFonts w:ascii="Times New Roman" w:hAnsi="Times New Roman"/>
          <w:szCs w:val="20"/>
        </w:rPr>
      </w:pPr>
      <w:r>
        <w:rPr>
          <w:rFonts w:ascii="Times New Roman" w:hAnsi="Times New Roman"/>
          <w:szCs w:val="20"/>
        </w:rPr>
        <w:t xml:space="preserve">Beckstrand, Lisa. </w:t>
      </w:r>
      <w:r w:rsidRPr="00BF30D3">
        <w:rPr>
          <w:rFonts w:ascii="Times New Roman" w:hAnsi="Times New Roman"/>
          <w:i/>
          <w:szCs w:val="20"/>
        </w:rPr>
        <w:t>Deviant Women of the French Revolution and the Rise of Feminism</w:t>
      </w:r>
      <w:r>
        <w:rPr>
          <w:rFonts w:ascii="Times New Roman" w:hAnsi="Times New Roman"/>
          <w:i/>
          <w:szCs w:val="20"/>
        </w:rPr>
        <w:t>.</w:t>
      </w:r>
      <w:r w:rsidRPr="00BF30D3">
        <w:rPr>
          <w:rFonts w:ascii="Times New Roman" w:hAnsi="Times New Roman"/>
          <w:szCs w:val="20"/>
        </w:rPr>
        <w:t xml:space="preserve"> </w:t>
      </w:r>
      <w:r>
        <w:rPr>
          <w:rFonts w:ascii="Times New Roman" w:hAnsi="Times New Roman"/>
          <w:szCs w:val="20"/>
        </w:rPr>
        <w:t xml:space="preserve">Madison N.J.: Fairleigh Dickinson University Press, 2009. </w:t>
      </w:r>
    </w:p>
    <w:p w:rsidR="001C5440" w:rsidRDefault="001C5440" w:rsidP="00200C5B">
      <w:pPr>
        <w:spacing w:line="480" w:lineRule="auto"/>
        <w:ind w:left="432" w:hanging="432"/>
        <w:contextualSpacing/>
        <w:rPr>
          <w:rFonts w:ascii="Times New Roman" w:hAnsi="Times New Roman"/>
          <w:szCs w:val="20"/>
        </w:rPr>
      </w:pPr>
      <w:r>
        <w:rPr>
          <w:rFonts w:ascii="Times New Roman" w:hAnsi="Times New Roman"/>
          <w:szCs w:val="20"/>
        </w:rPr>
        <w:t xml:space="preserve">Billard, Max. </w:t>
      </w:r>
      <w:r w:rsidR="00200C5B">
        <w:rPr>
          <w:rFonts w:ascii="Times New Roman" w:hAnsi="Times New Roman"/>
          <w:i/>
          <w:szCs w:val="20"/>
        </w:rPr>
        <w:t>Les Femmes enceintes devant le tribunal révolutionnaire, d'après des documents i</w:t>
      </w:r>
      <w:r w:rsidRPr="00BF30D3">
        <w:rPr>
          <w:rFonts w:ascii="Times New Roman" w:hAnsi="Times New Roman"/>
          <w:i/>
          <w:szCs w:val="20"/>
        </w:rPr>
        <w:t>nédits</w:t>
      </w:r>
      <w:r>
        <w:rPr>
          <w:rFonts w:ascii="Times New Roman" w:hAnsi="Times New Roman"/>
          <w:i/>
          <w:szCs w:val="20"/>
        </w:rPr>
        <w:t>.</w:t>
      </w:r>
      <w:r w:rsidRPr="00BF30D3">
        <w:rPr>
          <w:rFonts w:ascii="Times New Roman" w:hAnsi="Times New Roman"/>
          <w:szCs w:val="20"/>
        </w:rPr>
        <w:t xml:space="preserve"> </w:t>
      </w:r>
      <w:r>
        <w:rPr>
          <w:rFonts w:ascii="Times New Roman" w:hAnsi="Times New Roman"/>
          <w:szCs w:val="20"/>
        </w:rPr>
        <w:t xml:space="preserve">Paris: Perrin, 1911. </w:t>
      </w:r>
    </w:p>
    <w:p w:rsidR="001C5440" w:rsidRDefault="001C5440" w:rsidP="00200C5B">
      <w:pPr>
        <w:spacing w:line="480" w:lineRule="auto"/>
        <w:ind w:left="432" w:hanging="432"/>
        <w:contextualSpacing/>
        <w:rPr>
          <w:rFonts w:ascii="Times New Roman" w:hAnsi="Times New Roman"/>
          <w:szCs w:val="20"/>
        </w:rPr>
      </w:pPr>
      <w:r>
        <w:rPr>
          <w:rFonts w:ascii="Times New Roman" w:hAnsi="Times New Roman"/>
          <w:szCs w:val="20"/>
        </w:rPr>
        <w:t xml:space="preserve">Brown, Stephanie A. "Women on Trial: The Revolutionary Tribunal and Gender." Ph.D. diss., Stanford, 1996. </w:t>
      </w:r>
    </w:p>
    <w:p w:rsidR="001C5440" w:rsidRDefault="001C5440" w:rsidP="00200C5B">
      <w:pPr>
        <w:spacing w:line="480" w:lineRule="auto"/>
        <w:ind w:left="432" w:hanging="432"/>
        <w:contextualSpacing/>
        <w:rPr>
          <w:rFonts w:ascii="Times New Roman" w:hAnsi="Times New Roman"/>
          <w:szCs w:val="20"/>
        </w:rPr>
      </w:pPr>
      <w:r>
        <w:rPr>
          <w:rFonts w:ascii="Times New Roman" w:hAnsi="Times New Roman"/>
          <w:szCs w:val="20"/>
        </w:rPr>
        <w:t xml:space="preserve">Caron, Pierre. </w:t>
      </w:r>
      <w:r w:rsidR="00200C5B">
        <w:rPr>
          <w:rFonts w:ascii="Times New Roman" w:hAnsi="Times New Roman"/>
          <w:i/>
          <w:szCs w:val="20"/>
        </w:rPr>
        <w:t>Les Massacres de s</w:t>
      </w:r>
      <w:r w:rsidRPr="00BF30D3">
        <w:rPr>
          <w:rFonts w:ascii="Times New Roman" w:hAnsi="Times New Roman"/>
          <w:i/>
          <w:szCs w:val="20"/>
        </w:rPr>
        <w:t>eptembre</w:t>
      </w:r>
      <w:r>
        <w:rPr>
          <w:rFonts w:ascii="Times New Roman" w:hAnsi="Times New Roman"/>
          <w:i/>
          <w:szCs w:val="20"/>
        </w:rPr>
        <w:t>.</w:t>
      </w:r>
      <w:r w:rsidRPr="00BF30D3">
        <w:rPr>
          <w:rFonts w:ascii="Times New Roman" w:hAnsi="Times New Roman"/>
          <w:szCs w:val="20"/>
        </w:rPr>
        <w:t xml:space="preserve"> </w:t>
      </w:r>
      <w:r>
        <w:rPr>
          <w:rFonts w:ascii="Times New Roman" w:hAnsi="Times New Roman"/>
          <w:szCs w:val="20"/>
        </w:rPr>
        <w:t xml:space="preserve">Paris: La Maison du livre français, 1935. </w:t>
      </w:r>
    </w:p>
    <w:p w:rsidR="001C5440" w:rsidRDefault="001C5440" w:rsidP="00200C5B">
      <w:pPr>
        <w:spacing w:line="480" w:lineRule="auto"/>
        <w:ind w:left="432" w:hanging="432"/>
        <w:contextualSpacing/>
        <w:rPr>
          <w:rFonts w:ascii="Times New Roman" w:hAnsi="Times New Roman"/>
          <w:szCs w:val="20"/>
        </w:rPr>
      </w:pPr>
      <w:r>
        <w:rPr>
          <w:rFonts w:ascii="Times New Roman" w:hAnsi="Times New Roman"/>
          <w:szCs w:val="20"/>
        </w:rPr>
        <w:t>de Montesquieu,</w:t>
      </w:r>
      <w:r w:rsidR="00200C5B">
        <w:rPr>
          <w:rFonts w:ascii="Times New Roman" w:hAnsi="Times New Roman"/>
          <w:szCs w:val="20"/>
        </w:rPr>
        <w:t xml:space="preserve"> </w:t>
      </w:r>
      <w:r>
        <w:rPr>
          <w:rFonts w:ascii="Times New Roman" w:hAnsi="Times New Roman"/>
          <w:szCs w:val="20"/>
        </w:rPr>
        <w:t>Cha</w:t>
      </w:r>
      <w:r w:rsidR="00CB0720">
        <w:rPr>
          <w:rFonts w:ascii="Times New Roman" w:hAnsi="Times New Roman"/>
          <w:szCs w:val="20"/>
        </w:rPr>
        <w:t>rles de Secondat, baron</w:t>
      </w:r>
      <w:r>
        <w:rPr>
          <w:rFonts w:ascii="Times New Roman" w:hAnsi="Times New Roman"/>
          <w:szCs w:val="20"/>
        </w:rPr>
        <w:t xml:space="preserve">. </w:t>
      </w:r>
      <w:r w:rsidRPr="00BF30D3">
        <w:rPr>
          <w:rFonts w:ascii="Times New Roman" w:hAnsi="Times New Roman"/>
          <w:i/>
          <w:szCs w:val="20"/>
        </w:rPr>
        <w:t>Persian Letters</w:t>
      </w:r>
      <w:r>
        <w:rPr>
          <w:rFonts w:ascii="Times New Roman" w:hAnsi="Times New Roman"/>
          <w:i/>
          <w:szCs w:val="20"/>
        </w:rPr>
        <w:t>.</w:t>
      </w:r>
      <w:r w:rsidRPr="00BF30D3">
        <w:rPr>
          <w:rFonts w:ascii="Times New Roman" w:hAnsi="Times New Roman"/>
          <w:szCs w:val="20"/>
        </w:rPr>
        <w:t xml:space="preserve"> </w:t>
      </w:r>
      <w:r>
        <w:rPr>
          <w:rFonts w:ascii="Times New Roman" w:hAnsi="Times New Roman"/>
          <w:szCs w:val="20"/>
        </w:rPr>
        <w:t xml:space="preserve">Harmondsworth, Eng. ; New York, NY: Penguin Books, 1993. </w:t>
      </w:r>
    </w:p>
    <w:p w:rsidR="001C5440" w:rsidRDefault="001C5440" w:rsidP="00200C5B">
      <w:pPr>
        <w:spacing w:line="480" w:lineRule="auto"/>
        <w:ind w:left="432" w:hanging="432"/>
        <w:contextualSpacing/>
        <w:rPr>
          <w:rFonts w:ascii="Times New Roman" w:hAnsi="Times New Roman"/>
          <w:szCs w:val="20"/>
        </w:rPr>
      </w:pPr>
      <w:r>
        <w:rPr>
          <w:rFonts w:ascii="Times New Roman" w:hAnsi="Times New Roman"/>
          <w:szCs w:val="20"/>
        </w:rPr>
        <w:t xml:space="preserve">Dunoyer, Alphonse. </w:t>
      </w:r>
      <w:r w:rsidRPr="00BF30D3">
        <w:rPr>
          <w:rFonts w:ascii="Times New Roman" w:hAnsi="Times New Roman"/>
          <w:i/>
          <w:szCs w:val="20"/>
        </w:rPr>
        <w:t>The Public Prosecutor of the Terror, Antoine Quentin Fouquier-Tinville</w:t>
      </w:r>
      <w:r>
        <w:rPr>
          <w:rFonts w:ascii="Times New Roman" w:hAnsi="Times New Roman"/>
          <w:i/>
          <w:szCs w:val="20"/>
        </w:rPr>
        <w:t>.</w:t>
      </w:r>
      <w:r w:rsidRPr="00BF30D3">
        <w:rPr>
          <w:rFonts w:ascii="Times New Roman" w:hAnsi="Times New Roman"/>
          <w:szCs w:val="20"/>
        </w:rPr>
        <w:t xml:space="preserve"> </w:t>
      </w:r>
      <w:r>
        <w:rPr>
          <w:rFonts w:ascii="Times New Roman" w:hAnsi="Times New Roman"/>
          <w:szCs w:val="20"/>
        </w:rPr>
        <w:t xml:space="preserve">New York: G.P. Putnam's Sons, 1913. </w:t>
      </w:r>
    </w:p>
    <w:p w:rsidR="001C5440" w:rsidRDefault="001C5440" w:rsidP="00200C5B">
      <w:pPr>
        <w:spacing w:line="480" w:lineRule="auto"/>
        <w:ind w:left="432" w:hanging="432"/>
        <w:contextualSpacing/>
        <w:rPr>
          <w:rFonts w:ascii="Times New Roman" w:hAnsi="Times New Roman"/>
          <w:szCs w:val="20"/>
        </w:rPr>
      </w:pPr>
      <w:r>
        <w:rPr>
          <w:rFonts w:ascii="Times New Roman" w:hAnsi="Times New Roman"/>
          <w:szCs w:val="20"/>
        </w:rPr>
        <w:t xml:space="preserve">Godfrey, James Logan. </w:t>
      </w:r>
      <w:r w:rsidR="00200C5B">
        <w:rPr>
          <w:rFonts w:ascii="Times New Roman" w:hAnsi="Times New Roman"/>
          <w:i/>
          <w:szCs w:val="20"/>
        </w:rPr>
        <w:t>Revolutionary Justice</w:t>
      </w:r>
      <w:r w:rsidRPr="00BF30D3">
        <w:rPr>
          <w:rFonts w:ascii="Times New Roman" w:hAnsi="Times New Roman"/>
          <w:i/>
          <w:szCs w:val="20"/>
        </w:rPr>
        <w:t>: A Study of the Organization, Personnel, and Procedure of the Paris Tribunal, 1793-1795</w:t>
      </w:r>
      <w:r>
        <w:rPr>
          <w:rFonts w:ascii="Times New Roman" w:hAnsi="Times New Roman"/>
          <w:i/>
          <w:szCs w:val="20"/>
        </w:rPr>
        <w:t>.</w:t>
      </w:r>
      <w:r w:rsidRPr="00BF30D3">
        <w:rPr>
          <w:rFonts w:ascii="Times New Roman" w:hAnsi="Times New Roman"/>
          <w:szCs w:val="20"/>
        </w:rPr>
        <w:t xml:space="preserve"> </w:t>
      </w:r>
      <w:r>
        <w:rPr>
          <w:rFonts w:ascii="Times New Roman" w:hAnsi="Times New Roman"/>
          <w:szCs w:val="20"/>
        </w:rPr>
        <w:t xml:space="preserve">Chapel Hill: University of North Carolina Press, 1951. </w:t>
      </w:r>
    </w:p>
    <w:p w:rsidR="001C5440" w:rsidRDefault="001C5440" w:rsidP="00200C5B">
      <w:pPr>
        <w:spacing w:line="480" w:lineRule="auto"/>
        <w:ind w:left="432" w:hanging="432"/>
        <w:contextualSpacing/>
        <w:rPr>
          <w:rFonts w:ascii="Times New Roman" w:hAnsi="Times New Roman"/>
          <w:szCs w:val="20"/>
        </w:rPr>
      </w:pPr>
      <w:r>
        <w:rPr>
          <w:rFonts w:ascii="Times New Roman" w:hAnsi="Times New Roman"/>
          <w:szCs w:val="20"/>
        </w:rPr>
        <w:t xml:space="preserve">Godineau, Dominique. </w:t>
      </w:r>
      <w:r w:rsidRPr="00BF30D3">
        <w:rPr>
          <w:rFonts w:ascii="Times New Roman" w:hAnsi="Times New Roman"/>
          <w:i/>
          <w:szCs w:val="20"/>
        </w:rPr>
        <w:t>The Women of Paris and their French Revolution</w:t>
      </w:r>
      <w:r>
        <w:rPr>
          <w:rFonts w:ascii="Times New Roman" w:hAnsi="Times New Roman"/>
          <w:i/>
          <w:szCs w:val="20"/>
        </w:rPr>
        <w:t>.</w:t>
      </w:r>
      <w:r w:rsidRPr="00BF30D3">
        <w:rPr>
          <w:rFonts w:ascii="Times New Roman" w:hAnsi="Times New Roman"/>
          <w:szCs w:val="20"/>
        </w:rPr>
        <w:t xml:space="preserve"> </w:t>
      </w:r>
      <w:r>
        <w:rPr>
          <w:rFonts w:ascii="Times New Roman" w:hAnsi="Times New Roman"/>
          <w:szCs w:val="20"/>
        </w:rPr>
        <w:t xml:space="preserve">Berkeley: University of California Press, 1998. </w:t>
      </w:r>
    </w:p>
    <w:p w:rsidR="001C5440" w:rsidRDefault="001C5440" w:rsidP="00200C5B">
      <w:pPr>
        <w:spacing w:line="480" w:lineRule="auto"/>
        <w:ind w:left="432" w:hanging="432"/>
        <w:contextualSpacing/>
        <w:rPr>
          <w:rFonts w:ascii="Times New Roman" w:hAnsi="Times New Roman"/>
          <w:szCs w:val="20"/>
        </w:rPr>
      </w:pPr>
      <w:r>
        <w:rPr>
          <w:rFonts w:ascii="Times New Roman" w:hAnsi="Times New Roman"/>
          <w:szCs w:val="20"/>
        </w:rPr>
        <w:t xml:space="preserve">Goodman, Dena. </w:t>
      </w:r>
      <w:r w:rsidR="00200C5B">
        <w:rPr>
          <w:rFonts w:ascii="Times New Roman" w:hAnsi="Times New Roman"/>
          <w:i/>
          <w:szCs w:val="20"/>
        </w:rPr>
        <w:t>The Republic of Letters</w:t>
      </w:r>
      <w:r w:rsidRPr="00BF30D3">
        <w:rPr>
          <w:rFonts w:ascii="Times New Roman" w:hAnsi="Times New Roman"/>
          <w:i/>
          <w:szCs w:val="20"/>
        </w:rPr>
        <w:t>: A Cultural History of the French Enlightenment</w:t>
      </w:r>
      <w:r>
        <w:rPr>
          <w:rFonts w:ascii="Times New Roman" w:hAnsi="Times New Roman"/>
          <w:i/>
          <w:szCs w:val="20"/>
        </w:rPr>
        <w:t>.</w:t>
      </w:r>
      <w:r w:rsidRPr="00BF30D3">
        <w:rPr>
          <w:rFonts w:ascii="Times New Roman" w:hAnsi="Times New Roman"/>
          <w:szCs w:val="20"/>
        </w:rPr>
        <w:t xml:space="preserve"> </w:t>
      </w:r>
      <w:r>
        <w:rPr>
          <w:rFonts w:ascii="Times New Roman" w:hAnsi="Times New Roman"/>
          <w:szCs w:val="20"/>
        </w:rPr>
        <w:t xml:space="preserve">Ithaca, N.Y.: Cornell University Press, 1994. </w:t>
      </w:r>
    </w:p>
    <w:p w:rsidR="001C5440" w:rsidRDefault="001C5440" w:rsidP="00200C5B">
      <w:pPr>
        <w:spacing w:line="480" w:lineRule="auto"/>
        <w:ind w:left="432" w:hanging="432"/>
        <w:contextualSpacing/>
        <w:rPr>
          <w:rFonts w:ascii="Times New Roman" w:hAnsi="Times New Roman"/>
          <w:szCs w:val="20"/>
        </w:rPr>
      </w:pPr>
      <w:r>
        <w:rPr>
          <w:rFonts w:ascii="Times New Roman" w:hAnsi="Times New Roman"/>
          <w:szCs w:val="20"/>
        </w:rPr>
        <w:t xml:space="preserve">Greer, Donald. </w:t>
      </w:r>
      <w:r w:rsidRPr="00BF30D3">
        <w:rPr>
          <w:rFonts w:ascii="Times New Roman" w:hAnsi="Times New Roman"/>
          <w:i/>
          <w:szCs w:val="20"/>
        </w:rPr>
        <w:t>The Incidence of the Terror during the French Revolution; a Statistical Interpretation</w:t>
      </w:r>
      <w:r>
        <w:rPr>
          <w:rFonts w:ascii="Times New Roman" w:hAnsi="Times New Roman"/>
          <w:i/>
          <w:szCs w:val="20"/>
        </w:rPr>
        <w:t>.</w:t>
      </w:r>
      <w:r w:rsidRPr="00BF30D3">
        <w:rPr>
          <w:rFonts w:ascii="Times New Roman" w:hAnsi="Times New Roman"/>
          <w:szCs w:val="20"/>
        </w:rPr>
        <w:t xml:space="preserve"> </w:t>
      </w:r>
      <w:r>
        <w:rPr>
          <w:rFonts w:ascii="Times New Roman" w:hAnsi="Times New Roman"/>
          <w:szCs w:val="20"/>
        </w:rPr>
        <w:t xml:space="preserve">Cambridge: Harvard University Press, 1935. </w:t>
      </w:r>
    </w:p>
    <w:p w:rsidR="001C5440" w:rsidRDefault="001C5440" w:rsidP="00200C5B">
      <w:pPr>
        <w:spacing w:line="480" w:lineRule="auto"/>
        <w:ind w:left="432" w:hanging="432"/>
        <w:contextualSpacing/>
        <w:rPr>
          <w:rFonts w:ascii="Times New Roman" w:hAnsi="Times New Roman"/>
          <w:szCs w:val="20"/>
        </w:rPr>
      </w:pPr>
      <w:r>
        <w:rPr>
          <w:rFonts w:ascii="Times New Roman" w:hAnsi="Times New Roman"/>
          <w:szCs w:val="20"/>
        </w:rPr>
        <w:lastRenderedPageBreak/>
        <w:t>Habib, Danis, and Pierr</w:t>
      </w:r>
      <w:r w:rsidR="00200C5B">
        <w:rPr>
          <w:rFonts w:ascii="Times New Roman" w:hAnsi="Times New Roman"/>
          <w:szCs w:val="20"/>
        </w:rPr>
        <w:t>e-Dominique Cheynet. "Tribunal r</w:t>
      </w:r>
      <w:r>
        <w:rPr>
          <w:rFonts w:ascii="Times New Roman" w:hAnsi="Times New Roman"/>
          <w:szCs w:val="20"/>
        </w:rPr>
        <w:t>évolutionnaire (1793-an III):</w:t>
      </w:r>
      <w:r w:rsidR="00200C5B">
        <w:rPr>
          <w:rFonts w:ascii="Times New Roman" w:hAnsi="Times New Roman"/>
          <w:szCs w:val="20"/>
        </w:rPr>
        <w:t xml:space="preserve"> </w:t>
      </w:r>
      <w:r w:rsidR="00AD0377">
        <w:rPr>
          <w:rFonts w:ascii="Times New Roman" w:hAnsi="Times New Roman"/>
          <w:szCs w:val="20"/>
        </w:rPr>
        <w:t>répertoire numérique des affaires j</w:t>
      </w:r>
      <w:r w:rsidR="00A7163A">
        <w:rPr>
          <w:rFonts w:ascii="Times New Roman" w:hAnsi="Times New Roman"/>
          <w:szCs w:val="20"/>
        </w:rPr>
        <w:t>ugées W 268 à 499." Paris, 2009</w:t>
      </w:r>
      <w:r>
        <w:rPr>
          <w:rFonts w:ascii="Times New Roman" w:hAnsi="Times New Roman"/>
          <w:szCs w:val="20"/>
        </w:rPr>
        <w:t>.</w:t>
      </w:r>
    </w:p>
    <w:p w:rsidR="001C5440" w:rsidRDefault="001C5440" w:rsidP="00200C5B">
      <w:pPr>
        <w:spacing w:line="480" w:lineRule="auto"/>
        <w:ind w:left="432" w:hanging="432"/>
        <w:contextualSpacing/>
        <w:rPr>
          <w:rFonts w:ascii="Times New Roman" w:hAnsi="Times New Roman"/>
          <w:szCs w:val="20"/>
        </w:rPr>
      </w:pPr>
      <w:r>
        <w:rPr>
          <w:rFonts w:ascii="Times New Roman" w:hAnsi="Times New Roman"/>
          <w:szCs w:val="20"/>
        </w:rPr>
        <w:t xml:space="preserve">Heuer, Jennifer Ngaire. </w:t>
      </w:r>
      <w:r w:rsidR="00200C5B">
        <w:rPr>
          <w:rFonts w:ascii="Times New Roman" w:hAnsi="Times New Roman"/>
          <w:i/>
          <w:szCs w:val="20"/>
        </w:rPr>
        <w:t>The Family and the Nation</w:t>
      </w:r>
      <w:r w:rsidRPr="00BF30D3">
        <w:rPr>
          <w:rFonts w:ascii="Times New Roman" w:hAnsi="Times New Roman"/>
          <w:i/>
          <w:szCs w:val="20"/>
        </w:rPr>
        <w:t>: Gender and Citizenship in Revolutionary France, 1789-1830</w:t>
      </w:r>
      <w:r>
        <w:rPr>
          <w:rFonts w:ascii="Times New Roman" w:hAnsi="Times New Roman"/>
          <w:i/>
          <w:szCs w:val="20"/>
        </w:rPr>
        <w:t>.</w:t>
      </w:r>
      <w:r w:rsidRPr="00BF30D3">
        <w:rPr>
          <w:rFonts w:ascii="Times New Roman" w:hAnsi="Times New Roman"/>
          <w:szCs w:val="20"/>
        </w:rPr>
        <w:t xml:space="preserve"> </w:t>
      </w:r>
      <w:r>
        <w:rPr>
          <w:rFonts w:ascii="Times New Roman" w:hAnsi="Times New Roman"/>
          <w:szCs w:val="20"/>
        </w:rPr>
        <w:t xml:space="preserve">Ithaca, N.Y.: Cornell University Press, 2005. </w:t>
      </w:r>
    </w:p>
    <w:p w:rsidR="001C5440" w:rsidRDefault="001C5440" w:rsidP="00200C5B">
      <w:pPr>
        <w:spacing w:line="480" w:lineRule="auto"/>
        <w:ind w:left="432" w:hanging="432"/>
        <w:contextualSpacing/>
        <w:rPr>
          <w:rFonts w:ascii="Times New Roman" w:hAnsi="Times New Roman"/>
          <w:szCs w:val="20"/>
        </w:rPr>
      </w:pPr>
      <w:r>
        <w:rPr>
          <w:rFonts w:ascii="Times New Roman" w:hAnsi="Times New Roman"/>
          <w:szCs w:val="20"/>
        </w:rPr>
        <w:t xml:space="preserve">Hufton, Olwen H. </w:t>
      </w:r>
      <w:r w:rsidR="00200C5B">
        <w:rPr>
          <w:rFonts w:ascii="Times New Roman" w:hAnsi="Times New Roman"/>
          <w:i/>
          <w:szCs w:val="20"/>
        </w:rPr>
        <w:t>The Prospect before Her</w:t>
      </w:r>
      <w:r w:rsidRPr="00BF30D3">
        <w:rPr>
          <w:rFonts w:ascii="Times New Roman" w:hAnsi="Times New Roman"/>
          <w:i/>
          <w:szCs w:val="20"/>
        </w:rPr>
        <w:t>: A History of Women in Western Europe</w:t>
      </w:r>
      <w:r>
        <w:rPr>
          <w:rFonts w:ascii="Times New Roman" w:hAnsi="Times New Roman"/>
          <w:i/>
          <w:szCs w:val="20"/>
        </w:rPr>
        <w:t>.</w:t>
      </w:r>
      <w:r w:rsidRPr="00BF30D3">
        <w:rPr>
          <w:rFonts w:ascii="Times New Roman" w:hAnsi="Times New Roman"/>
          <w:szCs w:val="20"/>
        </w:rPr>
        <w:t xml:space="preserve"> </w:t>
      </w:r>
      <w:r>
        <w:rPr>
          <w:rFonts w:ascii="Times New Roman" w:hAnsi="Times New Roman"/>
          <w:szCs w:val="20"/>
        </w:rPr>
        <w:t>1st Amer</w:t>
      </w:r>
      <w:r w:rsidR="00200C5B">
        <w:rPr>
          <w:rFonts w:ascii="Times New Roman" w:hAnsi="Times New Roman"/>
          <w:szCs w:val="20"/>
        </w:rPr>
        <w:t>ican ed. New York: Alfred Knopf</w:t>
      </w:r>
      <w:r>
        <w:rPr>
          <w:rFonts w:ascii="Times New Roman" w:hAnsi="Times New Roman"/>
          <w:szCs w:val="20"/>
        </w:rPr>
        <w:t xml:space="preserve">, 1996. </w:t>
      </w:r>
    </w:p>
    <w:p w:rsidR="001C5440" w:rsidRDefault="001C5440" w:rsidP="00200C5B">
      <w:pPr>
        <w:spacing w:line="480" w:lineRule="auto"/>
        <w:ind w:left="450"/>
        <w:contextualSpacing/>
        <w:rPr>
          <w:rFonts w:ascii="Times New Roman" w:hAnsi="Times New Roman"/>
          <w:szCs w:val="20"/>
        </w:rPr>
      </w:pPr>
      <w:r w:rsidRPr="00BF30D3">
        <w:rPr>
          <w:rFonts w:ascii="Times New Roman" w:hAnsi="Times New Roman"/>
          <w:i/>
          <w:szCs w:val="20"/>
        </w:rPr>
        <w:t>Women and the Limits of Citizenship in the French Revolution</w:t>
      </w:r>
      <w:r>
        <w:rPr>
          <w:rFonts w:ascii="Times New Roman" w:hAnsi="Times New Roman"/>
          <w:i/>
          <w:szCs w:val="20"/>
        </w:rPr>
        <w:t>.</w:t>
      </w:r>
      <w:r w:rsidRPr="00BF30D3">
        <w:rPr>
          <w:rFonts w:ascii="Times New Roman" w:hAnsi="Times New Roman"/>
          <w:szCs w:val="20"/>
        </w:rPr>
        <w:t xml:space="preserve"> </w:t>
      </w:r>
      <w:r>
        <w:rPr>
          <w:rFonts w:ascii="Times New Roman" w:hAnsi="Times New Roman"/>
          <w:szCs w:val="20"/>
        </w:rPr>
        <w:t xml:space="preserve">Toronto: University of Toronto Press, 1992. </w:t>
      </w:r>
    </w:p>
    <w:p w:rsidR="001C5440" w:rsidRDefault="001C5440" w:rsidP="00200C5B">
      <w:pPr>
        <w:spacing w:line="480" w:lineRule="auto"/>
        <w:ind w:left="432" w:hanging="432"/>
        <w:contextualSpacing/>
        <w:rPr>
          <w:rFonts w:ascii="Times New Roman" w:hAnsi="Times New Roman"/>
          <w:szCs w:val="20"/>
        </w:rPr>
      </w:pPr>
      <w:r>
        <w:rPr>
          <w:rFonts w:ascii="Times New Roman" w:hAnsi="Times New Roman"/>
          <w:szCs w:val="20"/>
        </w:rPr>
        <w:t xml:space="preserve">Landes, Joan B. </w:t>
      </w:r>
      <w:r w:rsidRPr="00BF30D3">
        <w:rPr>
          <w:rFonts w:ascii="Times New Roman" w:hAnsi="Times New Roman"/>
          <w:i/>
          <w:szCs w:val="20"/>
        </w:rPr>
        <w:t>Women and the Public Sphere in the Age of the French Revolution</w:t>
      </w:r>
      <w:r>
        <w:rPr>
          <w:rFonts w:ascii="Times New Roman" w:hAnsi="Times New Roman"/>
          <w:i/>
          <w:szCs w:val="20"/>
        </w:rPr>
        <w:t>.</w:t>
      </w:r>
      <w:r w:rsidRPr="00BF30D3">
        <w:rPr>
          <w:rFonts w:ascii="Times New Roman" w:hAnsi="Times New Roman"/>
          <w:szCs w:val="20"/>
        </w:rPr>
        <w:t xml:space="preserve"> </w:t>
      </w:r>
      <w:r>
        <w:rPr>
          <w:rFonts w:ascii="Times New Roman" w:hAnsi="Times New Roman"/>
          <w:szCs w:val="20"/>
        </w:rPr>
        <w:t xml:space="preserve">Ithaca: Cornell University Press, 1988. </w:t>
      </w:r>
    </w:p>
    <w:p w:rsidR="001C5440" w:rsidRDefault="001C5440" w:rsidP="00200C5B">
      <w:pPr>
        <w:spacing w:line="480" w:lineRule="auto"/>
        <w:ind w:left="432" w:hanging="432"/>
        <w:contextualSpacing/>
        <w:rPr>
          <w:rFonts w:ascii="Times New Roman" w:hAnsi="Times New Roman"/>
          <w:szCs w:val="20"/>
        </w:rPr>
      </w:pPr>
      <w:r>
        <w:rPr>
          <w:rFonts w:ascii="Times New Roman" w:hAnsi="Times New Roman"/>
          <w:szCs w:val="20"/>
        </w:rPr>
        <w:t xml:space="preserve">Lougee, Carolyn C. </w:t>
      </w:r>
      <w:r w:rsidR="00200C5B">
        <w:rPr>
          <w:rFonts w:ascii="Times New Roman" w:hAnsi="Times New Roman"/>
          <w:i/>
          <w:szCs w:val="20"/>
        </w:rPr>
        <w:t>Le Paradis d</w:t>
      </w:r>
      <w:r w:rsidRPr="00BF30D3">
        <w:rPr>
          <w:rFonts w:ascii="Times New Roman" w:hAnsi="Times New Roman"/>
          <w:i/>
          <w:szCs w:val="20"/>
        </w:rPr>
        <w:t>es Femmes : Women, Salons, and Social Stratification in Seventeenth-Century France</w:t>
      </w:r>
      <w:r>
        <w:rPr>
          <w:rFonts w:ascii="Times New Roman" w:hAnsi="Times New Roman"/>
          <w:i/>
          <w:szCs w:val="20"/>
        </w:rPr>
        <w:t>.</w:t>
      </w:r>
      <w:r w:rsidRPr="00BF30D3">
        <w:rPr>
          <w:rFonts w:ascii="Times New Roman" w:hAnsi="Times New Roman"/>
          <w:szCs w:val="20"/>
        </w:rPr>
        <w:t xml:space="preserve"> </w:t>
      </w:r>
      <w:r>
        <w:rPr>
          <w:rFonts w:ascii="Times New Roman" w:hAnsi="Times New Roman"/>
          <w:szCs w:val="20"/>
        </w:rPr>
        <w:t>Princeton, N.</w:t>
      </w:r>
      <w:r w:rsidR="00A7163A">
        <w:rPr>
          <w:rFonts w:ascii="Times New Roman" w:hAnsi="Times New Roman"/>
          <w:szCs w:val="20"/>
        </w:rPr>
        <w:t xml:space="preserve">J. : Princeton University Press, </w:t>
      </w:r>
      <w:r>
        <w:rPr>
          <w:rFonts w:ascii="Times New Roman" w:hAnsi="Times New Roman"/>
          <w:szCs w:val="20"/>
        </w:rPr>
        <w:t xml:space="preserve">1976. </w:t>
      </w:r>
    </w:p>
    <w:p w:rsidR="001C5440" w:rsidRDefault="001C5440" w:rsidP="00200C5B">
      <w:pPr>
        <w:spacing w:line="480" w:lineRule="auto"/>
        <w:ind w:left="432" w:hanging="432"/>
        <w:contextualSpacing/>
        <w:rPr>
          <w:rFonts w:ascii="Times New Roman" w:hAnsi="Times New Roman"/>
          <w:szCs w:val="20"/>
        </w:rPr>
      </w:pPr>
      <w:r>
        <w:rPr>
          <w:rFonts w:ascii="Times New Roman" w:hAnsi="Times New Roman"/>
          <w:szCs w:val="20"/>
        </w:rPr>
        <w:t>Marie Antoinette, Queen Consort of Louis XVI,</w:t>
      </w:r>
      <w:r w:rsidR="00AD0377">
        <w:rPr>
          <w:rFonts w:ascii="Times New Roman" w:hAnsi="Times New Roman"/>
          <w:szCs w:val="20"/>
        </w:rPr>
        <w:t xml:space="preserve"> </w:t>
      </w:r>
      <w:r>
        <w:rPr>
          <w:rFonts w:ascii="Times New Roman" w:hAnsi="Times New Roman"/>
          <w:szCs w:val="20"/>
        </w:rPr>
        <w:t xml:space="preserve">King of France. </w:t>
      </w:r>
      <w:r w:rsidRPr="00BF30D3">
        <w:rPr>
          <w:rFonts w:ascii="Times New Roman" w:hAnsi="Times New Roman"/>
          <w:i/>
          <w:szCs w:val="20"/>
        </w:rPr>
        <w:t>Trial of Marie Antoinette, Late Queen of France, before the Revolutionary Tribunal, at Paris; Compiled from a Manuscript Sent from Paris, and from the Journals of the Moniteur. the Whole Carefully Revised and Corrected</w:t>
      </w:r>
      <w:r>
        <w:rPr>
          <w:rFonts w:ascii="Times New Roman" w:hAnsi="Times New Roman"/>
          <w:i/>
          <w:szCs w:val="20"/>
        </w:rPr>
        <w:t>.</w:t>
      </w:r>
      <w:r w:rsidRPr="00BF30D3">
        <w:rPr>
          <w:rFonts w:ascii="Times New Roman" w:hAnsi="Times New Roman"/>
          <w:szCs w:val="20"/>
        </w:rPr>
        <w:t xml:space="preserve"> </w:t>
      </w:r>
      <w:r w:rsidR="00200C5B">
        <w:rPr>
          <w:rFonts w:ascii="Times New Roman" w:hAnsi="Times New Roman"/>
          <w:szCs w:val="20"/>
        </w:rPr>
        <w:t xml:space="preserve">London, </w:t>
      </w:r>
      <w:r>
        <w:rPr>
          <w:rFonts w:ascii="Times New Roman" w:hAnsi="Times New Roman"/>
          <w:szCs w:val="20"/>
        </w:rPr>
        <w:t xml:space="preserve">1794. </w:t>
      </w:r>
    </w:p>
    <w:p w:rsidR="001C5440" w:rsidRDefault="001C5440" w:rsidP="00200C5B">
      <w:pPr>
        <w:spacing w:line="480" w:lineRule="auto"/>
        <w:ind w:left="432" w:hanging="432"/>
        <w:contextualSpacing/>
        <w:rPr>
          <w:rFonts w:ascii="Times New Roman" w:hAnsi="Times New Roman"/>
          <w:szCs w:val="20"/>
        </w:rPr>
      </w:pPr>
      <w:r>
        <w:rPr>
          <w:rFonts w:ascii="Times New Roman" w:hAnsi="Times New Roman"/>
          <w:szCs w:val="20"/>
        </w:rPr>
        <w:t xml:space="preserve">Maza, Sarah C. </w:t>
      </w:r>
      <w:r w:rsidRPr="00BF30D3">
        <w:rPr>
          <w:rFonts w:ascii="Times New Roman" w:hAnsi="Times New Roman"/>
          <w:i/>
          <w:szCs w:val="20"/>
        </w:rPr>
        <w:t>P</w:t>
      </w:r>
      <w:r w:rsidR="00200C5B">
        <w:rPr>
          <w:rFonts w:ascii="Times New Roman" w:hAnsi="Times New Roman"/>
          <w:i/>
          <w:szCs w:val="20"/>
        </w:rPr>
        <w:t>rivate Lives and Public Affairs: The Causes C</w:t>
      </w:r>
      <w:r w:rsidRPr="00BF30D3">
        <w:rPr>
          <w:rFonts w:ascii="Times New Roman" w:hAnsi="Times New Roman"/>
          <w:i/>
          <w:szCs w:val="20"/>
        </w:rPr>
        <w:t>élèbres of Prerevolutionary France</w:t>
      </w:r>
      <w:r>
        <w:rPr>
          <w:rFonts w:ascii="Times New Roman" w:hAnsi="Times New Roman"/>
          <w:i/>
          <w:szCs w:val="20"/>
        </w:rPr>
        <w:t>.</w:t>
      </w:r>
      <w:r w:rsidRPr="00BF30D3">
        <w:rPr>
          <w:rFonts w:ascii="Times New Roman" w:hAnsi="Times New Roman"/>
          <w:szCs w:val="20"/>
        </w:rPr>
        <w:t xml:space="preserve"> </w:t>
      </w:r>
      <w:r>
        <w:rPr>
          <w:rFonts w:ascii="Times New Roman" w:hAnsi="Times New Roman"/>
          <w:szCs w:val="20"/>
        </w:rPr>
        <w:t xml:space="preserve">Berkeley: University of California Press, 1993. </w:t>
      </w:r>
    </w:p>
    <w:p w:rsidR="001C5440" w:rsidRDefault="001C5440" w:rsidP="00200C5B">
      <w:pPr>
        <w:spacing w:line="480" w:lineRule="auto"/>
        <w:ind w:left="432" w:hanging="432"/>
        <w:contextualSpacing/>
        <w:rPr>
          <w:rFonts w:ascii="Times New Roman" w:hAnsi="Times New Roman"/>
          <w:szCs w:val="20"/>
        </w:rPr>
      </w:pPr>
      <w:r>
        <w:rPr>
          <w:rFonts w:ascii="Times New Roman" w:hAnsi="Times New Roman"/>
          <w:szCs w:val="20"/>
        </w:rPr>
        <w:t xml:space="preserve">Outram, Dorinda. "Words and Flesh: Mme Roland, the Female Body and the Search for Power." In </w:t>
      </w:r>
      <w:r w:rsidRPr="00BF30D3">
        <w:rPr>
          <w:rFonts w:ascii="Times New Roman" w:hAnsi="Times New Roman"/>
          <w:i/>
          <w:szCs w:val="20"/>
        </w:rPr>
        <w:t>The Body and the French Revolution: Sex, Class and Political Culture</w:t>
      </w:r>
      <w:r>
        <w:rPr>
          <w:rFonts w:ascii="Times New Roman" w:hAnsi="Times New Roman"/>
          <w:i/>
          <w:szCs w:val="20"/>
        </w:rPr>
        <w:t>.</w:t>
      </w:r>
      <w:r w:rsidR="00AD108B">
        <w:rPr>
          <w:rFonts w:ascii="Times New Roman" w:hAnsi="Times New Roman"/>
          <w:i/>
          <w:szCs w:val="20"/>
        </w:rPr>
        <w:t xml:space="preserve"> </w:t>
      </w:r>
      <w:r>
        <w:rPr>
          <w:rFonts w:ascii="Times New Roman" w:hAnsi="Times New Roman"/>
          <w:szCs w:val="20"/>
        </w:rPr>
        <w:t xml:space="preserve">New Haven, Conn.: Yale University Press, 1989, 124. </w:t>
      </w:r>
    </w:p>
    <w:p w:rsidR="001C5440" w:rsidRDefault="001C5440" w:rsidP="00200C5B">
      <w:pPr>
        <w:spacing w:line="480" w:lineRule="auto"/>
        <w:ind w:left="432" w:hanging="432"/>
        <w:contextualSpacing/>
        <w:rPr>
          <w:rFonts w:ascii="Times New Roman" w:hAnsi="Times New Roman"/>
          <w:szCs w:val="20"/>
        </w:rPr>
      </w:pPr>
      <w:r>
        <w:rPr>
          <w:rFonts w:ascii="Times New Roman" w:hAnsi="Times New Roman"/>
          <w:szCs w:val="20"/>
        </w:rPr>
        <w:t xml:space="preserve">Pétion, Jérôme. </w:t>
      </w:r>
      <w:r w:rsidR="00AD108B">
        <w:rPr>
          <w:rFonts w:ascii="Times New Roman" w:hAnsi="Times New Roman"/>
          <w:i/>
          <w:szCs w:val="20"/>
        </w:rPr>
        <w:t>Oeuvres d</w:t>
      </w:r>
      <w:r w:rsidRPr="00BF30D3">
        <w:rPr>
          <w:rFonts w:ascii="Times New Roman" w:hAnsi="Times New Roman"/>
          <w:i/>
          <w:szCs w:val="20"/>
        </w:rPr>
        <w:t>e Jérôme Pétion</w:t>
      </w:r>
      <w:r>
        <w:rPr>
          <w:rFonts w:ascii="Times New Roman" w:hAnsi="Times New Roman"/>
          <w:i/>
          <w:szCs w:val="20"/>
        </w:rPr>
        <w:t>.</w:t>
      </w:r>
      <w:r w:rsidRPr="00BF30D3">
        <w:rPr>
          <w:rFonts w:ascii="Times New Roman" w:hAnsi="Times New Roman"/>
          <w:szCs w:val="20"/>
        </w:rPr>
        <w:t xml:space="preserve"> </w:t>
      </w:r>
      <w:r>
        <w:rPr>
          <w:rFonts w:ascii="Times New Roman" w:hAnsi="Times New Roman"/>
          <w:szCs w:val="20"/>
        </w:rPr>
        <w:t xml:space="preserve">Paris: Garnery, 1792. </w:t>
      </w:r>
    </w:p>
    <w:p w:rsidR="001C5440" w:rsidRDefault="001C5440" w:rsidP="00200C5B">
      <w:pPr>
        <w:spacing w:line="480" w:lineRule="auto"/>
        <w:ind w:left="432" w:hanging="432"/>
        <w:contextualSpacing/>
        <w:rPr>
          <w:rFonts w:ascii="Times New Roman" w:hAnsi="Times New Roman"/>
          <w:szCs w:val="20"/>
        </w:rPr>
      </w:pPr>
      <w:r>
        <w:rPr>
          <w:rFonts w:ascii="Times New Roman" w:hAnsi="Times New Roman"/>
          <w:szCs w:val="20"/>
        </w:rPr>
        <w:t xml:space="preserve">Prudhomme, Louis Marie. </w:t>
      </w:r>
      <w:r w:rsidR="00AD108B">
        <w:rPr>
          <w:rFonts w:ascii="Times New Roman" w:hAnsi="Times New Roman"/>
          <w:i/>
          <w:szCs w:val="20"/>
        </w:rPr>
        <w:t>Histoire générale et impartiale des erreurs, des fautes et des crimes commis pendant la révolution f</w:t>
      </w:r>
      <w:r w:rsidRPr="00BF30D3">
        <w:rPr>
          <w:rFonts w:ascii="Times New Roman" w:hAnsi="Times New Roman"/>
          <w:i/>
          <w:szCs w:val="20"/>
        </w:rPr>
        <w:t>rançaise</w:t>
      </w:r>
      <w:r>
        <w:rPr>
          <w:rFonts w:ascii="Times New Roman" w:hAnsi="Times New Roman"/>
          <w:i/>
          <w:szCs w:val="20"/>
        </w:rPr>
        <w:t>.</w:t>
      </w:r>
      <w:r w:rsidRPr="00BF30D3">
        <w:rPr>
          <w:rFonts w:ascii="Times New Roman" w:hAnsi="Times New Roman"/>
          <w:szCs w:val="20"/>
        </w:rPr>
        <w:t xml:space="preserve"> </w:t>
      </w:r>
      <w:r>
        <w:rPr>
          <w:rFonts w:ascii="Times New Roman" w:hAnsi="Times New Roman"/>
          <w:szCs w:val="20"/>
        </w:rPr>
        <w:t xml:space="preserve">Paris:1796. </w:t>
      </w:r>
    </w:p>
    <w:p w:rsidR="001C5440" w:rsidRDefault="001C5440" w:rsidP="00200C5B">
      <w:pPr>
        <w:spacing w:line="480" w:lineRule="auto"/>
        <w:ind w:left="432" w:hanging="432"/>
        <w:contextualSpacing/>
        <w:rPr>
          <w:rFonts w:ascii="Times New Roman" w:hAnsi="Times New Roman"/>
          <w:szCs w:val="20"/>
        </w:rPr>
      </w:pPr>
      <w:r>
        <w:rPr>
          <w:rFonts w:ascii="Times New Roman" w:hAnsi="Times New Roman"/>
          <w:szCs w:val="20"/>
        </w:rPr>
        <w:lastRenderedPageBreak/>
        <w:t xml:space="preserve">Seligman, Edmond. </w:t>
      </w:r>
      <w:r w:rsidR="00AD108B">
        <w:rPr>
          <w:rFonts w:ascii="Times New Roman" w:hAnsi="Times New Roman"/>
          <w:i/>
          <w:szCs w:val="20"/>
        </w:rPr>
        <w:t>La Justice en France pendant la r</w:t>
      </w:r>
      <w:r w:rsidR="00AD0377">
        <w:rPr>
          <w:rFonts w:ascii="Times New Roman" w:hAnsi="Times New Roman"/>
          <w:i/>
          <w:szCs w:val="20"/>
        </w:rPr>
        <w:t>évolu</w:t>
      </w:r>
      <w:r w:rsidRPr="00BF30D3">
        <w:rPr>
          <w:rFonts w:ascii="Times New Roman" w:hAnsi="Times New Roman"/>
          <w:i/>
          <w:szCs w:val="20"/>
        </w:rPr>
        <w:t>tion</w:t>
      </w:r>
      <w:r>
        <w:rPr>
          <w:rFonts w:ascii="Times New Roman" w:hAnsi="Times New Roman"/>
          <w:i/>
          <w:szCs w:val="20"/>
        </w:rPr>
        <w:t>.</w:t>
      </w:r>
      <w:r w:rsidRPr="00BF30D3">
        <w:rPr>
          <w:rFonts w:ascii="Times New Roman" w:hAnsi="Times New Roman"/>
          <w:szCs w:val="20"/>
        </w:rPr>
        <w:t xml:space="preserve"> </w:t>
      </w:r>
      <w:r>
        <w:rPr>
          <w:rFonts w:ascii="Times New Roman" w:hAnsi="Times New Roman"/>
          <w:szCs w:val="20"/>
        </w:rPr>
        <w:t xml:space="preserve">2 ed. Paris: Plon-Nourrit et cie, 1913. </w:t>
      </w:r>
    </w:p>
    <w:p w:rsidR="001C5440" w:rsidRDefault="001C5440" w:rsidP="00200C5B">
      <w:pPr>
        <w:spacing w:line="480" w:lineRule="auto"/>
        <w:ind w:left="432" w:hanging="432"/>
        <w:contextualSpacing/>
        <w:rPr>
          <w:rFonts w:ascii="Times New Roman" w:hAnsi="Times New Roman"/>
          <w:szCs w:val="20"/>
        </w:rPr>
      </w:pPr>
      <w:r>
        <w:rPr>
          <w:rFonts w:ascii="Times New Roman" w:hAnsi="Times New Roman"/>
          <w:szCs w:val="20"/>
        </w:rPr>
        <w:t xml:space="preserve">Shapiro, Barry M. </w:t>
      </w:r>
      <w:r w:rsidRPr="00BF30D3">
        <w:rPr>
          <w:rFonts w:ascii="Times New Roman" w:hAnsi="Times New Roman"/>
          <w:i/>
          <w:szCs w:val="20"/>
        </w:rPr>
        <w:t>Revolutionary Justice in Paris, 1789-1790</w:t>
      </w:r>
      <w:r>
        <w:rPr>
          <w:rFonts w:ascii="Times New Roman" w:hAnsi="Times New Roman"/>
          <w:i/>
          <w:szCs w:val="20"/>
        </w:rPr>
        <w:t>.</w:t>
      </w:r>
      <w:r w:rsidRPr="00BF30D3">
        <w:rPr>
          <w:rFonts w:ascii="Times New Roman" w:hAnsi="Times New Roman"/>
          <w:szCs w:val="20"/>
        </w:rPr>
        <w:t xml:space="preserve"> </w:t>
      </w:r>
      <w:r>
        <w:rPr>
          <w:rFonts w:ascii="Times New Roman" w:hAnsi="Times New Roman"/>
          <w:szCs w:val="20"/>
        </w:rPr>
        <w:t xml:space="preserve">Cambridge England ; New York: Cambridge University, 1993. </w:t>
      </w:r>
    </w:p>
    <w:p w:rsidR="001C5440" w:rsidRDefault="001C5440" w:rsidP="00200C5B">
      <w:pPr>
        <w:spacing w:line="480" w:lineRule="auto"/>
        <w:ind w:left="432" w:hanging="432"/>
        <w:contextualSpacing/>
        <w:rPr>
          <w:rFonts w:ascii="Times New Roman" w:hAnsi="Times New Roman"/>
          <w:szCs w:val="20"/>
        </w:rPr>
      </w:pPr>
      <w:r>
        <w:rPr>
          <w:rFonts w:ascii="Times New Roman" w:hAnsi="Times New Roman"/>
          <w:szCs w:val="20"/>
        </w:rPr>
        <w:t xml:space="preserve">Wallon, Henri Alexandre. </w:t>
      </w:r>
      <w:r w:rsidR="00AD108B">
        <w:rPr>
          <w:rFonts w:ascii="Times New Roman" w:hAnsi="Times New Roman"/>
          <w:i/>
          <w:szCs w:val="20"/>
        </w:rPr>
        <w:t>Le Tribunal r</w:t>
      </w:r>
      <w:r w:rsidRPr="00BF30D3">
        <w:rPr>
          <w:rFonts w:ascii="Times New Roman" w:hAnsi="Times New Roman"/>
          <w:i/>
          <w:szCs w:val="20"/>
        </w:rPr>
        <w:t>évolutionnaire: 10 Mars 1793-31 Mai 1795</w:t>
      </w:r>
      <w:r>
        <w:rPr>
          <w:rFonts w:ascii="Times New Roman" w:hAnsi="Times New Roman"/>
          <w:i/>
          <w:szCs w:val="20"/>
        </w:rPr>
        <w:t>.</w:t>
      </w:r>
      <w:r w:rsidRPr="00BF30D3">
        <w:rPr>
          <w:rFonts w:ascii="Times New Roman" w:hAnsi="Times New Roman"/>
          <w:szCs w:val="20"/>
        </w:rPr>
        <w:t xml:space="preserve"> </w:t>
      </w:r>
      <w:r w:rsidR="00AD108B">
        <w:rPr>
          <w:rFonts w:ascii="Times New Roman" w:hAnsi="Times New Roman"/>
          <w:szCs w:val="20"/>
        </w:rPr>
        <w:t>Éd. nouv</w:t>
      </w:r>
      <w:r>
        <w:rPr>
          <w:rFonts w:ascii="Times New Roman" w:hAnsi="Times New Roman"/>
          <w:szCs w:val="20"/>
        </w:rPr>
        <w:t xml:space="preserve">. Paris: Plon-Nourrit et cie, 1900. </w:t>
      </w:r>
    </w:p>
    <w:p w:rsidR="001C5440" w:rsidRDefault="001C5440" w:rsidP="00200C5B">
      <w:pPr>
        <w:spacing w:line="480" w:lineRule="auto"/>
        <w:ind w:left="432" w:hanging="432"/>
        <w:contextualSpacing/>
        <w:rPr>
          <w:rFonts w:ascii="Times New Roman" w:hAnsi="Times New Roman"/>
          <w:szCs w:val="20"/>
        </w:rPr>
      </w:pPr>
      <w:r>
        <w:rPr>
          <w:rFonts w:ascii="Times New Roman" w:hAnsi="Times New Roman"/>
          <w:szCs w:val="20"/>
        </w:rPr>
        <w:t xml:space="preserve">Willette, Luc. </w:t>
      </w:r>
      <w:r w:rsidR="00AD108B">
        <w:rPr>
          <w:rFonts w:ascii="Times New Roman" w:hAnsi="Times New Roman"/>
          <w:i/>
          <w:szCs w:val="20"/>
        </w:rPr>
        <w:t>Le Tribunal r</w:t>
      </w:r>
      <w:r w:rsidRPr="00BF30D3">
        <w:rPr>
          <w:rFonts w:ascii="Times New Roman" w:hAnsi="Times New Roman"/>
          <w:i/>
          <w:szCs w:val="20"/>
        </w:rPr>
        <w:t>évolutionnaire</w:t>
      </w:r>
      <w:r>
        <w:rPr>
          <w:rFonts w:ascii="Times New Roman" w:hAnsi="Times New Roman"/>
          <w:i/>
          <w:szCs w:val="20"/>
        </w:rPr>
        <w:t>.</w:t>
      </w:r>
      <w:r w:rsidRPr="00BF30D3">
        <w:rPr>
          <w:rFonts w:ascii="Times New Roman" w:hAnsi="Times New Roman"/>
          <w:szCs w:val="20"/>
        </w:rPr>
        <w:t xml:space="preserve"> </w:t>
      </w:r>
      <w:r>
        <w:rPr>
          <w:rFonts w:ascii="Times New Roman" w:hAnsi="Times New Roman"/>
          <w:szCs w:val="20"/>
        </w:rPr>
        <w:t xml:space="preserve">Paris: Denoel, 1981. </w:t>
      </w:r>
    </w:p>
    <w:p w:rsidR="001C5440" w:rsidRPr="00BF30D3" w:rsidRDefault="001C5440" w:rsidP="00BF30D3">
      <w:pPr>
        <w:ind w:left="432" w:hanging="432"/>
        <w:contextualSpacing/>
        <w:rPr>
          <w:rFonts w:ascii="Times New Roman" w:hAnsi="Times New Roman"/>
          <w:szCs w:val="20"/>
        </w:rPr>
      </w:pPr>
    </w:p>
    <w:sectPr w:rsidR="001C5440" w:rsidRPr="00BF30D3" w:rsidSect="00CB0720">
      <w:footerReference w:type="even" r:id="rId7"/>
      <w:footerReference w:type="default" r:id="rId8"/>
      <w:pgSz w:w="12240" w:h="15840"/>
      <w:pgMar w:top="1440" w:right="1728" w:bottom="1296" w:left="1728" w:header="720" w:footer="720" w:gutter="0"/>
      <w:cols w:space="72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3C5BB0" w:rsidRDefault="003C5BB0" w:rsidP="00D927D2">
      <w:pPr>
        <w:spacing w:after="0"/>
      </w:pPr>
      <w:r>
        <w:separator/>
      </w:r>
    </w:p>
  </w:endnote>
  <w:endnote w:type="continuationSeparator" w:id="0">
    <w:p w:rsidR="003C5BB0" w:rsidRDefault="003C5BB0" w:rsidP="00D927D2">
      <w:pPr>
        <w:spacing w:after="0"/>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A00002EF" w:usb1="4000004B" w:usb2="00000000" w:usb3="00000000" w:csb0="0000019F" w:csb1="00000000"/>
  </w:font>
  <w:font w:name="Times">
    <w:panose1 w:val="02020603050405020304"/>
    <w:charset w:val="00"/>
    <w:family w:val="roman"/>
    <w:pitch w:val="variable"/>
    <w:sig w:usb0="E0002AFF" w:usb1="C0007841" w:usb2="00000009" w:usb3="00000000" w:csb0="000001FF" w:csb1="00000000"/>
  </w:font>
  <w:font w:name="Lucida Grande">
    <w:charset w:val="00"/>
    <w:family w:val="auto"/>
    <w:pitch w:val="variable"/>
    <w:sig w:usb0="00000003" w:usb1="00000000" w:usb2="00000000" w:usb3="00000000" w:csb0="00000001" w:csb1="00000000"/>
  </w:font>
  <w:font w:name="Bookman Old Style">
    <w:panose1 w:val="02050604050505020204"/>
    <w:charset w:val="00"/>
    <w:family w:val="auto"/>
    <w:pitch w:val="variable"/>
    <w:sig w:usb0="00000003" w:usb1="00000000" w:usb2="00000000" w:usb3="00000000" w:csb0="00000001" w:csb1="00000000"/>
  </w:font>
  <w:font w:name="Book Antiqua">
    <w:panose1 w:val="02040602050305030304"/>
    <w:charset w:val="00"/>
    <w:family w:val="auto"/>
    <w:pitch w:val="variable"/>
    <w:sig w:usb0="00000003" w:usb1="00000000" w:usb2="00000000" w:usb3="00000000" w:csb0="00000001" w:csb1="00000000"/>
  </w:font>
  <w:font w:name="Calibri">
    <w:panose1 w:val="020F0502020204030204"/>
    <w:charset w:val="00"/>
    <w:family w:val="swiss"/>
    <w:pitch w:val="variable"/>
    <w:sig w:usb0="E10002FF" w:usb1="4000ACFF" w:usb2="00000009"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C5BB0" w:rsidRDefault="00F15BAA" w:rsidP="00376314">
    <w:pPr>
      <w:pStyle w:val="Footer"/>
      <w:framePr w:wrap="around" w:vAnchor="text" w:hAnchor="margin" w:xAlign="center" w:y="1"/>
      <w:rPr>
        <w:rStyle w:val="PageNumber"/>
      </w:rPr>
    </w:pPr>
    <w:r>
      <w:rPr>
        <w:rStyle w:val="PageNumber"/>
      </w:rPr>
      <w:fldChar w:fldCharType="begin"/>
    </w:r>
    <w:r w:rsidR="003C5BB0">
      <w:rPr>
        <w:rStyle w:val="PageNumber"/>
      </w:rPr>
      <w:instrText xml:space="preserve">PAGE  </w:instrText>
    </w:r>
    <w:r>
      <w:rPr>
        <w:rStyle w:val="PageNumber"/>
      </w:rPr>
      <w:fldChar w:fldCharType="end"/>
    </w:r>
  </w:p>
  <w:p w:rsidR="003C5BB0" w:rsidRDefault="003C5BB0">
    <w:pPr>
      <w:pStyle w:val="Foote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C5BB0" w:rsidRPr="00CB0720" w:rsidRDefault="00F15BAA" w:rsidP="00376314">
    <w:pPr>
      <w:pStyle w:val="Footer"/>
      <w:framePr w:wrap="around" w:vAnchor="text" w:hAnchor="margin" w:xAlign="center" w:y="1"/>
      <w:rPr>
        <w:rStyle w:val="PageNumber"/>
        <w:rFonts w:ascii="Times New Roman" w:hAnsi="Times New Roman"/>
      </w:rPr>
    </w:pPr>
    <w:r w:rsidRPr="00CB0720">
      <w:rPr>
        <w:rStyle w:val="PageNumber"/>
        <w:rFonts w:ascii="Times New Roman" w:hAnsi="Times New Roman"/>
      </w:rPr>
      <w:fldChar w:fldCharType="begin"/>
    </w:r>
    <w:r w:rsidR="003C5BB0" w:rsidRPr="00CB0720">
      <w:rPr>
        <w:rStyle w:val="PageNumber"/>
        <w:rFonts w:ascii="Times New Roman" w:hAnsi="Times New Roman"/>
      </w:rPr>
      <w:instrText xml:space="preserve">PAGE  </w:instrText>
    </w:r>
    <w:r w:rsidRPr="00CB0720">
      <w:rPr>
        <w:rStyle w:val="PageNumber"/>
        <w:rFonts w:ascii="Times New Roman" w:hAnsi="Times New Roman"/>
      </w:rPr>
      <w:fldChar w:fldCharType="separate"/>
    </w:r>
    <w:r w:rsidR="00D2006F">
      <w:rPr>
        <w:rStyle w:val="PageNumber"/>
        <w:rFonts w:ascii="Times New Roman" w:hAnsi="Times New Roman"/>
        <w:noProof/>
      </w:rPr>
      <w:t>3</w:t>
    </w:r>
    <w:r w:rsidRPr="00CB0720">
      <w:rPr>
        <w:rStyle w:val="PageNumber"/>
        <w:rFonts w:ascii="Times New Roman" w:hAnsi="Times New Roman"/>
      </w:rPr>
      <w:fldChar w:fldCharType="end"/>
    </w:r>
  </w:p>
  <w:p w:rsidR="003C5BB0" w:rsidRPr="00CB0720" w:rsidRDefault="003C5BB0">
    <w:pPr>
      <w:pStyle w:val="Footer"/>
      <w:rPr>
        <w:rFonts w:ascii="Times New Roman" w:hAnsi="Times New Roman"/>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3C5BB0" w:rsidRDefault="003C5BB0" w:rsidP="00D927D2">
      <w:pPr>
        <w:spacing w:after="0"/>
      </w:pPr>
      <w:r>
        <w:separator/>
      </w:r>
    </w:p>
  </w:footnote>
  <w:footnote w:type="continuationSeparator" w:id="0">
    <w:p w:rsidR="003C5BB0" w:rsidRDefault="003C5BB0" w:rsidP="00D927D2">
      <w:pPr>
        <w:spacing w:after="0"/>
      </w:pPr>
      <w:r>
        <w:continuationSeparator/>
      </w:r>
    </w:p>
  </w:footnote>
  <w:footnote w:id="1">
    <w:p w:rsidR="003C5BB0" w:rsidRDefault="003C5BB0" w:rsidP="006C395C">
      <w:pPr>
        <w:pStyle w:val="FootnoteText"/>
        <w:contextualSpacing/>
      </w:pPr>
      <w:r w:rsidRPr="00C50E46">
        <w:rPr>
          <w:rStyle w:val="FootnoteReference"/>
          <w:rFonts w:ascii="Times New Roman" w:hAnsi="Times New Roman"/>
        </w:rPr>
        <w:footnoteRef/>
      </w:r>
      <w:r w:rsidRPr="00C50E46">
        <w:rPr>
          <w:rFonts w:ascii="Times New Roman" w:hAnsi="Times New Roman"/>
        </w:rPr>
        <w:t xml:space="preserve"> </w:t>
      </w:r>
      <w:r>
        <w:rPr>
          <w:rFonts w:ascii="Times New Roman" w:hAnsi="Times New Roman"/>
        </w:rPr>
        <w:t xml:space="preserve">Archives Nationales, Series </w:t>
      </w:r>
      <w:r w:rsidRPr="00C50E46">
        <w:rPr>
          <w:rFonts w:ascii="Times New Roman" w:hAnsi="Times New Roman"/>
        </w:rPr>
        <w:t>W</w:t>
      </w:r>
      <w:r>
        <w:rPr>
          <w:rFonts w:ascii="Times New Roman" w:hAnsi="Times New Roman"/>
        </w:rPr>
        <w:t>, carton</w:t>
      </w:r>
      <w:r w:rsidRPr="00C50E46">
        <w:rPr>
          <w:rFonts w:ascii="Times New Roman" w:hAnsi="Times New Roman"/>
        </w:rPr>
        <w:t xml:space="preserve"> 322,</w:t>
      </w:r>
      <w:r>
        <w:rPr>
          <w:rFonts w:ascii="Times New Roman" w:hAnsi="Times New Roman"/>
        </w:rPr>
        <w:t xml:space="preserve"> plaquette</w:t>
      </w:r>
      <w:r w:rsidRPr="00C50E46">
        <w:rPr>
          <w:rFonts w:ascii="Times New Roman" w:hAnsi="Times New Roman"/>
        </w:rPr>
        <w:t xml:space="preserve"> 499,</w:t>
      </w:r>
      <w:r>
        <w:rPr>
          <w:rFonts w:ascii="Times New Roman" w:hAnsi="Times New Roman"/>
        </w:rPr>
        <w:t xml:space="preserve"> pièce</w:t>
      </w:r>
      <w:r w:rsidRPr="00C50E46">
        <w:rPr>
          <w:rFonts w:ascii="Times New Roman" w:hAnsi="Times New Roman"/>
        </w:rPr>
        <w:t xml:space="preserve"> 1</w:t>
      </w:r>
      <w:r>
        <w:rPr>
          <w:rFonts w:ascii="Times New Roman" w:hAnsi="Times New Roman"/>
        </w:rPr>
        <w:t>.</w:t>
      </w:r>
    </w:p>
  </w:footnote>
  <w:footnote w:id="2">
    <w:p w:rsidR="003C5BB0" w:rsidRDefault="003C5BB0" w:rsidP="006C395C">
      <w:pPr>
        <w:pStyle w:val="FootnoteText"/>
        <w:contextualSpacing/>
      </w:pPr>
      <w:r w:rsidRPr="00C50E46">
        <w:rPr>
          <w:rStyle w:val="FootnoteReference"/>
          <w:rFonts w:ascii="Times New Roman" w:hAnsi="Times New Roman"/>
        </w:rPr>
        <w:footnoteRef/>
      </w:r>
      <w:r w:rsidRPr="00C50E46">
        <w:rPr>
          <w:rFonts w:ascii="Times New Roman" w:hAnsi="Times New Roman"/>
        </w:rPr>
        <w:t xml:space="preserve"> </w:t>
      </w:r>
      <w:r>
        <w:rPr>
          <w:rFonts w:ascii="Times New Roman" w:hAnsi="Times New Roman"/>
        </w:rPr>
        <w:t xml:space="preserve">A.N. </w:t>
      </w:r>
      <w:r w:rsidRPr="00C50E46">
        <w:rPr>
          <w:rFonts w:ascii="Times New Roman" w:hAnsi="Times New Roman"/>
        </w:rPr>
        <w:t>W 322,</w:t>
      </w:r>
      <w:r>
        <w:rPr>
          <w:rFonts w:ascii="Times New Roman" w:hAnsi="Times New Roman"/>
        </w:rPr>
        <w:t xml:space="preserve"> plaq.</w:t>
      </w:r>
      <w:r w:rsidRPr="00C50E46">
        <w:rPr>
          <w:rFonts w:ascii="Times New Roman" w:hAnsi="Times New Roman"/>
        </w:rPr>
        <w:t xml:space="preserve"> 499, </w:t>
      </w:r>
      <w:r>
        <w:rPr>
          <w:rFonts w:ascii="Times New Roman" w:hAnsi="Times New Roman"/>
        </w:rPr>
        <w:t xml:space="preserve">p. </w:t>
      </w:r>
      <w:r w:rsidRPr="00C50E46">
        <w:rPr>
          <w:rFonts w:ascii="Times New Roman" w:hAnsi="Times New Roman"/>
        </w:rPr>
        <w:t>12, pg</w:t>
      </w:r>
      <w:r>
        <w:rPr>
          <w:rFonts w:ascii="Times New Roman" w:hAnsi="Times New Roman"/>
        </w:rPr>
        <w:t>.</w:t>
      </w:r>
      <w:r w:rsidRPr="00C50E46">
        <w:rPr>
          <w:rFonts w:ascii="Times New Roman" w:hAnsi="Times New Roman"/>
        </w:rPr>
        <w:t xml:space="preserve"> 3</w:t>
      </w:r>
      <w:r>
        <w:rPr>
          <w:rFonts w:ascii="Times New Roman" w:hAnsi="Times New Roman"/>
        </w:rPr>
        <w:t>.</w:t>
      </w:r>
    </w:p>
  </w:footnote>
  <w:footnote w:id="3">
    <w:p w:rsidR="003C5BB0" w:rsidRDefault="003C5BB0" w:rsidP="00634CCB">
      <w:pPr>
        <w:pStyle w:val="FootnoteText"/>
        <w:contextualSpacing/>
      </w:pPr>
      <w:r w:rsidRPr="00C50E46">
        <w:rPr>
          <w:rStyle w:val="FootnoteReference"/>
          <w:rFonts w:ascii="Times New Roman" w:hAnsi="Times New Roman"/>
        </w:rPr>
        <w:footnoteRef/>
      </w:r>
      <w:r w:rsidRPr="00C50E46">
        <w:rPr>
          <w:rFonts w:ascii="Times New Roman" w:hAnsi="Times New Roman"/>
        </w:rPr>
        <w:t xml:space="preserve"> </w:t>
      </w:r>
      <w:r>
        <w:rPr>
          <w:rFonts w:ascii="Times New Roman" w:hAnsi="Times New Roman"/>
        </w:rPr>
        <w:t xml:space="preserve"> </w:t>
      </w:r>
      <w:r w:rsidRPr="00634CCB">
        <w:rPr>
          <w:rFonts w:ascii="Times New Roman" w:hAnsi="Times New Roman"/>
        </w:rPr>
        <w:t>James Logan</w:t>
      </w:r>
      <w:r>
        <w:rPr>
          <w:rFonts w:ascii="Times New Roman" w:hAnsi="Times New Roman"/>
        </w:rPr>
        <w:t xml:space="preserve"> Godfrey, </w:t>
      </w:r>
      <w:r w:rsidRPr="00634CCB">
        <w:rPr>
          <w:rFonts w:ascii="Times New Roman" w:hAnsi="Times New Roman"/>
          <w:i/>
        </w:rPr>
        <w:t>Revolutionary Justice : A Study of the Organization, Personnel, and Procedure of the Paris Tribunal, 1793-1795</w:t>
      </w:r>
      <w:r w:rsidRPr="00634CCB">
        <w:rPr>
          <w:rFonts w:ascii="Times New Roman" w:hAnsi="Times New Roman"/>
        </w:rPr>
        <w:t xml:space="preserve"> (</w:t>
      </w:r>
      <w:r>
        <w:rPr>
          <w:rFonts w:ascii="Times New Roman" w:hAnsi="Times New Roman"/>
        </w:rPr>
        <w:t xml:space="preserve">Chapel Hill: University of North Carolina Press, 1951), 142-143.  </w:t>
      </w:r>
    </w:p>
  </w:footnote>
  <w:footnote w:id="4">
    <w:p w:rsidR="003C5BB0" w:rsidRDefault="003C5BB0" w:rsidP="00634CCB">
      <w:pPr>
        <w:pStyle w:val="FootnoteText"/>
        <w:contextualSpacing/>
      </w:pPr>
      <w:r w:rsidRPr="00C50E46">
        <w:rPr>
          <w:rStyle w:val="FootnoteReference"/>
          <w:rFonts w:ascii="Times New Roman" w:hAnsi="Times New Roman"/>
        </w:rPr>
        <w:footnoteRef/>
      </w:r>
      <w:r>
        <w:rPr>
          <w:rFonts w:ascii="Times New Roman" w:hAnsi="Times New Roman"/>
        </w:rPr>
        <w:t xml:space="preserve">  </w:t>
      </w:r>
      <w:r w:rsidRPr="00634CCB">
        <w:rPr>
          <w:rFonts w:ascii="Times New Roman" w:hAnsi="Times New Roman"/>
        </w:rPr>
        <w:t>Donald</w:t>
      </w:r>
      <w:r>
        <w:rPr>
          <w:rFonts w:ascii="Times New Roman" w:hAnsi="Times New Roman"/>
        </w:rPr>
        <w:t xml:space="preserve"> Greer, </w:t>
      </w:r>
      <w:r w:rsidRPr="00634CCB">
        <w:rPr>
          <w:rFonts w:ascii="Times New Roman" w:hAnsi="Times New Roman"/>
          <w:i/>
        </w:rPr>
        <w:t>The Incidence of the Terror during the French Revolution; a Statistical Interpretation</w:t>
      </w:r>
      <w:r w:rsidRPr="00634CCB">
        <w:rPr>
          <w:rFonts w:ascii="Times New Roman" w:hAnsi="Times New Roman"/>
        </w:rPr>
        <w:t xml:space="preserve"> (</w:t>
      </w:r>
      <w:r>
        <w:rPr>
          <w:rFonts w:ascii="Times New Roman" w:hAnsi="Times New Roman"/>
        </w:rPr>
        <w:t xml:space="preserve">Cambridge: Harvard University Press, 1935), 152.  </w:t>
      </w:r>
    </w:p>
  </w:footnote>
  <w:footnote w:id="5">
    <w:p w:rsidR="003C5BB0" w:rsidRDefault="003C5BB0" w:rsidP="006C395C">
      <w:pPr>
        <w:pStyle w:val="FootnoteText"/>
        <w:contextualSpacing/>
      </w:pPr>
      <w:r w:rsidRPr="00C50E46">
        <w:rPr>
          <w:rStyle w:val="FootnoteReference"/>
          <w:rFonts w:ascii="Times New Roman" w:hAnsi="Times New Roman"/>
        </w:rPr>
        <w:footnoteRef/>
      </w:r>
      <w:r w:rsidRPr="00C50E46">
        <w:rPr>
          <w:rFonts w:ascii="Times New Roman" w:hAnsi="Times New Roman"/>
        </w:rPr>
        <w:t xml:space="preserve"> The trials of King Louis XVI, Marie Antoinette, Charlotte Corday, Madame Roland and others are easy to find both in their original form as well as in translation. The same cannot be said of lesser-known women. </w:t>
      </w:r>
    </w:p>
  </w:footnote>
  <w:footnote w:id="6">
    <w:p w:rsidR="003C5BB0" w:rsidRDefault="003C5BB0" w:rsidP="006C395C">
      <w:pPr>
        <w:pStyle w:val="FootnoteText"/>
        <w:contextualSpacing/>
      </w:pPr>
      <w:r w:rsidRPr="00C50E46">
        <w:rPr>
          <w:rStyle w:val="FootnoteReference"/>
          <w:rFonts w:ascii="Times New Roman" w:hAnsi="Times New Roman"/>
        </w:rPr>
        <w:footnoteRef/>
      </w:r>
      <w:r w:rsidRPr="00C50E46">
        <w:rPr>
          <w:rFonts w:ascii="Times New Roman" w:hAnsi="Times New Roman"/>
        </w:rPr>
        <w:t xml:space="preserve"> The extensive work of Greer and Godfrey are but two examples. </w:t>
      </w:r>
    </w:p>
  </w:footnote>
  <w:footnote w:id="7">
    <w:p w:rsidR="003C5BB0" w:rsidRDefault="003C5BB0" w:rsidP="00634CCB">
      <w:pPr>
        <w:pStyle w:val="FootnoteText"/>
        <w:contextualSpacing/>
      </w:pPr>
      <w:r w:rsidRPr="00C50E46">
        <w:rPr>
          <w:rStyle w:val="FootnoteReference"/>
          <w:rFonts w:ascii="Times New Roman" w:hAnsi="Times New Roman"/>
        </w:rPr>
        <w:footnoteRef/>
      </w:r>
      <w:r>
        <w:rPr>
          <w:rFonts w:ascii="Times New Roman" w:hAnsi="Times New Roman"/>
        </w:rPr>
        <w:t xml:space="preserve">  </w:t>
      </w:r>
      <w:r w:rsidRPr="00634CCB">
        <w:rPr>
          <w:rFonts w:ascii="Times New Roman" w:hAnsi="Times New Roman"/>
        </w:rPr>
        <w:t>Max</w:t>
      </w:r>
      <w:r>
        <w:rPr>
          <w:rFonts w:ascii="Times New Roman" w:hAnsi="Times New Roman"/>
        </w:rPr>
        <w:t xml:space="preserve"> Billard, </w:t>
      </w:r>
      <w:r>
        <w:rPr>
          <w:rFonts w:ascii="Times New Roman" w:hAnsi="Times New Roman"/>
          <w:i/>
        </w:rPr>
        <w:t>Les Femmes enceintes devant le tribunal révolutionnaire, d'après des documents i</w:t>
      </w:r>
      <w:r w:rsidRPr="00634CCB">
        <w:rPr>
          <w:rFonts w:ascii="Times New Roman" w:hAnsi="Times New Roman"/>
          <w:i/>
        </w:rPr>
        <w:t>nédits</w:t>
      </w:r>
      <w:r w:rsidRPr="00634CCB">
        <w:rPr>
          <w:rFonts w:ascii="Times New Roman" w:hAnsi="Times New Roman"/>
        </w:rPr>
        <w:t xml:space="preserve"> (</w:t>
      </w:r>
      <w:r>
        <w:rPr>
          <w:rFonts w:ascii="Times New Roman" w:hAnsi="Times New Roman"/>
        </w:rPr>
        <w:t xml:space="preserve">Paris: Perrin, 1911), 225. </w:t>
      </w:r>
    </w:p>
  </w:footnote>
  <w:footnote w:id="8">
    <w:p w:rsidR="003C5BB0" w:rsidRDefault="003C5BB0" w:rsidP="00634CCB">
      <w:pPr>
        <w:pStyle w:val="FootnoteText"/>
        <w:contextualSpacing/>
      </w:pPr>
      <w:r w:rsidRPr="00C50E46">
        <w:rPr>
          <w:rStyle w:val="FootnoteReference"/>
          <w:rFonts w:ascii="Times New Roman" w:hAnsi="Times New Roman"/>
        </w:rPr>
        <w:footnoteRef/>
      </w:r>
      <w:r>
        <w:rPr>
          <w:rFonts w:ascii="Times New Roman" w:hAnsi="Times New Roman"/>
        </w:rPr>
        <w:t xml:space="preserve">  </w:t>
      </w:r>
      <w:r w:rsidRPr="00634CCB">
        <w:rPr>
          <w:rFonts w:ascii="Times New Roman" w:hAnsi="Times New Roman"/>
        </w:rPr>
        <w:t>Stephanie A.</w:t>
      </w:r>
      <w:r>
        <w:rPr>
          <w:rFonts w:ascii="Times New Roman" w:hAnsi="Times New Roman"/>
        </w:rPr>
        <w:t xml:space="preserve"> Brown, "Women on Trial: The Revolutionary Tribunal and Gender" (Ph.D. diss., Stanford, 1996). </w:t>
      </w:r>
    </w:p>
  </w:footnote>
  <w:footnote w:id="9">
    <w:p w:rsidR="003C5BB0" w:rsidRDefault="003C5BB0" w:rsidP="00634CCB">
      <w:pPr>
        <w:pStyle w:val="FootnoteText"/>
        <w:contextualSpacing/>
      </w:pPr>
      <w:r w:rsidRPr="00C50E46">
        <w:rPr>
          <w:rStyle w:val="FootnoteReference"/>
          <w:rFonts w:ascii="Times New Roman" w:hAnsi="Times New Roman"/>
        </w:rPr>
        <w:footnoteRef/>
      </w:r>
      <w:r>
        <w:rPr>
          <w:rFonts w:ascii="Times New Roman" w:hAnsi="Times New Roman"/>
        </w:rPr>
        <w:t xml:space="preserve">  </w:t>
      </w:r>
      <w:r w:rsidRPr="00634CCB">
        <w:rPr>
          <w:rFonts w:ascii="Times New Roman" w:hAnsi="Times New Roman"/>
        </w:rPr>
        <w:t>Ibid.</w:t>
      </w:r>
      <w:r>
        <w:rPr>
          <w:rFonts w:ascii="Times New Roman" w:hAnsi="Times New Roman"/>
        </w:rPr>
        <w:t xml:space="preserve">, 140. </w:t>
      </w:r>
    </w:p>
  </w:footnote>
  <w:footnote w:id="10">
    <w:p w:rsidR="003C5BB0" w:rsidRDefault="003C5BB0" w:rsidP="006C395C">
      <w:pPr>
        <w:pStyle w:val="FootnoteText"/>
        <w:contextualSpacing/>
      </w:pPr>
      <w:r w:rsidRPr="00C50E46">
        <w:rPr>
          <w:rStyle w:val="FootnoteReference"/>
          <w:rFonts w:ascii="Times New Roman" w:hAnsi="Times New Roman"/>
        </w:rPr>
        <w:footnoteRef/>
      </w:r>
      <w:r w:rsidRPr="00C50E46">
        <w:rPr>
          <w:rFonts w:ascii="Times New Roman" w:hAnsi="Times New Roman"/>
        </w:rPr>
        <w:t xml:space="preserve"> These dossiers are available in the W Series of the </w:t>
      </w:r>
      <w:r w:rsidRPr="00C50E46">
        <w:rPr>
          <w:rFonts w:ascii="Times New Roman" w:hAnsi="Times New Roman"/>
          <w:i/>
        </w:rPr>
        <w:t>Archives Nationales.</w:t>
      </w:r>
      <w:r w:rsidRPr="00C50E46">
        <w:rPr>
          <w:rFonts w:ascii="Times New Roman" w:hAnsi="Times New Roman"/>
        </w:rPr>
        <w:t xml:space="preserve"> The dossiers from the Revolutionary Tribunal number </w:t>
      </w:r>
      <w:r>
        <w:rPr>
          <w:rFonts w:ascii="Times New Roman" w:hAnsi="Times New Roman"/>
        </w:rPr>
        <w:t xml:space="preserve">A.N. </w:t>
      </w:r>
      <w:r w:rsidRPr="00C50E46">
        <w:rPr>
          <w:rFonts w:ascii="Times New Roman" w:hAnsi="Times New Roman"/>
        </w:rPr>
        <w:t>W 268 to</w:t>
      </w:r>
      <w:r>
        <w:rPr>
          <w:rFonts w:ascii="Times New Roman" w:hAnsi="Times New Roman"/>
        </w:rPr>
        <w:t xml:space="preserve"> A.N.</w:t>
      </w:r>
      <w:r w:rsidRPr="00C50E46">
        <w:rPr>
          <w:rFonts w:ascii="Times New Roman" w:hAnsi="Times New Roman"/>
        </w:rPr>
        <w:t xml:space="preserve"> W 499. </w:t>
      </w:r>
    </w:p>
  </w:footnote>
  <w:footnote w:id="11">
    <w:p w:rsidR="003C5BB0" w:rsidRDefault="003C5BB0" w:rsidP="00634CCB">
      <w:pPr>
        <w:pStyle w:val="FootnoteText"/>
        <w:contextualSpacing/>
      </w:pPr>
      <w:r w:rsidRPr="00C50E46">
        <w:rPr>
          <w:rStyle w:val="FootnoteReference"/>
          <w:rFonts w:ascii="Times New Roman" w:hAnsi="Times New Roman"/>
        </w:rPr>
        <w:footnoteRef/>
      </w:r>
      <w:r w:rsidRPr="00C50E46">
        <w:rPr>
          <w:rFonts w:ascii="Times New Roman" w:hAnsi="Times New Roman"/>
        </w:rPr>
        <w:t xml:space="preserve"> </w:t>
      </w:r>
      <w:r>
        <w:rPr>
          <w:rFonts w:ascii="Times New Roman" w:hAnsi="Times New Roman"/>
        </w:rPr>
        <w:t xml:space="preserve"> </w:t>
      </w:r>
      <w:r w:rsidRPr="00634CCB">
        <w:rPr>
          <w:rFonts w:ascii="Times New Roman" w:hAnsi="Times New Roman"/>
        </w:rPr>
        <w:t>Sarah C.</w:t>
      </w:r>
      <w:r>
        <w:rPr>
          <w:rFonts w:ascii="Times New Roman" w:hAnsi="Times New Roman"/>
        </w:rPr>
        <w:t xml:space="preserve"> Maza, </w:t>
      </w:r>
      <w:r w:rsidRPr="00634CCB">
        <w:rPr>
          <w:rFonts w:ascii="Times New Roman" w:hAnsi="Times New Roman"/>
          <w:i/>
        </w:rPr>
        <w:t>Private Lives a</w:t>
      </w:r>
      <w:r>
        <w:rPr>
          <w:rFonts w:ascii="Times New Roman" w:hAnsi="Times New Roman"/>
          <w:i/>
        </w:rPr>
        <w:t>nd Public Affairs : The Causes C</w:t>
      </w:r>
      <w:r w:rsidRPr="00634CCB">
        <w:rPr>
          <w:rFonts w:ascii="Times New Roman" w:hAnsi="Times New Roman"/>
          <w:i/>
        </w:rPr>
        <w:t>élèbres of Prerevolutionary France</w:t>
      </w:r>
      <w:r w:rsidRPr="00634CCB">
        <w:rPr>
          <w:rFonts w:ascii="Times New Roman" w:hAnsi="Times New Roman"/>
        </w:rPr>
        <w:t xml:space="preserve"> (</w:t>
      </w:r>
      <w:r>
        <w:rPr>
          <w:rFonts w:ascii="Times New Roman" w:hAnsi="Times New Roman"/>
        </w:rPr>
        <w:t xml:space="preserve">Berkeley: University of California Press, 1993), 35. </w:t>
      </w:r>
    </w:p>
  </w:footnote>
  <w:footnote w:id="12">
    <w:p w:rsidR="003C5BB0" w:rsidRDefault="003C5BB0" w:rsidP="00634CCB">
      <w:pPr>
        <w:pStyle w:val="FootnoteText"/>
        <w:contextualSpacing/>
      </w:pPr>
      <w:r w:rsidRPr="00C50E46">
        <w:rPr>
          <w:rStyle w:val="FootnoteReference"/>
          <w:rFonts w:ascii="Times New Roman" w:hAnsi="Times New Roman"/>
        </w:rPr>
        <w:footnoteRef/>
      </w:r>
      <w:r w:rsidRPr="00C50E46">
        <w:rPr>
          <w:rFonts w:ascii="Times New Roman" w:hAnsi="Times New Roman"/>
        </w:rPr>
        <w:t xml:space="preserve"> </w:t>
      </w:r>
      <w:r>
        <w:rPr>
          <w:rFonts w:ascii="Times New Roman" w:hAnsi="Times New Roman"/>
        </w:rPr>
        <w:t xml:space="preserve"> </w:t>
      </w:r>
      <w:r w:rsidRPr="00634CCB">
        <w:rPr>
          <w:rFonts w:ascii="Times New Roman" w:hAnsi="Times New Roman"/>
        </w:rPr>
        <w:t>Brown</w:t>
      </w:r>
      <w:r>
        <w:rPr>
          <w:rFonts w:ascii="Times New Roman" w:hAnsi="Times New Roman"/>
        </w:rPr>
        <w:t xml:space="preserve">, </w:t>
      </w:r>
      <w:r w:rsidRPr="00634CCB">
        <w:rPr>
          <w:rFonts w:ascii="Times New Roman" w:hAnsi="Times New Roman"/>
          <w:i/>
        </w:rPr>
        <w:t>Women on Trial: The Revolutionary Tribunal and Gender</w:t>
      </w:r>
      <w:r w:rsidRPr="00634CCB">
        <w:rPr>
          <w:rFonts w:ascii="Times New Roman" w:hAnsi="Times New Roman"/>
        </w:rPr>
        <w:t xml:space="preserve">, </w:t>
      </w:r>
      <w:r>
        <w:rPr>
          <w:rFonts w:ascii="Times New Roman" w:hAnsi="Times New Roman"/>
        </w:rPr>
        <w:t xml:space="preserve">21. </w:t>
      </w:r>
    </w:p>
  </w:footnote>
  <w:footnote w:id="13">
    <w:p w:rsidR="003C5BB0" w:rsidRDefault="003C5BB0" w:rsidP="00634CCB">
      <w:pPr>
        <w:pStyle w:val="FootnoteText"/>
        <w:contextualSpacing/>
      </w:pPr>
      <w:r w:rsidRPr="00C50E46">
        <w:rPr>
          <w:rStyle w:val="FootnoteReference"/>
          <w:rFonts w:ascii="Times New Roman" w:hAnsi="Times New Roman"/>
        </w:rPr>
        <w:footnoteRef/>
      </w:r>
      <w:r w:rsidRPr="00C50E46">
        <w:rPr>
          <w:rFonts w:ascii="Times New Roman" w:hAnsi="Times New Roman"/>
        </w:rPr>
        <w:t xml:space="preserve"> </w:t>
      </w:r>
      <w:r>
        <w:rPr>
          <w:rFonts w:ascii="Times New Roman" w:hAnsi="Times New Roman"/>
        </w:rPr>
        <w:t xml:space="preserve"> </w:t>
      </w:r>
      <w:r w:rsidRPr="00634CCB">
        <w:rPr>
          <w:rFonts w:ascii="Times New Roman" w:hAnsi="Times New Roman"/>
        </w:rPr>
        <w:t>Maza</w:t>
      </w:r>
      <w:r>
        <w:rPr>
          <w:rFonts w:ascii="Times New Roman" w:hAnsi="Times New Roman"/>
        </w:rPr>
        <w:t xml:space="preserve">, </w:t>
      </w:r>
      <w:r w:rsidRPr="00634CCB">
        <w:rPr>
          <w:rFonts w:ascii="Times New Roman" w:hAnsi="Times New Roman"/>
          <w:i/>
        </w:rPr>
        <w:t xml:space="preserve">Private Lives and Public </w:t>
      </w:r>
      <w:r>
        <w:rPr>
          <w:rFonts w:ascii="Times New Roman" w:hAnsi="Times New Roman"/>
          <w:i/>
        </w:rPr>
        <w:t>Affairs : The Causes C</w:t>
      </w:r>
      <w:r w:rsidRPr="00634CCB">
        <w:rPr>
          <w:rFonts w:ascii="Times New Roman" w:hAnsi="Times New Roman"/>
          <w:i/>
        </w:rPr>
        <w:t>élèbres of Prerevolutionary France</w:t>
      </w:r>
      <w:r w:rsidRPr="00634CCB">
        <w:rPr>
          <w:rFonts w:ascii="Times New Roman" w:hAnsi="Times New Roman"/>
        </w:rPr>
        <w:t xml:space="preserve">, </w:t>
      </w:r>
      <w:r>
        <w:rPr>
          <w:rFonts w:ascii="Times New Roman" w:hAnsi="Times New Roman"/>
        </w:rPr>
        <w:t xml:space="preserve">238. </w:t>
      </w:r>
    </w:p>
  </w:footnote>
  <w:footnote w:id="14">
    <w:p w:rsidR="003C5BB0" w:rsidRDefault="003C5BB0" w:rsidP="00634CCB">
      <w:pPr>
        <w:pStyle w:val="FootnoteText"/>
        <w:contextualSpacing/>
      </w:pPr>
      <w:r w:rsidRPr="00C50E46">
        <w:rPr>
          <w:rStyle w:val="FootnoteReference"/>
          <w:rFonts w:ascii="Times New Roman" w:hAnsi="Times New Roman"/>
        </w:rPr>
        <w:footnoteRef/>
      </w:r>
      <w:r w:rsidRPr="00C50E46">
        <w:rPr>
          <w:rFonts w:ascii="Times New Roman" w:hAnsi="Times New Roman"/>
        </w:rPr>
        <w:t xml:space="preserve"> </w:t>
      </w:r>
      <w:r>
        <w:rPr>
          <w:rFonts w:ascii="Times New Roman" w:hAnsi="Times New Roman"/>
        </w:rPr>
        <w:t xml:space="preserve"> </w:t>
      </w:r>
      <w:r w:rsidRPr="00634CCB">
        <w:rPr>
          <w:rFonts w:ascii="Times New Roman" w:hAnsi="Times New Roman"/>
        </w:rPr>
        <w:t>Barry M.</w:t>
      </w:r>
      <w:r>
        <w:rPr>
          <w:rFonts w:ascii="Times New Roman" w:hAnsi="Times New Roman"/>
        </w:rPr>
        <w:t xml:space="preserve"> Shapiro, </w:t>
      </w:r>
      <w:r w:rsidRPr="00634CCB">
        <w:rPr>
          <w:rFonts w:ascii="Times New Roman" w:hAnsi="Times New Roman"/>
          <w:i/>
        </w:rPr>
        <w:t>Revolutionary Justice in Paris, 1789-1790</w:t>
      </w:r>
      <w:r w:rsidRPr="00634CCB">
        <w:rPr>
          <w:rFonts w:ascii="Times New Roman" w:hAnsi="Times New Roman"/>
        </w:rPr>
        <w:t xml:space="preserve"> (</w:t>
      </w:r>
      <w:r>
        <w:rPr>
          <w:rFonts w:ascii="Times New Roman" w:hAnsi="Times New Roman"/>
        </w:rPr>
        <w:t xml:space="preserve">Cambridge England ; New York: Cambridge University, 1993), 14.  </w:t>
      </w:r>
    </w:p>
  </w:footnote>
  <w:footnote w:id="15">
    <w:p w:rsidR="003C5BB0" w:rsidRDefault="003C5BB0" w:rsidP="00634CCB">
      <w:pPr>
        <w:pStyle w:val="FootnoteText"/>
        <w:contextualSpacing/>
      </w:pPr>
      <w:r w:rsidRPr="00C50E46">
        <w:rPr>
          <w:rStyle w:val="FootnoteReference"/>
          <w:rFonts w:ascii="Times New Roman" w:hAnsi="Times New Roman"/>
        </w:rPr>
        <w:footnoteRef/>
      </w:r>
      <w:r w:rsidRPr="00C50E46">
        <w:rPr>
          <w:rFonts w:ascii="Times New Roman" w:hAnsi="Times New Roman"/>
        </w:rPr>
        <w:t xml:space="preserve"> </w:t>
      </w:r>
      <w:r>
        <w:rPr>
          <w:rFonts w:ascii="Times New Roman" w:hAnsi="Times New Roman"/>
        </w:rPr>
        <w:t xml:space="preserve"> </w:t>
      </w:r>
      <w:r w:rsidRPr="00634CCB">
        <w:rPr>
          <w:rFonts w:ascii="Times New Roman" w:hAnsi="Times New Roman"/>
        </w:rPr>
        <w:t>Luc</w:t>
      </w:r>
      <w:r>
        <w:rPr>
          <w:rFonts w:ascii="Times New Roman" w:hAnsi="Times New Roman"/>
        </w:rPr>
        <w:t xml:space="preserve"> Willette, </w:t>
      </w:r>
      <w:r>
        <w:rPr>
          <w:rFonts w:ascii="Times New Roman" w:hAnsi="Times New Roman"/>
          <w:i/>
        </w:rPr>
        <w:t>Le Tribunal r</w:t>
      </w:r>
      <w:r w:rsidRPr="00634CCB">
        <w:rPr>
          <w:rFonts w:ascii="Times New Roman" w:hAnsi="Times New Roman"/>
          <w:i/>
        </w:rPr>
        <w:t>évolutionnaire</w:t>
      </w:r>
      <w:r w:rsidRPr="00634CCB">
        <w:rPr>
          <w:rFonts w:ascii="Times New Roman" w:hAnsi="Times New Roman"/>
        </w:rPr>
        <w:t xml:space="preserve"> (</w:t>
      </w:r>
      <w:r>
        <w:rPr>
          <w:rFonts w:ascii="Times New Roman" w:hAnsi="Times New Roman"/>
        </w:rPr>
        <w:t xml:space="preserve">Paris: Denoel, 1981), 12-13. </w:t>
      </w:r>
    </w:p>
  </w:footnote>
  <w:footnote w:id="16">
    <w:p w:rsidR="003C5BB0" w:rsidRDefault="003C5BB0" w:rsidP="00634CCB">
      <w:pPr>
        <w:pStyle w:val="FootnoteText"/>
        <w:contextualSpacing/>
      </w:pPr>
      <w:r w:rsidRPr="00C50E46">
        <w:rPr>
          <w:rStyle w:val="FootnoteReference"/>
          <w:rFonts w:ascii="Times New Roman" w:hAnsi="Times New Roman"/>
        </w:rPr>
        <w:footnoteRef/>
      </w:r>
      <w:r w:rsidRPr="00C50E46">
        <w:rPr>
          <w:rFonts w:ascii="Times New Roman" w:hAnsi="Times New Roman"/>
        </w:rPr>
        <w:t xml:space="preserve"> </w:t>
      </w:r>
      <w:r>
        <w:rPr>
          <w:rFonts w:ascii="Times New Roman" w:hAnsi="Times New Roman"/>
        </w:rPr>
        <w:t xml:space="preserve"> </w:t>
      </w:r>
      <w:r w:rsidRPr="00634CCB">
        <w:rPr>
          <w:rFonts w:ascii="Times New Roman" w:hAnsi="Times New Roman"/>
        </w:rPr>
        <w:t>Pierre</w:t>
      </w:r>
      <w:r>
        <w:rPr>
          <w:rFonts w:ascii="Times New Roman" w:hAnsi="Times New Roman"/>
        </w:rPr>
        <w:t xml:space="preserve"> Caron, </w:t>
      </w:r>
      <w:r>
        <w:rPr>
          <w:rFonts w:ascii="Times New Roman" w:hAnsi="Times New Roman"/>
          <w:i/>
        </w:rPr>
        <w:t>Les Massacres de s</w:t>
      </w:r>
      <w:r w:rsidRPr="00634CCB">
        <w:rPr>
          <w:rFonts w:ascii="Times New Roman" w:hAnsi="Times New Roman"/>
          <w:i/>
        </w:rPr>
        <w:t>eptembre</w:t>
      </w:r>
      <w:r w:rsidRPr="00634CCB">
        <w:rPr>
          <w:rFonts w:ascii="Times New Roman" w:hAnsi="Times New Roman"/>
        </w:rPr>
        <w:t xml:space="preserve"> (</w:t>
      </w:r>
      <w:r>
        <w:rPr>
          <w:rFonts w:ascii="Times New Roman" w:hAnsi="Times New Roman"/>
        </w:rPr>
        <w:t xml:space="preserve">Paris: La Maison du livre français, 1935), 23. </w:t>
      </w:r>
    </w:p>
  </w:footnote>
  <w:footnote w:id="17">
    <w:p w:rsidR="003C5BB0" w:rsidRDefault="003C5BB0" w:rsidP="00634CCB">
      <w:pPr>
        <w:pStyle w:val="FootnoteText"/>
        <w:contextualSpacing/>
      </w:pPr>
      <w:r w:rsidRPr="00C50E46">
        <w:rPr>
          <w:rStyle w:val="FootnoteReference"/>
          <w:rFonts w:ascii="Times New Roman" w:hAnsi="Times New Roman"/>
        </w:rPr>
        <w:footnoteRef/>
      </w:r>
      <w:r w:rsidRPr="00C50E46">
        <w:rPr>
          <w:rFonts w:ascii="Times New Roman" w:hAnsi="Times New Roman"/>
        </w:rPr>
        <w:t xml:space="preserve"> </w:t>
      </w:r>
      <w:r>
        <w:rPr>
          <w:rFonts w:ascii="Times New Roman" w:hAnsi="Times New Roman"/>
        </w:rPr>
        <w:t xml:space="preserve"> </w:t>
      </w:r>
      <w:r w:rsidRPr="00634CCB">
        <w:rPr>
          <w:rFonts w:ascii="Times New Roman" w:hAnsi="Times New Roman"/>
        </w:rPr>
        <w:t>Edmond</w:t>
      </w:r>
      <w:r>
        <w:rPr>
          <w:rFonts w:ascii="Times New Roman" w:hAnsi="Times New Roman"/>
        </w:rPr>
        <w:t xml:space="preserve"> Seligman, </w:t>
      </w:r>
      <w:r>
        <w:rPr>
          <w:rFonts w:ascii="Times New Roman" w:hAnsi="Times New Roman"/>
          <w:i/>
        </w:rPr>
        <w:t>La Justice en France pendant la r</w:t>
      </w:r>
      <w:r w:rsidR="00AD0377">
        <w:rPr>
          <w:rFonts w:ascii="Times New Roman" w:hAnsi="Times New Roman"/>
          <w:i/>
        </w:rPr>
        <w:t>évol</w:t>
      </w:r>
      <w:r w:rsidRPr="00634CCB">
        <w:rPr>
          <w:rFonts w:ascii="Times New Roman" w:hAnsi="Times New Roman"/>
          <w:i/>
        </w:rPr>
        <w:t>ution</w:t>
      </w:r>
      <w:r w:rsidRPr="00634CCB">
        <w:rPr>
          <w:rFonts w:ascii="Times New Roman" w:hAnsi="Times New Roman"/>
        </w:rPr>
        <w:t xml:space="preserve">, </w:t>
      </w:r>
      <w:r>
        <w:rPr>
          <w:rFonts w:ascii="Times New Roman" w:hAnsi="Times New Roman"/>
        </w:rPr>
        <w:t xml:space="preserve">2em. ed. (Paris: Plon-Nourrit et cie, 1913), 303. </w:t>
      </w:r>
    </w:p>
  </w:footnote>
  <w:footnote w:id="18">
    <w:p w:rsidR="003C5BB0" w:rsidRDefault="003C5BB0" w:rsidP="006C395C">
      <w:pPr>
        <w:pStyle w:val="FootnoteText"/>
        <w:contextualSpacing/>
      </w:pPr>
      <w:r w:rsidRPr="00C50E46">
        <w:rPr>
          <w:rStyle w:val="FootnoteReference"/>
          <w:rFonts w:ascii="Times New Roman" w:hAnsi="Times New Roman"/>
        </w:rPr>
        <w:footnoteRef/>
      </w:r>
      <w:r w:rsidRPr="00C50E46">
        <w:rPr>
          <w:rFonts w:ascii="Times New Roman" w:hAnsi="Times New Roman"/>
        </w:rPr>
        <w:t xml:space="preserve"> The Assembly officially changed the name of the court on 29 October 1793 to the Revolutionary Tribunal. See A.P. 78: 28.</w:t>
      </w:r>
    </w:p>
  </w:footnote>
  <w:footnote w:id="19">
    <w:p w:rsidR="003C5BB0" w:rsidRDefault="003C5BB0" w:rsidP="00634CCB">
      <w:pPr>
        <w:pStyle w:val="FootnoteText"/>
        <w:contextualSpacing/>
      </w:pPr>
      <w:r w:rsidRPr="00C50E46">
        <w:rPr>
          <w:rStyle w:val="FootnoteReference"/>
          <w:rFonts w:ascii="Times New Roman" w:hAnsi="Times New Roman"/>
        </w:rPr>
        <w:footnoteRef/>
      </w:r>
      <w:r w:rsidRPr="00C50E46">
        <w:rPr>
          <w:rFonts w:ascii="Times New Roman" w:hAnsi="Times New Roman"/>
        </w:rPr>
        <w:t xml:space="preserve"> Lanjuinais quoted in </w:t>
      </w:r>
      <w:r w:rsidRPr="00634CCB">
        <w:rPr>
          <w:rFonts w:ascii="Times New Roman" w:hAnsi="Times New Roman"/>
        </w:rPr>
        <w:t>Brown</w:t>
      </w:r>
      <w:r>
        <w:rPr>
          <w:rFonts w:ascii="Times New Roman" w:hAnsi="Times New Roman"/>
        </w:rPr>
        <w:t xml:space="preserve">, </w:t>
      </w:r>
      <w:r w:rsidRPr="00634CCB">
        <w:rPr>
          <w:rFonts w:ascii="Times New Roman" w:hAnsi="Times New Roman"/>
          <w:i/>
        </w:rPr>
        <w:t>Women on Trial: The Revolutionary Tribunal and Gender</w:t>
      </w:r>
      <w:r w:rsidRPr="00634CCB">
        <w:rPr>
          <w:rFonts w:ascii="Times New Roman" w:hAnsi="Times New Roman"/>
        </w:rPr>
        <w:t xml:space="preserve">, </w:t>
      </w:r>
      <w:r>
        <w:rPr>
          <w:rFonts w:ascii="Times New Roman" w:hAnsi="Times New Roman"/>
        </w:rPr>
        <w:t xml:space="preserve">28. </w:t>
      </w:r>
    </w:p>
  </w:footnote>
  <w:footnote w:id="20">
    <w:p w:rsidR="003C5BB0" w:rsidRDefault="003C5BB0" w:rsidP="00634CCB">
      <w:pPr>
        <w:pStyle w:val="FootnoteText"/>
        <w:contextualSpacing/>
      </w:pPr>
      <w:r w:rsidRPr="00C50E46">
        <w:rPr>
          <w:rStyle w:val="FootnoteReference"/>
          <w:rFonts w:ascii="Times New Roman" w:hAnsi="Times New Roman"/>
        </w:rPr>
        <w:footnoteRef/>
      </w:r>
      <w:r w:rsidRPr="00C50E46">
        <w:rPr>
          <w:rFonts w:ascii="Times New Roman" w:hAnsi="Times New Roman"/>
        </w:rPr>
        <w:t xml:space="preserve"> A.P. 60, translated in </w:t>
      </w:r>
      <w:r w:rsidRPr="00634CCB">
        <w:rPr>
          <w:rFonts w:ascii="Times New Roman" w:hAnsi="Times New Roman"/>
        </w:rPr>
        <w:t>Ibid.</w:t>
      </w:r>
      <w:r>
        <w:rPr>
          <w:rFonts w:ascii="Times New Roman" w:hAnsi="Times New Roman"/>
        </w:rPr>
        <w:t xml:space="preserve">, 29-30. </w:t>
      </w:r>
    </w:p>
  </w:footnote>
  <w:footnote w:id="21">
    <w:p w:rsidR="003C5BB0" w:rsidRDefault="003C5BB0" w:rsidP="00634CCB">
      <w:pPr>
        <w:pStyle w:val="FootnoteText"/>
        <w:contextualSpacing/>
      </w:pPr>
      <w:r w:rsidRPr="00C50E46">
        <w:rPr>
          <w:rStyle w:val="FootnoteReference"/>
          <w:rFonts w:ascii="Times New Roman" w:hAnsi="Times New Roman"/>
        </w:rPr>
        <w:footnoteRef/>
      </w:r>
      <w:r w:rsidRPr="00C50E46">
        <w:rPr>
          <w:rFonts w:ascii="Times New Roman" w:hAnsi="Times New Roman"/>
        </w:rPr>
        <w:t xml:space="preserve"> </w:t>
      </w:r>
      <w:r>
        <w:rPr>
          <w:rFonts w:ascii="Times New Roman" w:hAnsi="Times New Roman"/>
        </w:rPr>
        <w:t xml:space="preserve"> </w:t>
      </w:r>
      <w:r w:rsidRPr="00634CCB">
        <w:rPr>
          <w:rFonts w:ascii="Times New Roman" w:hAnsi="Times New Roman"/>
        </w:rPr>
        <w:t>Willette</w:t>
      </w:r>
      <w:r>
        <w:rPr>
          <w:rFonts w:ascii="Times New Roman" w:hAnsi="Times New Roman"/>
        </w:rPr>
        <w:t xml:space="preserve">, </w:t>
      </w:r>
      <w:r>
        <w:rPr>
          <w:rFonts w:ascii="Times New Roman" w:hAnsi="Times New Roman"/>
          <w:i/>
        </w:rPr>
        <w:t>Le Tribunal r</w:t>
      </w:r>
      <w:r w:rsidRPr="00634CCB">
        <w:rPr>
          <w:rFonts w:ascii="Times New Roman" w:hAnsi="Times New Roman"/>
          <w:i/>
        </w:rPr>
        <w:t>évolutionnaire</w:t>
      </w:r>
      <w:r w:rsidRPr="00634CCB">
        <w:rPr>
          <w:rFonts w:ascii="Times New Roman" w:hAnsi="Times New Roman"/>
        </w:rPr>
        <w:t xml:space="preserve">, </w:t>
      </w:r>
      <w:r>
        <w:rPr>
          <w:rFonts w:ascii="Times New Roman" w:hAnsi="Times New Roman"/>
        </w:rPr>
        <w:t xml:space="preserve">27-29. </w:t>
      </w:r>
    </w:p>
  </w:footnote>
  <w:footnote w:id="22">
    <w:p w:rsidR="003C5BB0" w:rsidRDefault="003C5BB0" w:rsidP="00634CCB">
      <w:pPr>
        <w:pStyle w:val="FootnoteText"/>
        <w:contextualSpacing/>
      </w:pPr>
      <w:r w:rsidRPr="00C50E46">
        <w:rPr>
          <w:rStyle w:val="FootnoteReference"/>
          <w:rFonts w:ascii="Times New Roman" w:hAnsi="Times New Roman"/>
        </w:rPr>
        <w:footnoteRef/>
      </w:r>
      <w:r w:rsidRPr="00C50E46">
        <w:rPr>
          <w:rFonts w:ascii="Times New Roman" w:hAnsi="Times New Roman"/>
        </w:rPr>
        <w:t xml:space="preserve"> </w:t>
      </w:r>
      <w:r>
        <w:rPr>
          <w:rFonts w:ascii="Times New Roman" w:hAnsi="Times New Roman"/>
        </w:rPr>
        <w:t xml:space="preserve"> </w:t>
      </w:r>
      <w:r w:rsidRPr="00634CCB">
        <w:rPr>
          <w:rFonts w:ascii="Times New Roman" w:hAnsi="Times New Roman"/>
        </w:rPr>
        <w:t>Daniel</w:t>
      </w:r>
      <w:r>
        <w:rPr>
          <w:rFonts w:ascii="Times New Roman" w:hAnsi="Times New Roman"/>
        </w:rPr>
        <w:t xml:space="preserve"> Arasse, </w:t>
      </w:r>
      <w:r w:rsidRPr="00634CCB">
        <w:rPr>
          <w:rFonts w:ascii="Times New Roman" w:hAnsi="Times New Roman"/>
          <w:i/>
        </w:rPr>
        <w:t>The Guillotine and the Terror</w:t>
      </w:r>
      <w:r w:rsidRPr="00634CCB">
        <w:rPr>
          <w:rFonts w:ascii="Times New Roman" w:hAnsi="Times New Roman"/>
        </w:rPr>
        <w:t xml:space="preserve"> (</w:t>
      </w:r>
      <w:r>
        <w:rPr>
          <w:rFonts w:ascii="Times New Roman" w:hAnsi="Times New Roman"/>
        </w:rPr>
        <w:t xml:space="preserve">London: Lane, 1989), 12. </w:t>
      </w:r>
    </w:p>
  </w:footnote>
  <w:footnote w:id="23">
    <w:p w:rsidR="003C5BB0" w:rsidRDefault="003C5BB0" w:rsidP="00634CCB">
      <w:pPr>
        <w:pStyle w:val="FootnoteText"/>
        <w:contextualSpacing/>
      </w:pPr>
      <w:r w:rsidRPr="00C50E46">
        <w:rPr>
          <w:rStyle w:val="FootnoteReference"/>
          <w:rFonts w:ascii="Times New Roman" w:hAnsi="Times New Roman"/>
        </w:rPr>
        <w:footnoteRef/>
      </w:r>
      <w:r w:rsidRPr="00C50E46">
        <w:rPr>
          <w:rFonts w:ascii="Times New Roman" w:hAnsi="Times New Roman"/>
        </w:rPr>
        <w:t xml:space="preserve"> </w:t>
      </w:r>
      <w:r>
        <w:rPr>
          <w:rFonts w:ascii="Times New Roman" w:hAnsi="Times New Roman"/>
        </w:rPr>
        <w:t xml:space="preserve"> </w:t>
      </w:r>
      <w:r w:rsidRPr="00634CCB">
        <w:rPr>
          <w:rFonts w:ascii="Times New Roman" w:hAnsi="Times New Roman"/>
        </w:rPr>
        <w:t>Godfrey</w:t>
      </w:r>
      <w:r>
        <w:rPr>
          <w:rFonts w:ascii="Times New Roman" w:hAnsi="Times New Roman"/>
        </w:rPr>
        <w:t xml:space="preserve">, </w:t>
      </w:r>
      <w:r w:rsidRPr="00634CCB">
        <w:rPr>
          <w:rFonts w:ascii="Times New Roman" w:hAnsi="Times New Roman"/>
          <w:i/>
        </w:rPr>
        <w:t>Revolutionary Justice : A Study of the Organization, Personnel, and Procedure of the Paris Tribunal, 1793-1795</w:t>
      </w:r>
      <w:r w:rsidRPr="00634CCB">
        <w:rPr>
          <w:rFonts w:ascii="Times New Roman" w:hAnsi="Times New Roman"/>
        </w:rPr>
        <w:t xml:space="preserve">, </w:t>
      </w:r>
      <w:r>
        <w:rPr>
          <w:rFonts w:ascii="Times New Roman" w:hAnsi="Times New Roman"/>
        </w:rPr>
        <w:t xml:space="preserve">16-17. </w:t>
      </w:r>
    </w:p>
  </w:footnote>
  <w:footnote w:id="24">
    <w:p w:rsidR="003C5BB0" w:rsidRDefault="003C5BB0" w:rsidP="00634CCB">
      <w:pPr>
        <w:pStyle w:val="FootnoteText"/>
        <w:contextualSpacing/>
      </w:pPr>
      <w:r w:rsidRPr="00C50E46">
        <w:rPr>
          <w:rStyle w:val="FootnoteReference"/>
          <w:rFonts w:ascii="Times New Roman" w:hAnsi="Times New Roman"/>
        </w:rPr>
        <w:footnoteRef/>
      </w:r>
      <w:r w:rsidRPr="00C50E46">
        <w:rPr>
          <w:rFonts w:ascii="Times New Roman" w:hAnsi="Times New Roman"/>
        </w:rPr>
        <w:t xml:space="preserve"> </w:t>
      </w:r>
      <w:r w:rsidRPr="00C50E46">
        <w:rPr>
          <w:rFonts w:ascii="Times New Roman" w:hAnsi="Times New Roman"/>
          <w:i/>
        </w:rPr>
        <w:t>Moniteur, July 25, 1793</w:t>
      </w:r>
      <w:r w:rsidRPr="00C50E46">
        <w:rPr>
          <w:rFonts w:ascii="Times New Roman" w:hAnsi="Times New Roman"/>
        </w:rPr>
        <w:t xml:space="preserve"> quoted in </w:t>
      </w:r>
      <w:r w:rsidRPr="00634CCB">
        <w:rPr>
          <w:rFonts w:ascii="Times New Roman" w:hAnsi="Times New Roman"/>
        </w:rPr>
        <w:t>Ibid.</w:t>
      </w:r>
      <w:r>
        <w:rPr>
          <w:rFonts w:ascii="Times New Roman" w:hAnsi="Times New Roman"/>
        </w:rPr>
        <w:t xml:space="preserve">, 17. </w:t>
      </w:r>
    </w:p>
  </w:footnote>
  <w:footnote w:id="25">
    <w:p w:rsidR="003C5BB0" w:rsidRDefault="003C5BB0" w:rsidP="00634CCB">
      <w:pPr>
        <w:pStyle w:val="FootnoteText"/>
        <w:contextualSpacing/>
      </w:pPr>
      <w:r w:rsidRPr="00C50E46">
        <w:rPr>
          <w:rStyle w:val="FootnoteReference"/>
          <w:rFonts w:ascii="Times New Roman" w:hAnsi="Times New Roman"/>
        </w:rPr>
        <w:footnoteRef/>
      </w:r>
      <w:r w:rsidRPr="00C50E46">
        <w:rPr>
          <w:rFonts w:ascii="Times New Roman" w:hAnsi="Times New Roman"/>
        </w:rPr>
        <w:t xml:space="preserve"> This was accomplished through the 5 September 1793 law. See </w:t>
      </w:r>
      <w:r w:rsidRPr="00634CCB">
        <w:rPr>
          <w:rFonts w:ascii="Times New Roman" w:hAnsi="Times New Roman"/>
        </w:rPr>
        <w:t>Ibid.</w:t>
      </w:r>
      <w:r>
        <w:rPr>
          <w:rFonts w:ascii="Times New Roman" w:hAnsi="Times New Roman"/>
        </w:rPr>
        <w:t xml:space="preserve">, 21. </w:t>
      </w:r>
    </w:p>
  </w:footnote>
  <w:footnote w:id="26">
    <w:p w:rsidR="003C5BB0" w:rsidRDefault="003C5BB0" w:rsidP="006C395C">
      <w:pPr>
        <w:pStyle w:val="FootnoteText"/>
        <w:contextualSpacing/>
      </w:pPr>
      <w:r w:rsidRPr="00C50E46">
        <w:rPr>
          <w:rStyle w:val="FootnoteReference"/>
          <w:rFonts w:ascii="Times New Roman" w:hAnsi="Times New Roman"/>
        </w:rPr>
        <w:footnoteRef/>
      </w:r>
      <w:r w:rsidRPr="00C50E46">
        <w:rPr>
          <w:rFonts w:ascii="Times New Roman" w:hAnsi="Times New Roman"/>
        </w:rPr>
        <w:t xml:space="preserve"> In the case of Françoise-Perpétue Guillaumot, femme Foing, the section resented interference from the Revolutionary Tribunal. See W 360, 768.</w:t>
      </w:r>
    </w:p>
  </w:footnote>
  <w:footnote w:id="27">
    <w:p w:rsidR="003C5BB0" w:rsidRDefault="003C5BB0" w:rsidP="006C395C">
      <w:pPr>
        <w:pStyle w:val="FootnoteText"/>
        <w:contextualSpacing/>
      </w:pPr>
      <w:r w:rsidRPr="00C50E46">
        <w:rPr>
          <w:rStyle w:val="FootnoteReference"/>
          <w:rFonts w:ascii="Times New Roman" w:hAnsi="Times New Roman"/>
        </w:rPr>
        <w:footnoteRef/>
      </w:r>
      <w:r w:rsidRPr="00C50E46">
        <w:rPr>
          <w:rFonts w:ascii="Times New Roman" w:hAnsi="Times New Roman"/>
        </w:rPr>
        <w:t xml:space="preserve"> For example, see </w:t>
      </w:r>
      <w:r>
        <w:rPr>
          <w:rFonts w:ascii="Times New Roman" w:hAnsi="Times New Roman"/>
        </w:rPr>
        <w:t xml:space="preserve">A.N. </w:t>
      </w:r>
      <w:r w:rsidRPr="00C50E46">
        <w:rPr>
          <w:rFonts w:ascii="Times New Roman" w:hAnsi="Times New Roman" w:cs="Bookman Old Style"/>
          <w:color w:val="000000"/>
          <w:szCs w:val="20"/>
        </w:rPr>
        <w:t xml:space="preserve">W 362, </w:t>
      </w:r>
      <w:r>
        <w:rPr>
          <w:rFonts w:ascii="Times New Roman" w:hAnsi="Times New Roman" w:cs="Bookman Old Style"/>
          <w:color w:val="000000"/>
          <w:szCs w:val="20"/>
        </w:rPr>
        <w:t xml:space="preserve">plaq. </w:t>
      </w:r>
      <w:r w:rsidRPr="00C50E46">
        <w:rPr>
          <w:rFonts w:ascii="Times New Roman" w:hAnsi="Times New Roman" w:cs="Bookman Old Style"/>
          <w:color w:val="000000"/>
          <w:szCs w:val="20"/>
        </w:rPr>
        <w:t xml:space="preserve">784 and </w:t>
      </w:r>
      <w:r>
        <w:rPr>
          <w:rFonts w:ascii="Times New Roman" w:hAnsi="Times New Roman" w:cs="Bookman Old Style"/>
          <w:color w:val="000000"/>
          <w:szCs w:val="20"/>
        </w:rPr>
        <w:t xml:space="preserve">A.N. </w:t>
      </w:r>
      <w:r w:rsidRPr="00C50E46">
        <w:rPr>
          <w:rFonts w:ascii="Times New Roman" w:hAnsi="Times New Roman" w:cs="Bookman Old Style"/>
          <w:color w:val="000000"/>
          <w:szCs w:val="20"/>
        </w:rPr>
        <w:t>W 308,</w:t>
      </w:r>
      <w:r>
        <w:rPr>
          <w:rFonts w:ascii="Times New Roman" w:hAnsi="Times New Roman" w:cs="Bookman Old Style"/>
          <w:color w:val="000000"/>
          <w:szCs w:val="20"/>
        </w:rPr>
        <w:t xml:space="preserve"> plaq.</w:t>
      </w:r>
      <w:r w:rsidRPr="00C50E46">
        <w:rPr>
          <w:rFonts w:ascii="Times New Roman" w:hAnsi="Times New Roman" w:cs="Bookman Old Style"/>
          <w:color w:val="000000"/>
          <w:szCs w:val="20"/>
        </w:rPr>
        <w:t xml:space="preserve"> 402.</w:t>
      </w:r>
    </w:p>
  </w:footnote>
  <w:footnote w:id="28">
    <w:p w:rsidR="003C5BB0" w:rsidRDefault="003C5BB0" w:rsidP="006C395C">
      <w:pPr>
        <w:pStyle w:val="FootnoteText"/>
        <w:contextualSpacing/>
      </w:pPr>
      <w:r w:rsidRPr="00C50E46">
        <w:rPr>
          <w:rStyle w:val="FootnoteReference"/>
          <w:rFonts w:ascii="Times New Roman" w:hAnsi="Times New Roman"/>
        </w:rPr>
        <w:footnoteRef/>
      </w:r>
      <w:r w:rsidRPr="00C50E46">
        <w:rPr>
          <w:rFonts w:ascii="Times New Roman" w:hAnsi="Times New Roman"/>
        </w:rPr>
        <w:t xml:space="preserve"> Take for example, the case of Julienne Richard, femme Bourdois. Her section wrote a letter “informing [the convention] of </w:t>
      </w:r>
      <w:r>
        <w:rPr>
          <w:rFonts w:ascii="Times New Roman" w:hAnsi="Times New Roman"/>
        </w:rPr>
        <w:t xml:space="preserve">her revolutionary fervor, so uncommon among her sex, and of [the section’s] conviction that </w:t>
      </w:r>
      <w:r w:rsidRPr="00C50E46">
        <w:rPr>
          <w:rFonts w:ascii="Times New Roman" w:hAnsi="Times New Roman"/>
        </w:rPr>
        <w:t>la Citoyenne Julienne femme Richard</w:t>
      </w:r>
      <w:r>
        <w:rPr>
          <w:rFonts w:ascii="Times New Roman" w:hAnsi="Times New Roman"/>
        </w:rPr>
        <w:t xml:space="preserve"> did not have bad intentions [when she committed the crime</w:t>
      </w:r>
      <w:r w:rsidRPr="00C50E46">
        <w:rPr>
          <w:rFonts w:ascii="Times New Roman" w:hAnsi="Times New Roman"/>
        </w:rPr>
        <w:t>.</w:t>
      </w:r>
      <w:r>
        <w:rPr>
          <w:rFonts w:ascii="Times New Roman" w:hAnsi="Times New Roman"/>
        </w:rPr>
        <w:t>]</w:t>
      </w:r>
      <w:r w:rsidRPr="00C50E46">
        <w:rPr>
          <w:rFonts w:ascii="Times New Roman" w:hAnsi="Times New Roman"/>
        </w:rPr>
        <w:t xml:space="preserve">” </w:t>
      </w:r>
      <w:r>
        <w:rPr>
          <w:rFonts w:ascii="Times New Roman" w:hAnsi="Times New Roman"/>
        </w:rPr>
        <w:t xml:space="preserve">A.N. </w:t>
      </w:r>
      <w:r w:rsidRPr="00C50E46">
        <w:rPr>
          <w:rFonts w:ascii="Times New Roman" w:hAnsi="Times New Roman"/>
        </w:rPr>
        <w:t>W 362,</w:t>
      </w:r>
      <w:r>
        <w:rPr>
          <w:rFonts w:ascii="Times New Roman" w:hAnsi="Times New Roman"/>
        </w:rPr>
        <w:t xml:space="preserve"> plaq.</w:t>
      </w:r>
      <w:r w:rsidRPr="00C50E46">
        <w:rPr>
          <w:rFonts w:ascii="Times New Roman" w:hAnsi="Times New Roman"/>
        </w:rPr>
        <w:t xml:space="preserve"> 784.</w:t>
      </w:r>
    </w:p>
  </w:footnote>
  <w:footnote w:id="29">
    <w:p w:rsidR="003C5BB0" w:rsidRDefault="003C5BB0" w:rsidP="006C395C">
      <w:pPr>
        <w:pStyle w:val="FootnoteText"/>
        <w:contextualSpacing/>
      </w:pPr>
      <w:r w:rsidRPr="00C50E46">
        <w:rPr>
          <w:rStyle w:val="FootnoteReference"/>
          <w:rFonts w:ascii="Times New Roman" w:hAnsi="Times New Roman"/>
        </w:rPr>
        <w:footnoteRef/>
      </w:r>
      <w:r w:rsidRPr="00C50E46">
        <w:rPr>
          <w:rFonts w:ascii="Times New Roman" w:hAnsi="Times New Roman"/>
        </w:rPr>
        <w:t xml:space="preserve"> This tendency is overwhelming within the trial records. </w:t>
      </w:r>
      <w:r>
        <w:rPr>
          <w:rFonts w:ascii="Times New Roman" w:hAnsi="Times New Roman"/>
        </w:rPr>
        <w:t xml:space="preserve">A.N </w:t>
      </w:r>
      <w:r w:rsidRPr="00C50E46">
        <w:rPr>
          <w:rFonts w:ascii="Times New Roman" w:hAnsi="Times New Roman" w:cs="Bookman Old Style"/>
          <w:color w:val="000000"/>
          <w:szCs w:val="20"/>
        </w:rPr>
        <w:t>W 306,</w:t>
      </w:r>
      <w:r>
        <w:rPr>
          <w:rFonts w:ascii="Times New Roman" w:hAnsi="Times New Roman" w:cs="Bookman Old Style"/>
          <w:color w:val="000000"/>
          <w:szCs w:val="20"/>
        </w:rPr>
        <w:t xml:space="preserve"> plaq.</w:t>
      </w:r>
      <w:r w:rsidRPr="00C50E46">
        <w:rPr>
          <w:rFonts w:ascii="Times New Roman" w:hAnsi="Times New Roman" w:cs="Bookman Old Style"/>
          <w:color w:val="000000"/>
          <w:szCs w:val="20"/>
        </w:rPr>
        <w:t xml:space="preserve"> 373; and</w:t>
      </w:r>
      <w:r>
        <w:rPr>
          <w:rFonts w:ascii="Times New Roman" w:hAnsi="Times New Roman" w:cs="Bookman Old Style"/>
          <w:color w:val="000000"/>
          <w:szCs w:val="20"/>
        </w:rPr>
        <w:t xml:space="preserve"> A.N.</w:t>
      </w:r>
      <w:r w:rsidRPr="00C50E46">
        <w:rPr>
          <w:rFonts w:ascii="Times New Roman" w:hAnsi="Times New Roman" w:cs="Bookman Old Style"/>
          <w:color w:val="000000"/>
          <w:szCs w:val="20"/>
        </w:rPr>
        <w:t xml:space="preserve"> </w:t>
      </w:r>
      <w:r w:rsidRPr="00C50E46">
        <w:rPr>
          <w:rFonts w:ascii="Times New Roman" w:hAnsi="Times New Roman"/>
        </w:rPr>
        <w:t>W 295,</w:t>
      </w:r>
      <w:r>
        <w:rPr>
          <w:rFonts w:ascii="Times New Roman" w:hAnsi="Times New Roman"/>
        </w:rPr>
        <w:t xml:space="preserve"> plaq.</w:t>
      </w:r>
      <w:r w:rsidRPr="00C50E46">
        <w:rPr>
          <w:rFonts w:ascii="Times New Roman" w:hAnsi="Times New Roman"/>
        </w:rPr>
        <w:t xml:space="preserve"> 241 are but two representative examples. </w:t>
      </w:r>
    </w:p>
  </w:footnote>
  <w:footnote w:id="30">
    <w:p w:rsidR="003C5BB0" w:rsidRDefault="003C5BB0" w:rsidP="006C395C">
      <w:pPr>
        <w:pStyle w:val="FootnoteText"/>
        <w:contextualSpacing/>
      </w:pPr>
      <w:r w:rsidRPr="00C50E46">
        <w:rPr>
          <w:rStyle w:val="FootnoteReference"/>
          <w:rFonts w:ascii="Times New Roman" w:hAnsi="Times New Roman"/>
        </w:rPr>
        <w:footnoteRef/>
      </w:r>
      <w:r w:rsidRPr="00C50E46">
        <w:rPr>
          <w:rFonts w:ascii="Times New Roman" w:hAnsi="Times New Roman"/>
        </w:rPr>
        <w:t xml:space="preserve"> For example, see </w:t>
      </w:r>
      <w:r>
        <w:rPr>
          <w:rFonts w:ascii="Times New Roman" w:hAnsi="Times New Roman"/>
        </w:rPr>
        <w:t xml:space="preserve">A.N. </w:t>
      </w:r>
      <w:r w:rsidRPr="00C50E46">
        <w:rPr>
          <w:rFonts w:ascii="Times New Roman" w:hAnsi="Times New Roman"/>
        </w:rPr>
        <w:t>W 306,</w:t>
      </w:r>
      <w:r>
        <w:rPr>
          <w:rFonts w:ascii="Times New Roman" w:hAnsi="Times New Roman"/>
        </w:rPr>
        <w:t xml:space="preserve"> plaq.</w:t>
      </w:r>
      <w:r w:rsidRPr="00C50E46">
        <w:rPr>
          <w:rFonts w:ascii="Times New Roman" w:hAnsi="Times New Roman"/>
        </w:rPr>
        <w:t xml:space="preserve"> 374 and </w:t>
      </w:r>
      <w:r>
        <w:rPr>
          <w:rFonts w:ascii="Times New Roman" w:hAnsi="Times New Roman"/>
        </w:rPr>
        <w:t xml:space="preserve">A.N. </w:t>
      </w:r>
      <w:r w:rsidRPr="00C50E46">
        <w:rPr>
          <w:rFonts w:ascii="Times New Roman" w:hAnsi="Times New Roman"/>
        </w:rPr>
        <w:t xml:space="preserve">W 381, </w:t>
      </w:r>
      <w:r>
        <w:rPr>
          <w:rFonts w:ascii="Times New Roman" w:hAnsi="Times New Roman"/>
        </w:rPr>
        <w:t xml:space="preserve">plaq. </w:t>
      </w:r>
      <w:r w:rsidRPr="00C50E46">
        <w:rPr>
          <w:rFonts w:ascii="Times New Roman" w:hAnsi="Times New Roman"/>
        </w:rPr>
        <w:t xml:space="preserve">878 as representative examples. </w:t>
      </w:r>
    </w:p>
  </w:footnote>
  <w:footnote w:id="31">
    <w:p w:rsidR="003C5BB0" w:rsidRDefault="003C5BB0" w:rsidP="006C395C">
      <w:pPr>
        <w:pStyle w:val="FootnoteText"/>
        <w:contextualSpacing/>
      </w:pPr>
      <w:r w:rsidRPr="00C50E46">
        <w:rPr>
          <w:rStyle w:val="FootnoteReference"/>
          <w:rFonts w:ascii="Times New Roman" w:hAnsi="Times New Roman"/>
        </w:rPr>
        <w:footnoteRef/>
      </w:r>
      <w:r w:rsidRPr="00C50E46">
        <w:rPr>
          <w:rFonts w:ascii="Times New Roman" w:hAnsi="Times New Roman"/>
        </w:rPr>
        <w:t xml:space="preserve"> </w:t>
      </w:r>
      <w:r>
        <w:rPr>
          <w:rFonts w:ascii="Times New Roman" w:hAnsi="Times New Roman"/>
        </w:rPr>
        <w:t xml:space="preserve">A.N. </w:t>
      </w:r>
      <w:r w:rsidRPr="00C50E46">
        <w:rPr>
          <w:rFonts w:ascii="Times New Roman" w:hAnsi="Times New Roman" w:cs="Bookman Old Style"/>
          <w:color w:val="000000"/>
          <w:szCs w:val="20"/>
        </w:rPr>
        <w:t xml:space="preserve">W 300, </w:t>
      </w:r>
      <w:r>
        <w:rPr>
          <w:rFonts w:ascii="Times New Roman" w:hAnsi="Times New Roman" w:cs="Bookman Old Style"/>
          <w:color w:val="000000"/>
          <w:szCs w:val="20"/>
        </w:rPr>
        <w:t xml:space="preserve">plaq. </w:t>
      </w:r>
      <w:r w:rsidRPr="00C50E46">
        <w:rPr>
          <w:rFonts w:ascii="Times New Roman" w:hAnsi="Times New Roman" w:cs="Bookman Old Style"/>
          <w:color w:val="000000"/>
          <w:szCs w:val="20"/>
        </w:rPr>
        <w:t>298</w:t>
      </w:r>
      <w:r>
        <w:rPr>
          <w:rFonts w:ascii="Times New Roman" w:hAnsi="Times New Roman" w:cs="Bookman Old Style"/>
          <w:color w:val="000000"/>
          <w:szCs w:val="20"/>
        </w:rPr>
        <w:t>.</w:t>
      </w:r>
    </w:p>
  </w:footnote>
  <w:footnote w:id="32">
    <w:p w:rsidR="003C5BB0" w:rsidRDefault="003C5BB0" w:rsidP="006C395C">
      <w:pPr>
        <w:pStyle w:val="FootnoteText"/>
        <w:contextualSpacing/>
      </w:pPr>
      <w:r w:rsidRPr="00C50E46">
        <w:rPr>
          <w:rStyle w:val="FootnoteReference"/>
          <w:rFonts w:ascii="Times New Roman" w:hAnsi="Times New Roman"/>
        </w:rPr>
        <w:footnoteRef/>
      </w:r>
      <w:r w:rsidRPr="00C50E46">
        <w:rPr>
          <w:rFonts w:ascii="Times New Roman" w:hAnsi="Times New Roman"/>
        </w:rPr>
        <w:t xml:space="preserve"> </w:t>
      </w:r>
      <w:r>
        <w:rPr>
          <w:rFonts w:ascii="Times New Roman" w:hAnsi="Times New Roman"/>
        </w:rPr>
        <w:t>Ibid.,</w:t>
      </w:r>
      <w:r w:rsidRPr="00C50E46">
        <w:rPr>
          <w:rFonts w:ascii="Times New Roman" w:hAnsi="Times New Roman" w:cs="Bookman Old Style"/>
          <w:color w:val="000000"/>
          <w:szCs w:val="20"/>
        </w:rPr>
        <w:t xml:space="preserve"> </w:t>
      </w:r>
      <w:r>
        <w:rPr>
          <w:rFonts w:ascii="Times New Roman" w:hAnsi="Times New Roman" w:cs="Bookman Old Style"/>
          <w:color w:val="000000"/>
          <w:szCs w:val="20"/>
        </w:rPr>
        <w:t xml:space="preserve">p. </w:t>
      </w:r>
      <w:r w:rsidRPr="00C50E46">
        <w:rPr>
          <w:rFonts w:ascii="Times New Roman" w:hAnsi="Times New Roman" w:cs="Bookman Old Style"/>
          <w:color w:val="000000"/>
          <w:szCs w:val="20"/>
        </w:rPr>
        <w:t>40,</w:t>
      </w:r>
      <w:r>
        <w:rPr>
          <w:rFonts w:ascii="Times New Roman" w:hAnsi="Times New Roman" w:cs="Bookman Old Style"/>
          <w:color w:val="000000"/>
          <w:szCs w:val="20"/>
        </w:rPr>
        <w:t xml:space="preserve"> </w:t>
      </w:r>
      <w:r w:rsidRPr="00C50E46">
        <w:rPr>
          <w:rFonts w:ascii="Times New Roman" w:hAnsi="Times New Roman" w:cs="Bookman Old Style"/>
          <w:color w:val="000000"/>
          <w:szCs w:val="20"/>
        </w:rPr>
        <w:t>pg</w:t>
      </w:r>
      <w:r>
        <w:rPr>
          <w:rFonts w:ascii="Times New Roman" w:hAnsi="Times New Roman" w:cs="Bookman Old Style"/>
          <w:color w:val="000000"/>
          <w:szCs w:val="20"/>
        </w:rPr>
        <w:t>.</w:t>
      </w:r>
      <w:r w:rsidRPr="00C50E46">
        <w:rPr>
          <w:rFonts w:ascii="Times New Roman" w:hAnsi="Times New Roman" w:cs="Bookman Old Style"/>
          <w:color w:val="000000"/>
          <w:szCs w:val="20"/>
        </w:rPr>
        <w:t xml:space="preserve"> 5</w:t>
      </w:r>
      <w:r>
        <w:rPr>
          <w:rFonts w:ascii="Times New Roman" w:hAnsi="Times New Roman" w:cs="Bookman Old Style"/>
          <w:color w:val="000000"/>
          <w:szCs w:val="20"/>
        </w:rPr>
        <w:t>.</w:t>
      </w:r>
    </w:p>
  </w:footnote>
  <w:footnote w:id="33">
    <w:p w:rsidR="003C5BB0" w:rsidRDefault="003C5BB0" w:rsidP="006C395C">
      <w:pPr>
        <w:pStyle w:val="FootnoteText"/>
        <w:contextualSpacing/>
      </w:pPr>
      <w:r w:rsidRPr="00C50E46">
        <w:rPr>
          <w:rStyle w:val="FootnoteReference"/>
          <w:rFonts w:ascii="Times New Roman" w:hAnsi="Times New Roman"/>
        </w:rPr>
        <w:footnoteRef/>
      </w:r>
      <w:r w:rsidRPr="00C50E46">
        <w:rPr>
          <w:rFonts w:ascii="Times New Roman" w:hAnsi="Times New Roman"/>
        </w:rPr>
        <w:t xml:space="preserve"> </w:t>
      </w:r>
      <w:r>
        <w:rPr>
          <w:rFonts w:ascii="Times New Roman" w:hAnsi="Times New Roman"/>
        </w:rPr>
        <w:t xml:space="preserve">Ibid., p. </w:t>
      </w:r>
      <w:r w:rsidRPr="00C50E46">
        <w:rPr>
          <w:rFonts w:ascii="Times New Roman" w:hAnsi="Times New Roman"/>
        </w:rPr>
        <w:t>43, pg</w:t>
      </w:r>
      <w:r>
        <w:rPr>
          <w:rFonts w:ascii="Times New Roman" w:hAnsi="Times New Roman"/>
        </w:rPr>
        <w:t>.</w:t>
      </w:r>
      <w:r w:rsidRPr="00C50E46">
        <w:rPr>
          <w:rFonts w:ascii="Times New Roman" w:hAnsi="Times New Roman"/>
        </w:rPr>
        <w:t xml:space="preserve"> 8-9</w:t>
      </w:r>
      <w:r>
        <w:rPr>
          <w:rFonts w:ascii="Times New Roman" w:hAnsi="Times New Roman"/>
        </w:rPr>
        <w:t>.</w:t>
      </w:r>
    </w:p>
  </w:footnote>
  <w:footnote w:id="34">
    <w:p w:rsidR="003C5BB0" w:rsidRDefault="003C5BB0" w:rsidP="00634CCB">
      <w:pPr>
        <w:pStyle w:val="FootnoteText"/>
        <w:contextualSpacing/>
      </w:pPr>
      <w:r w:rsidRPr="00C50E46">
        <w:rPr>
          <w:rStyle w:val="FootnoteReference"/>
          <w:rFonts w:ascii="Times New Roman" w:hAnsi="Times New Roman"/>
        </w:rPr>
        <w:footnoteRef/>
      </w:r>
      <w:r>
        <w:rPr>
          <w:rFonts w:ascii="Times New Roman" w:hAnsi="Times New Roman"/>
        </w:rPr>
        <w:t xml:space="preserve">  </w:t>
      </w:r>
      <w:r w:rsidRPr="00634CCB">
        <w:rPr>
          <w:rFonts w:ascii="Times New Roman" w:hAnsi="Times New Roman"/>
        </w:rPr>
        <w:t>Brown</w:t>
      </w:r>
      <w:r>
        <w:rPr>
          <w:rFonts w:ascii="Times New Roman" w:hAnsi="Times New Roman"/>
        </w:rPr>
        <w:t xml:space="preserve">, </w:t>
      </w:r>
      <w:r w:rsidRPr="00634CCB">
        <w:rPr>
          <w:rFonts w:ascii="Times New Roman" w:hAnsi="Times New Roman"/>
          <w:i/>
        </w:rPr>
        <w:t>Women on Trial: The Revolutionary Tribunal and Gender</w:t>
      </w:r>
      <w:r w:rsidRPr="00634CCB">
        <w:rPr>
          <w:rFonts w:ascii="Times New Roman" w:hAnsi="Times New Roman"/>
        </w:rPr>
        <w:t xml:space="preserve">, </w:t>
      </w:r>
      <w:r>
        <w:rPr>
          <w:rFonts w:ascii="Times New Roman" w:hAnsi="Times New Roman"/>
        </w:rPr>
        <w:t xml:space="preserve">125-130. </w:t>
      </w:r>
    </w:p>
  </w:footnote>
  <w:footnote w:id="35">
    <w:p w:rsidR="003C5BB0" w:rsidRDefault="003C5BB0" w:rsidP="00634CCB">
      <w:pPr>
        <w:pStyle w:val="FootnoteText"/>
        <w:contextualSpacing/>
      </w:pPr>
      <w:r w:rsidRPr="00C50E46">
        <w:rPr>
          <w:rStyle w:val="FootnoteReference"/>
          <w:rFonts w:ascii="Times New Roman" w:hAnsi="Times New Roman"/>
        </w:rPr>
        <w:footnoteRef/>
      </w:r>
      <w:r>
        <w:rPr>
          <w:rFonts w:ascii="Times New Roman" w:hAnsi="Times New Roman"/>
        </w:rPr>
        <w:t xml:space="preserve">  </w:t>
      </w:r>
      <w:r w:rsidRPr="00634CCB">
        <w:rPr>
          <w:rFonts w:ascii="Times New Roman" w:hAnsi="Times New Roman"/>
        </w:rPr>
        <w:t>Alphonse</w:t>
      </w:r>
      <w:r>
        <w:rPr>
          <w:rFonts w:ascii="Times New Roman" w:hAnsi="Times New Roman"/>
        </w:rPr>
        <w:t xml:space="preserve"> Dunoyer, </w:t>
      </w:r>
      <w:r w:rsidRPr="00634CCB">
        <w:rPr>
          <w:rFonts w:ascii="Times New Roman" w:hAnsi="Times New Roman"/>
          <w:i/>
        </w:rPr>
        <w:t>The Public Prosecutor of the Terror, Antoine Quentin Fouquier-Tinville</w:t>
      </w:r>
      <w:r w:rsidRPr="00634CCB">
        <w:rPr>
          <w:rFonts w:ascii="Times New Roman" w:hAnsi="Times New Roman"/>
        </w:rPr>
        <w:t xml:space="preserve"> (</w:t>
      </w:r>
      <w:r>
        <w:rPr>
          <w:rFonts w:ascii="Times New Roman" w:hAnsi="Times New Roman"/>
        </w:rPr>
        <w:t xml:space="preserve">New York: G.P. Putnam's Sons, 1913), 177-195.  </w:t>
      </w:r>
    </w:p>
  </w:footnote>
  <w:footnote w:id="36">
    <w:p w:rsidR="003C5BB0" w:rsidRDefault="003C5BB0" w:rsidP="00634CCB">
      <w:pPr>
        <w:pStyle w:val="FootnoteText"/>
        <w:contextualSpacing/>
      </w:pPr>
      <w:r w:rsidRPr="00C50E46">
        <w:rPr>
          <w:rStyle w:val="FootnoteReference"/>
          <w:rFonts w:ascii="Times New Roman" w:hAnsi="Times New Roman"/>
        </w:rPr>
        <w:footnoteRef/>
      </w:r>
      <w:r>
        <w:rPr>
          <w:rFonts w:ascii="Times New Roman" w:hAnsi="Times New Roman"/>
        </w:rPr>
        <w:t xml:space="preserve">  </w:t>
      </w:r>
      <w:r w:rsidRPr="00634CCB">
        <w:rPr>
          <w:rFonts w:ascii="Times New Roman" w:hAnsi="Times New Roman"/>
        </w:rPr>
        <w:t>Godfrey</w:t>
      </w:r>
      <w:r>
        <w:rPr>
          <w:rFonts w:ascii="Times New Roman" w:hAnsi="Times New Roman"/>
        </w:rPr>
        <w:t xml:space="preserve">, </w:t>
      </w:r>
      <w:r w:rsidRPr="00634CCB">
        <w:rPr>
          <w:rFonts w:ascii="Times New Roman" w:hAnsi="Times New Roman"/>
          <w:i/>
        </w:rPr>
        <w:t>Revolutionary Justice : A Study of the Organization, Personnel, and Procedure of the Paris Tribunal, 1793-1795</w:t>
      </w:r>
      <w:r w:rsidRPr="00634CCB">
        <w:rPr>
          <w:rFonts w:ascii="Times New Roman" w:hAnsi="Times New Roman"/>
        </w:rPr>
        <w:t xml:space="preserve">, </w:t>
      </w:r>
      <w:r>
        <w:rPr>
          <w:rFonts w:ascii="Times New Roman" w:hAnsi="Times New Roman"/>
        </w:rPr>
        <w:t xml:space="preserve">127. </w:t>
      </w:r>
    </w:p>
  </w:footnote>
  <w:footnote w:id="37">
    <w:p w:rsidR="003C5BB0" w:rsidRDefault="003C5BB0" w:rsidP="00634CCB">
      <w:pPr>
        <w:pStyle w:val="FootnoteText"/>
        <w:contextualSpacing/>
      </w:pPr>
      <w:r w:rsidRPr="00C50E46">
        <w:rPr>
          <w:rStyle w:val="FootnoteReference"/>
          <w:rFonts w:ascii="Times New Roman" w:hAnsi="Times New Roman"/>
        </w:rPr>
        <w:footnoteRef/>
      </w:r>
      <w:r w:rsidRPr="00C50E46">
        <w:rPr>
          <w:rFonts w:ascii="Times New Roman" w:hAnsi="Times New Roman"/>
        </w:rPr>
        <w:t xml:space="preserve"> </w:t>
      </w:r>
      <w:r>
        <w:rPr>
          <w:rFonts w:ascii="Times New Roman" w:hAnsi="Times New Roman"/>
        </w:rPr>
        <w:t xml:space="preserve"> </w:t>
      </w:r>
      <w:r w:rsidRPr="00634CCB">
        <w:rPr>
          <w:rFonts w:ascii="Times New Roman" w:hAnsi="Times New Roman"/>
        </w:rPr>
        <w:t>Dena</w:t>
      </w:r>
      <w:r>
        <w:rPr>
          <w:rFonts w:ascii="Times New Roman" w:hAnsi="Times New Roman"/>
        </w:rPr>
        <w:t xml:space="preserve"> Goodman, </w:t>
      </w:r>
      <w:r w:rsidRPr="00634CCB">
        <w:rPr>
          <w:rFonts w:ascii="Times New Roman" w:hAnsi="Times New Roman"/>
          <w:i/>
        </w:rPr>
        <w:t>The Republic of Letters : A Cultural History of the French Enlightenment</w:t>
      </w:r>
      <w:r w:rsidRPr="00634CCB">
        <w:rPr>
          <w:rFonts w:ascii="Times New Roman" w:hAnsi="Times New Roman"/>
        </w:rPr>
        <w:t xml:space="preserve"> (</w:t>
      </w:r>
      <w:r>
        <w:rPr>
          <w:rFonts w:ascii="Times New Roman" w:hAnsi="Times New Roman"/>
        </w:rPr>
        <w:t xml:space="preserve">Ithaca, N.Y.: Cornell University Press, 1994), 338. </w:t>
      </w:r>
    </w:p>
  </w:footnote>
  <w:footnote w:id="38">
    <w:p w:rsidR="003C5BB0" w:rsidRDefault="003C5BB0" w:rsidP="00634CCB">
      <w:pPr>
        <w:pStyle w:val="FootnoteText"/>
        <w:contextualSpacing/>
      </w:pPr>
      <w:r w:rsidRPr="00C50E46">
        <w:rPr>
          <w:rStyle w:val="FootnoteReference"/>
          <w:rFonts w:ascii="Times New Roman" w:hAnsi="Times New Roman"/>
        </w:rPr>
        <w:footnoteRef/>
      </w:r>
      <w:r w:rsidRPr="00C50E46">
        <w:rPr>
          <w:rFonts w:ascii="Times New Roman" w:hAnsi="Times New Roman"/>
        </w:rPr>
        <w:t xml:space="preserve"> </w:t>
      </w:r>
      <w:r>
        <w:rPr>
          <w:rFonts w:ascii="Times New Roman" w:hAnsi="Times New Roman"/>
        </w:rPr>
        <w:t xml:space="preserve"> </w:t>
      </w:r>
      <w:r w:rsidRPr="00634CCB">
        <w:rPr>
          <w:rFonts w:ascii="Times New Roman" w:hAnsi="Times New Roman"/>
        </w:rPr>
        <w:t>Joan B.</w:t>
      </w:r>
      <w:r>
        <w:rPr>
          <w:rFonts w:ascii="Times New Roman" w:hAnsi="Times New Roman"/>
        </w:rPr>
        <w:t xml:space="preserve"> Landes, </w:t>
      </w:r>
      <w:r w:rsidRPr="00634CCB">
        <w:rPr>
          <w:rFonts w:ascii="Times New Roman" w:hAnsi="Times New Roman"/>
          <w:i/>
        </w:rPr>
        <w:t>Women and the Public Sphere in the Age of the French Revolution</w:t>
      </w:r>
      <w:r w:rsidRPr="00634CCB">
        <w:rPr>
          <w:rFonts w:ascii="Times New Roman" w:hAnsi="Times New Roman"/>
        </w:rPr>
        <w:t xml:space="preserve"> (</w:t>
      </w:r>
      <w:r>
        <w:rPr>
          <w:rFonts w:ascii="Times New Roman" w:hAnsi="Times New Roman"/>
        </w:rPr>
        <w:t xml:space="preserve">Ithaca: Cornell University Press, 1988), 26. </w:t>
      </w:r>
    </w:p>
  </w:footnote>
  <w:footnote w:id="39">
    <w:p w:rsidR="003C5BB0" w:rsidRDefault="003C5BB0" w:rsidP="00634CCB">
      <w:pPr>
        <w:pStyle w:val="FootnoteText"/>
        <w:contextualSpacing/>
      </w:pPr>
      <w:r w:rsidRPr="00C50E46">
        <w:rPr>
          <w:rStyle w:val="FootnoteReference"/>
          <w:rFonts w:ascii="Times New Roman" w:hAnsi="Times New Roman"/>
        </w:rPr>
        <w:footnoteRef/>
      </w:r>
      <w:r w:rsidRPr="00C50E46">
        <w:rPr>
          <w:rFonts w:ascii="Times New Roman" w:hAnsi="Times New Roman"/>
        </w:rPr>
        <w:t xml:space="preserve"> Duguet quoted in </w:t>
      </w:r>
      <w:r w:rsidRPr="00634CCB">
        <w:rPr>
          <w:rFonts w:ascii="Times New Roman" w:hAnsi="Times New Roman"/>
        </w:rPr>
        <w:t>Carolyn C.</w:t>
      </w:r>
      <w:r>
        <w:rPr>
          <w:rFonts w:ascii="Times New Roman" w:hAnsi="Times New Roman"/>
        </w:rPr>
        <w:t xml:space="preserve"> Lougee, </w:t>
      </w:r>
      <w:r>
        <w:rPr>
          <w:rFonts w:ascii="Times New Roman" w:hAnsi="Times New Roman"/>
          <w:i/>
        </w:rPr>
        <w:t>Le Paradis des F</w:t>
      </w:r>
      <w:r w:rsidRPr="00634CCB">
        <w:rPr>
          <w:rFonts w:ascii="Times New Roman" w:hAnsi="Times New Roman"/>
          <w:i/>
        </w:rPr>
        <w:t>emmes : Women, Salons, and Social Stratification in Seventeenth-Century France</w:t>
      </w:r>
      <w:r w:rsidRPr="00634CCB">
        <w:rPr>
          <w:rFonts w:ascii="Times New Roman" w:hAnsi="Times New Roman"/>
        </w:rPr>
        <w:t xml:space="preserve"> (</w:t>
      </w:r>
      <w:r>
        <w:rPr>
          <w:rFonts w:ascii="Times New Roman" w:hAnsi="Times New Roman"/>
        </w:rPr>
        <w:t xml:space="preserve">Princeton, N.J. : Princeton University Press:, 1976), 71. </w:t>
      </w:r>
    </w:p>
  </w:footnote>
  <w:footnote w:id="40">
    <w:p w:rsidR="003C5BB0" w:rsidRDefault="003C5BB0" w:rsidP="00634CCB">
      <w:pPr>
        <w:pStyle w:val="FootnoteText"/>
        <w:contextualSpacing/>
      </w:pPr>
      <w:r w:rsidRPr="00C50E46">
        <w:rPr>
          <w:rStyle w:val="FootnoteReference"/>
          <w:rFonts w:ascii="Times New Roman" w:hAnsi="Times New Roman"/>
        </w:rPr>
        <w:footnoteRef/>
      </w:r>
      <w:r w:rsidRPr="00C50E46">
        <w:rPr>
          <w:rFonts w:ascii="Times New Roman" w:hAnsi="Times New Roman"/>
        </w:rPr>
        <w:t xml:space="preserve"> </w:t>
      </w:r>
      <w:r>
        <w:rPr>
          <w:rFonts w:ascii="Times New Roman" w:hAnsi="Times New Roman"/>
        </w:rPr>
        <w:t>Charles de Secondat</w:t>
      </w:r>
      <w:r w:rsidRPr="00634CCB">
        <w:rPr>
          <w:rFonts w:ascii="Times New Roman" w:hAnsi="Times New Roman"/>
        </w:rPr>
        <w:t xml:space="preserve"> </w:t>
      </w:r>
      <w:r>
        <w:rPr>
          <w:rFonts w:ascii="Times New Roman" w:hAnsi="Times New Roman"/>
        </w:rPr>
        <w:t xml:space="preserve">de Montesquieu, </w:t>
      </w:r>
      <w:r w:rsidRPr="00634CCB">
        <w:rPr>
          <w:rFonts w:ascii="Times New Roman" w:hAnsi="Times New Roman"/>
          <w:i/>
        </w:rPr>
        <w:t>Persian Letters</w:t>
      </w:r>
      <w:r w:rsidRPr="00634CCB">
        <w:rPr>
          <w:rFonts w:ascii="Times New Roman" w:hAnsi="Times New Roman"/>
        </w:rPr>
        <w:t xml:space="preserve"> (</w:t>
      </w:r>
      <w:r>
        <w:rPr>
          <w:rFonts w:ascii="Times New Roman" w:hAnsi="Times New Roman"/>
        </w:rPr>
        <w:t xml:space="preserve">Harmondsworth, Eng. ; New York, NY: Penguin Books, 1993), 107. </w:t>
      </w:r>
    </w:p>
  </w:footnote>
  <w:footnote w:id="41">
    <w:p w:rsidR="003C5BB0" w:rsidRDefault="003C5BB0" w:rsidP="00634CCB">
      <w:pPr>
        <w:pStyle w:val="FootnoteText"/>
        <w:contextualSpacing/>
      </w:pPr>
      <w:r w:rsidRPr="00C50E46">
        <w:rPr>
          <w:rStyle w:val="FootnoteReference"/>
          <w:rFonts w:ascii="Times New Roman" w:hAnsi="Times New Roman"/>
        </w:rPr>
        <w:footnoteRef/>
      </w:r>
      <w:r w:rsidRPr="00C50E46">
        <w:rPr>
          <w:rFonts w:ascii="Times New Roman" w:hAnsi="Times New Roman"/>
        </w:rPr>
        <w:t xml:space="preserve"> </w:t>
      </w:r>
      <w:r>
        <w:rPr>
          <w:rFonts w:ascii="Times New Roman" w:hAnsi="Times New Roman"/>
        </w:rPr>
        <w:t xml:space="preserve"> </w:t>
      </w:r>
      <w:r w:rsidRPr="00634CCB">
        <w:rPr>
          <w:rFonts w:ascii="Times New Roman" w:hAnsi="Times New Roman"/>
        </w:rPr>
        <w:t>Dorinda</w:t>
      </w:r>
      <w:r>
        <w:rPr>
          <w:rFonts w:ascii="Times New Roman" w:hAnsi="Times New Roman"/>
        </w:rPr>
        <w:t xml:space="preserve"> Outram, "Words and Flesh: Mme Roland, the Female Body and the Search for Power," in </w:t>
      </w:r>
      <w:r w:rsidRPr="00634CCB">
        <w:rPr>
          <w:rFonts w:ascii="Times New Roman" w:hAnsi="Times New Roman"/>
          <w:i/>
        </w:rPr>
        <w:t>The Body and the French Revolution: Sex, Class and Political Culture</w:t>
      </w:r>
      <w:r w:rsidRPr="00634CCB">
        <w:rPr>
          <w:rFonts w:ascii="Times New Roman" w:hAnsi="Times New Roman"/>
        </w:rPr>
        <w:t xml:space="preserve"> (</w:t>
      </w:r>
      <w:r>
        <w:rPr>
          <w:rFonts w:ascii="Times New Roman" w:hAnsi="Times New Roman"/>
        </w:rPr>
        <w:t xml:space="preserve">New Haven, Conn.: Yale University Press, 1989), 125. </w:t>
      </w:r>
    </w:p>
  </w:footnote>
  <w:footnote w:id="42">
    <w:p w:rsidR="003C5BB0" w:rsidRDefault="003C5BB0" w:rsidP="00634CCB">
      <w:pPr>
        <w:pStyle w:val="FootnoteText"/>
        <w:contextualSpacing/>
      </w:pPr>
      <w:r w:rsidRPr="00C50E46">
        <w:rPr>
          <w:rStyle w:val="FootnoteReference"/>
          <w:rFonts w:ascii="Times New Roman" w:hAnsi="Times New Roman"/>
        </w:rPr>
        <w:footnoteRef/>
      </w:r>
      <w:r w:rsidRPr="00C50E46">
        <w:rPr>
          <w:rFonts w:ascii="Times New Roman" w:hAnsi="Times New Roman"/>
        </w:rPr>
        <w:t xml:space="preserve"> </w:t>
      </w:r>
      <w:r>
        <w:rPr>
          <w:rFonts w:ascii="Times New Roman" w:hAnsi="Times New Roman"/>
        </w:rPr>
        <w:t xml:space="preserve"> </w:t>
      </w:r>
      <w:r w:rsidRPr="00634CCB">
        <w:rPr>
          <w:rFonts w:ascii="Times New Roman" w:hAnsi="Times New Roman"/>
        </w:rPr>
        <w:t>Marie Antoinette, Queen Consort of Louis XVI,</w:t>
      </w:r>
      <w:r w:rsidR="00AD0377">
        <w:rPr>
          <w:rFonts w:ascii="Times New Roman" w:hAnsi="Times New Roman"/>
        </w:rPr>
        <w:t xml:space="preserve"> </w:t>
      </w:r>
      <w:r w:rsidRPr="00634CCB">
        <w:rPr>
          <w:rFonts w:ascii="Times New Roman" w:hAnsi="Times New Roman"/>
        </w:rPr>
        <w:t>King of France</w:t>
      </w:r>
      <w:r>
        <w:rPr>
          <w:rFonts w:ascii="Times New Roman" w:hAnsi="Times New Roman"/>
        </w:rPr>
        <w:t xml:space="preserve">, </w:t>
      </w:r>
      <w:r w:rsidRPr="00634CCB">
        <w:rPr>
          <w:rFonts w:ascii="Times New Roman" w:hAnsi="Times New Roman"/>
          <w:i/>
        </w:rPr>
        <w:t>Trial of Marie Antoinette, Late Queen of France, before the Revolutionary Tribunal, at Paris; Compiled from a Manuscript Sent from Paris, and from the Journals of the Moniteur. the Whole Carefully Revised and Corrected</w:t>
      </w:r>
      <w:r w:rsidRPr="00634CCB">
        <w:rPr>
          <w:rFonts w:ascii="Times New Roman" w:hAnsi="Times New Roman"/>
        </w:rPr>
        <w:t xml:space="preserve"> (</w:t>
      </w:r>
      <w:r>
        <w:rPr>
          <w:rFonts w:ascii="Times New Roman" w:hAnsi="Times New Roman"/>
        </w:rPr>
        <w:t xml:space="preserve">London : 1794), 82. </w:t>
      </w:r>
    </w:p>
  </w:footnote>
  <w:footnote w:id="43">
    <w:p w:rsidR="003C5BB0" w:rsidRDefault="003C5BB0" w:rsidP="00634CCB">
      <w:pPr>
        <w:pStyle w:val="FootnoteText"/>
        <w:contextualSpacing/>
      </w:pPr>
      <w:r w:rsidRPr="00C50E46">
        <w:rPr>
          <w:rStyle w:val="FootnoteReference"/>
          <w:rFonts w:ascii="Times New Roman" w:hAnsi="Times New Roman"/>
        </w:rPr>
        <w:footnoteRef/>
      </w:r>
      <w:r w:rsidRPr="00C50E46">
        <w:rPr>
          <w:rFonts w:ascii="Times New Roman" w:hAnsi="Times New Roman"/>
        </w:rPr>
        <w:t xml:space="preserve"> </w:t>
      </w:r>
      <w:r>
        <w:rPr>
          <w:rFonts w:ascii="Times New Roman" w:hAnsi="Times New Roman"/>
        </w:rPr>
        <w:t xml:space="preserve"> </w:t>
      </w:r>
      <w:r w:rsidRPr="00634CCB">
        <w:rPr>
          <w:rFonts w:ascii="Times New Roman" w:hAnsi="Times New Roman"/>
        </w:rPr>
        <w:t>Lisa</w:t>
      </w:r>
      <w:r>
        <w:rPr>
          <w:rFonts w:ascii="Times New Roman" w:hAnsi="Times New Roman"/>
        </w:rPr>
        <w:t xml:space="preserve"> Beckstrand, </w:t>
      </w:r>
      <w:r w:rsidRPr="00634CCB">
        <w:rPr>
          <w:rFonts w:ascii="Times New Roman" w:hAnsi="Times New Roman"/>
          <w:i/>
        </w:rPr>
        <w:t>Deviant Women of the French Revolution and the Rise of Feminism</w:t>
      </w:r>
      <w:r w:rsidRPr="00634CCB">
        <w:rPr>
          <w:rFonts w:ascii="Times New Roman" w:hAnsi="Times New Roman"/>
        </w:rPr>
        <w:t xml:space="preserve"> (</w:t>
      </w:r>
      <w:r>
        <w:rPr>
          <w:rFonts w:ascii="Times New Roman" w:hAnsi="Times New Roman"/>
        </w:rPr>
        <w:t xml:space="preserve">Madison N.J.: Fairleigh Dickinson University Press, 2009), 22. </w:t>
      </w:r>
    </w:p>
  </w:footnote>
  <w:footnote w:id="44">
    <w:p w:rsidR="003C5BB0" w:rsidRDefault="003C5BB0" w:rsidP="00634CCB">
      <w:pPr>
        <w:pStyle w:val="FootnoteText"/>
        <w:contextualSpacing/>
      </w:pPr>
      <w:r w:rsidRPr="00C50E46">
        <w:rPr>
          <w:rStyle w:val="FootnoteReference"/>
          <w:rFonts w:ascii="Times New Roman" w:hAnsi="Times New Roman"/>
        </w:rPr>
        <w:footnoteRef/>
      </w:r>
      <w:r w:rsidRPr="00C50E46">
        <w:rPr>
          <w:rFonts w:ascii="Times New Roman" w:hAnsi="Times New Roman"/>
        </w:rPr>
        <w:t xml:space="preserve"> </w:t>
      </w:r>
      <w:r>
        <w:rPr>
          <w:rFonts w:ascii="Times New Roman" w:hAnsi="Times New Roman"/>
        </w:rPr>
        <w:t xml:space="preserve"> </w:t>
      </w:r>
      <w:r w:rsidRPr="00634CCB">
        <w:rPr>
          <w:rFonts w:ascii="Times New Roman" w:hAnsi="Times New Roman"/>
        </w:rPr>
        <w:t>Greer</w:t>
      </w:r>
      <w:r>
        <w:rPr>
          <w:rFonts w:ascii="Times New Roman" w:hAnsi="Times New Roman"/>
        </w:rPr>
        <w:t xml:space="preserve">, </w:t>
      </w:r>
      <w:r w:rsidRPr="00634CCB">
        <w:rPr>
          <w:rFonts w:ascii="Times New Roman" w:hAnsi="Times New Roman"/>
          <w:i/>
        </w:rPr>
        <w:t>The Incidence of the Terror during the French Revolution; a Statistical Interpretation</w:t>
      </w:r>
      <w:r w:rsidRPr="00634CCB">
        <w:rPr>
          <w:rFonts w:ascii="Times New Roman" w:hAnsi="Times New Roman"/>
        </w:rPr>
        <w:t xml:space="preserve">, </w:t>
      </w:r>
      <w:r>
        <w:rPr>
          <w:rFonts w:ascii="Times New Roman" w:hAnsi="Times New Roman"/>
        </w:rPr>
        <w:t xml:space="preserve">115. </w:t>
      </w:r>
    </w:p>
  </w:footnote>
  <w:footnote w:id="45">
    <w:p w:rsidR="003C5BB0" w:rsidRDefault="003C5BB0" w:rsidP="006C395C">
      <w:pPr>
        <w:pStyle w:val="FootnoteText"/>
        <w:contextualSpacing/>
      </w:pPr>
      <w:r w:rsidRPr="00C50E46">
        <w:rPr>
          <w:rStyle w:val="FootnoteReference"/>
          <w:rFonts w:ascii="Times New Roman" w:hAnsi="Times New Roman"/>
        </w:rPr>
        <w:footnoteRef/>
      </w:r>
      <w:r w:rsidRPr="00C50E46">
        <w:rPr>
          <w:rFonts w:ascii="Times New Roman" w:hAnsi="Times New Roman"/>
        </w:rPr>
        <w:t xml:space="preserve"> </w:t>
      </w:r>
      <w:r>
        <w:rPr>
          <w:rFonts w:ascii="Times New Roman" w:hAnsi="Times New Roman"/>
        </w:rPr>
        <w:t xml:space="preserve">A.N. W 322, plaq. </w:t>
      </w:r>
      <w:r w:rsidRPr="00C50E46">
        <w:rPr>
          <w:rFonts w:ascii="Times New Roman" w:hAnsi="Times New Roman"/>
        </w:rPr>
        <w:t>501</w:t>
      </w:r>
      <w:r>
        <w:rPr>
          <w:rFonts w:ascii="Times New Roman" w:hAnsi="Times New Roman"/>
        </w:rPr>
        <w:t>.</w:t>
      </w:r>
    </w:p>
  </w:footnote>
  <w:footnote w:id="46">
    <w:p w:rsidR="003C5BB0" w:rsidRDefault="003C5BB0" w:rsidP="006C395C">
      <w:pPr>
        <w:pStyle w:val="FootnoteText"/>
        <w:contextualSpacing/>
      </w:pPr>
      <w:r w:rsidRPr="00C50E46">
        <w:rPr>
          <w:rStyle w:val="FootnoteReference"/>
          <w:rFonts w:ascii="Times New Roman" w:hAnsi="Times New Roman"/>
        </w:rPr>
        <w:footnoteRef/>
      </w:r>
      <w:r w:rsidRPr="00C50E46">
        <w:rPr>
          <w:rFonts w:ascii="Times New Roman" w:hAnsi="Times New Roman"/>
        </w:rPr>
        <w:t xml:space="preserve"> </w:t>
      </w:r>
      <w:r>
        <w:rPr>
          <w:rFonts w:ascii="Times New Roman" w:hAnsi="Times New Roman"/>
        </w:rPr>
        <w:t xml:space="preserve">A.N. </w:t>
      </w:r>
      <w:r w:rsidRPr="00C50E46">
        <w:rPr>
          <w:rFonts w:ascii="Times New Roman" w:hAnsi="Times New Roman"/>
        </w:rPr>
        <w:t>W 322,</w:t>
      </w:r>
      <w:r>
        <w:rPr>
          <w:rFonts w:ascii="Times New Roman" w:hAnsi="Times New Roman"/>
        </w:rPr>
        <w:t xml:space="preserve"> plaq.</w:t>
      </w:r>
      <w:r w:rsidRPr="00C50E46">
        <w:rPr>
          <w:rFonts w:ascii="Times New Roman" w:hAnsi="Times New Roman"/>
        </w:rPr>
        <w:t xml:space="preserve"> 501,</w:t>
      </w:r>
      <w:r>
        <w:rPr>
          <w:rFonts w:ascii="Times New Roman" w:hAnsi="Times New Roman"/>
        </w:rPr>
        <w:t xml:space="preserve"> p. </w:t>
      </w:r>
      <w:r w:rsidRPr="00C50E46">
        <w:rPr>
          <w:rFonts w:ascii="Times New Roman" w:hAnsi="Times New Roman"/>
        </w:rPr>
        <w:t>7</w:t>
      </w:r>
      <w:r>
        <w:rPr>
          <w:rFonts w:ascii="Times New Roman" w:hAnsi="Times New Roman"/>
        </w:rPr>
        <w:t>.</w:t>
      </w:r>
    </w:p>
  </w:footnote>
  <w:footnote w:id="47">
    <w:p w:rsidR="003C5BB0" w:rsidRDefault="003C5BB0" w:rsidP="006C395C">
      <w:pPr>
        <w:pStyle w:val="FootnoteText"/>
        <w:contextualSpacing/>
      </w:pPr>
      <w:r w:rsidRPr="00C50E46">
        <w:rPr>
          <w:rStyle w:val="FootnoteReference"/>
          <w:rFonts w:ascii="Times New Roman" w:hAnsi="Times New Roman"/>
        </w:rPr>
        <w:footnoteRef/>
      </w:r>
      <w:r w:rsidRPr="00C50E46">
        <w:rPr>
          <w:rFonts w:ascii="Times New Roman" w:hAnsi="Times New Roman"/>
        </w:rPr>
        <w:t xml:space="preserve"> </w:t>
      </w:r>
      <w:r>
        <w:rPr>
          <w:rFonts w:ascii="Times New Roman" w:hAnsi="Times New Roman"/>
        </w:rPr>
        <w:t>Ibid., p.</w:t>
      </w:r>
      <w:r w:rsidRPr="00C50E46">
        <w:rPr>
          <w:rFonts w:ascii="Times New Roman" w:hAnsi="Times New Roman"/>
        </w:rPr>
        <w:t xml:space="preserve"> 33, pg</w:t>
      </w:r>
      <w:r>
        <w:rPr>
          <w:rFonts w:ascii="Times New Roman" w:hAnsi="Times New Roman"/>
        </w:rPr>
        <w:t>.</w:t>
      </w:r>
      <w:r w:rsidRPr="00C50E46">
        <w:rPr>
          <w:rFonts w:ascii="Times New Roman" w:hAnsi="Times New Roman"/>
        </w:rPr>
        <w:t xml:space="preserve"> 3</w:t>
      </w:r>
      <w:r>
        <w:rPr>
          <w:rFonts w:ascii="Times New Roman" w:hAnsi="Times New Roman"/>
        </w:rPr>
        <w:t>.</w:t>
      </w:r>
    </w:p>
  </w:footnote>
  <w:footnote w:id="48">
    <w:p w:rsidR="003C5BB0" w:rsidRDefault="003C5BB0" w:rsidP="006C395C">
      <w:pPr>
        <w:pStyle w:val="FootnoteText"/>
        <w:contextualSpacing/>
      </w:pPr>
      <w:r w:rsidRPr="00C50E46">
        <w:rPr>
          <w:rStyle w:val="FootnoteReference"/>
          <w:rFonts w:ascii="Times New Roman" w:hAnsi="Times New Roman"/>
        </w:rPr>
        <w:footnoteRef/>
      </w:r>
      <w:r w:rsidRPr="00C50E46">
        <w:rPr>
          <w:rFonts w:ascii="Times New Roman" w:hAnsi="Times New Roman"/>
        </w:rPr>
        <w:t xml:space="preserve"> </w:t>
      </w:r>
      <w:r>
        <w:rPr>
          <w:rFonts w:ascii="Times New Roman" w:hAnsi="Times New Roman"/>
        </w:rPr>
        <w:t xml:space="preserve">A.N. </w:t>
      </w:r>
      <w:r w:rsidRPr="00C50E46">
        <w:rPr>
          <w:rFonts w:ascii="Times New Roman" w:hAnsi="Times New Roman"/>
        </w:rPr>
        <w:t>W 344,</w:t>
      </w:r>
      <w:r>
        <w:rPr>
          <w:rFonts w:ascii="Times New Roman" w:hAnsi="Times New Roman"/>
        </w:rPr>
        <w:t xml:space="preserve"> plaq.</w:t>
      </w:r>
      <w:r w:rsidRPr="00C50E46">
        <w:rPr>
          <w:rFonts w:ascii="Times New Roman" w:hAnsi="Times New Roman"/>
        </w:rPr>
        <w:t xml:space="preserve"> 665</w:t>
      </w:r>
      <w:r>
        <w:rPr>
          <w:rFonts w:ascii="Times New Roman" w:hAnsi="Times New Roman"/>
        </w:rPr>
        <w:t>.</w:t>
      </w:r>
    </w:p>
  </w:footnote>
  <w:footnote w:id="49">
    <w:p w:rsidR="003C5BB0" w:rsidRDefault="003C5BB0" w:rsidP="006C395C">
      <w:pPr>
        <w:pStyle w:val="FootnoteText"/>
        <w:contextualSpacing/>
      </w:pPr>
      <w:r w:rsidRPr="00C50E46">
        <w:rPr>
          <w:rStyle w:val="FootnoteReference"/>
          <w:rFonts w:ascii="Times New Roman" w:hAnsi="Times New Roman"/>
        </w:rPr>
        <w:footnoteRef/>
      </w:r>
      <w:r w:rsidRPr="00C50E46">
        <w:rPr>
          <w:rFonts w:ascii="Times New Roman" w:hAnsi="Times New Roman"/>
        </w:rPr>
        <w:t xml:space="preserve"> </w:t>
      </w:r>
      <w:r>
        <w:rPr>
          <w:rFonts w:ascii="Times New Roman" w:hAnsi="Times New Roman"/>
        </w:rPr>
        <w:t>Ibid., p.</w:t>
      </w:r>
      <w:r w:rsidRPr="00C50E46">
        <w:rPr>
          <w:rFonts w:ascii="Times New Roman" w:hAnsi="Times New Roman"/>
        </w:rPr>
        <w:t xml:space="preserve"> 27, pg</w:t>
      </w:r>
      <w:r>
        <w:rPr>
          <w:rFonts w:ascii="Times New Roman" w:hAnsi="Times New Roman"/>
        </w:rPr>
        <w:t>.</w:t>
      </w:r>
      <w:r w:rsidRPr="00C50E46">
        <w:rPr>
          <w:rFonts w:ascii="Times New Roman" w:hAnsi="Times New Roman"/>
        </w:rPr>
        <w:t xml:space="preserve"> 2</w:t>
      </w:r>
      <w:r>
        <w:rPr>
          <w:rFonts w:ascii="Times New Roman" w:hAnsi="Times New Roman"/>
        </w:rPr>
        <w:t>.</w:t>
      </w:r>
    </w:p>
  </w:footnote>
  <w:footnote w:id="50">
    <w:p w:rsidR="003C5BB0" w:rsidRDefault="003C5BB0" w:rsidP="006C395C">
      <w:pPr>
        <w:pStyle w:val="FootnoteText"/>
        <w:contextualSpacing/>
      </w:pPr>
      <w:r w:rsidRPr="00C50E46">
        <w:rPr>
          <w:rStyle w:val="FootnoteReference"/>
          <w:rFonts w:ascii="Times New Roman" w:hAnsi="Times New Roman"/>
        </w:rPr>
        <w:footnoteRef/>
      </w:r>
      <w:r w:rsidRPr="00C50E46">
        <w:rPr>
          <w:rFonts w:ascii="Times New Roman" w:hAnsi="Times New Roman"/>
        </w:rPr>
        <w:t xml:space="preserve"> </w:t>
      </w:r>
      <w:r>
        <w:rPr>
          <w:rFonts w:ascii="Times New Roman" w:hAnsi="Times New Roman"/>
        </w:rPr>
        <w:t>Ibid., p.</w:t>
      </w:r>
      <w:r w:rsidRPr="00C50E46">
        <w:rPr>
          <w:rFonts w:ascii="Times New Roman" w:hAnsi="Times New Roman"/>
        </w:rPr>
        <w:t xml:space="preserve"> 48, pg</w:t>
      </w:r>
      <w:r>
        <w:rPr>
          <w:rFonts w:ascii="Times New Roman" w:hAnsi="Times New Roman"/>
        </w:rPr>
        <w:t>.</w:t>
      </w:r>
      <w:r w:rsidRPr="00C50E46">
        <w:rPr>
          <w:rFonts w:ascii="Times New Roman" w:hAnsi="Times New Roman"/>
        </w:rPr>
        <w:t xml:space="preserve"> 3</w:t>
      </w:r>
      <w:r>
        <w:rPr>
          <w:rFonts w:ascii="Times New Roman" w:hAnsi="Times New Roman"/>
        </w:rPr>
        <w:t>.</w:t>
      </w:r>
    </w:p>
  </w:footnote>
  <w:footnote w:id="51">
    <w:p w:rsidR="003C5BB0" w:rsidRDefault="003C5BB0" w:rsidP="006C395C">
      <w:pPr>
        <w:pStyle w:val="FootnoteText"/>
        <w:contextualSpacing/>
      </w:pPr>
      <w:r w:rsidRPr="00C50E46">
        <w:rPr>
          <w:rStyle w:val="FootnoteReference"/>
          <w:rFonts w:ascii="Times New Roman" w:hAnsi="Times New Roman"/>
        </w:rPr>
        <w:footnoteRef/>
      </w:r>
      <w:r w:rsidRPr="00C50E46">
        <w:rPr>
          <w:rFonts w:ascii="Times New Roman" w:hAnsi="Times New Roman"/>
        </w:rPr>
        <w:t xml:space="preserve"> </w:t>
      </w:r>
      <w:r>
        <w:rPr>
          <w:rFonts w:ascii="Times New Roman" w:hAnsi="Times New Roman"/>
        </w:rPr>
        <w:t xml:space="preserve">A.N. </w:t>
      </w:r>
      <w:r w:rsidRPr="00C50E46">
        <w:rPr>
          <w:rFonts w:ascii="Times New Roman" w:hAnsi="Times New Roman"/>
        </w:rPr>
        <w:t>W</w:t>
      </w:r>
      <w:r>
        <w:rPr>
          <w:rFonts w:ascii="Times New Roman" w:hAnsi="Times New Roman"/>
        </w:rPr>
        <w:t xml:space="preserve"> </w:t>
      </w:r>
      <w:r w:rsidRPr="00C50E46">
        <w:rPr>
          <w:rFonts w:ascii="Times New Roman" w:hAnsi="Times New Roman"/>
        </w:rPr>
        <w:t>297/2</w:t>
      </w:r>
      <w:r>
        <w:rPr>
          <w:rFonts w:ascii="Times New Roman" w:hAnsi="Times New Roman"/>
        </w:rPr>
        <w:t>, plaq.</w:t>
      </w:r>
      <w:r w:rsidRPr="00C50E46">
        <w:rPr>
          <w:rFonts w:ascii="Times New Roman" w:hAnsi="Times New Roman"/>
        </w:rPr>
        <w:t xml:space="preserve"> 279,</w:t>
      </w:r>
      <w:r>
        <w:rPr>
          <w:rFonts w:ascii="Times New Roman" w:hAnsi="Times New Roman"/>
        </w:rPr>
        <w:t xml:space="preserve"> p.</w:t>
      </w:r>
      <w:r w:rsidRPr="00C50E46">
        <w:rPr>
          <w:rFonts w:ascii="Times New Roman" w:hAnsi="Times New Roman"/>
        </w:rPr>
        <w:t xml:space="preserve"> 1</w:t>
      </w:r>
      <w:r>
        <w:rPr>
          <w:rFonts w:ascii="Times New Roman" w:hAnsi="Times New Roman"/>
        </w:rPr>
        <w:t>.</w:t>
      </w:r>
    </w:p>
  </w:footnote>
  <w:footnote w:id="52">
    <w:p w:rsidR="003C5BB0" w:rsidRDefault="003C5BB0" w:rsidP="006C395C">
      <w:pPr>
        <w:pStyle w:val="FootnoteText"/>
        <w:contextualSpacing/>
      </w:pPr>
      <w:r w:rsidRPr="00C50E46">
        <w:rPr>
          <w:rStyle w:val="FootnoteReference"/>
          <w:rFonts w:ascii="Times New Roman" w:hAnsi="Times New Roman"/>
        </w:rPr>
        <w:footnoteRef/>
      </w:r>
      <w:r>
        <w:rPr>
          <w:rFonts w:ascii="Times New Roman" w:hAnsi="Times New Roman"/>
        </w:rPr>
        <w:t xml:space="preserve"> Ibid., p.</w:t>
      </w:r>
      <w:r w:rsidRPr="00C50E46">
        <w:rPr>
          <w:rFonts w:ascii="Times New Roman" w:hAnsi="Times New Roman"/>
        </w:rPr>
        <w:t xml:space="preserve"> 3</w:t>
      </w:r>
      <w:r>
        <w:rPr>
          <w:rFonts w:ascii="Times New Roman" w:hAnsi="Times New Roman"/>
        </w:rPr>
        <w:t>,</w:t>
      </w:r>
      <w:r w:rsidRPr="00C50E46">
        <w:rPr>
          <w:rFonts w:ascii="Times New Roman" w:hAnsi="Times New Roman"/>
        </w:rPr>
        <w:t xml:space="preserve"> pg</w:t>
      </w:r>
      <w:r>
        <w:rPr>
          <w:rFonts w:ascii="Times New Roman" w:hAnsi="Times New Roman"/>
        </w:rPr>
        <w:t>.</w:t>
      </w:r>
      <w:r w:rsidRPr="00C50E46">
        <w:rPr>
          <w:rFonts w:ascii="Times New Roman" w:hAnsi="Times New Roman"/>
        </w:rPr>
        <w:t xml:space="preserve"> 2</w:t>
      </w:r>
      <w:r>
        <w:rPr>
          <w:rFonts w:ascii="Times New Roman" w:hAnsi="Times New Roman"/>
        </w:rPr>
        <w:t>.</w:t>
      </w:r>
    </w:p>
  </w:footnote>
  <w:footnote w:id="53">
    <w:p w:rsidR="003C5BB0" w:rsidRDefault="003C5BB0" w:rsidP="006C395C">
      <w:pPr>
        <w:pStyle w:val="FootnoteText"/>
        <w:contextualSpacing/>
      </w:pPr>
      <w:r w:rsidRPr="00C50E46">
        <w:rPr>
          <w:rStyle w:val="FootnoteReference"/>
          <w:rFonts w:ascii="Times New Roman" w:hAnsi="Times New Roman"/>
        </w:rPr>
        <w:footnoteRef/>
      </w:r>
      <w:r w:rsidRPr="00C50E46">
        <w:rPr>
          <w:rFonts w:ascii="Times New Roman" w:hAnsi="Times New Roman"/>
        </w:rPr>
        <w:t xml:space="preserve"> </w:t>
      </w:r>
      <w:r>
        <w:rPr>
          <w:rFonts w:ascii="Times New Roman" w:hAnsi="Times New Roman"/>
        </w:rPr>
        <w:t>Ibid., p.</w:t>
      </w:r>
      <w:r w:rsidRPr="00C50E46">
        <w:rPr>
          <w:rFonts w:ascii="Times New Roman" w:hAnsi="Times New Roman"/>
        </w:rPr>
        <w:t xml:space="preserve"> 8, pg</w:t>
      </w:r>
      <w:r>
        <w:rPr>
          <w:rFonts w:ascii="Times New Roman" w:hAnsi="Times New Roman"/>
        </w:rPr>
        <w:t>.</w:t>
      </w:r>
      <w:r w:rsidRPr="00C50E46">
        <w:rPr>
          <w:rFonts w:ascii="Times New Roman" w:hAnsi="Times New Roman"/>
        </w:rPr>
        <w:t xml:space="preserve"> 3</w:t>
      </w:r>
      <w:r>
        <w:rPr>
          <w:rFonts w:ascii="Times New Roman" w:hAnsi="Times New Roman"/>
        </w:rPr>
        <w:t>.</w:t>
      </w:r>
    </w:p>
  </w:footnote>
  <w:footnote w:id="54">
    <w:p w:rsidR="003C5BB0" w:rsidRDefault="003C5BB0" w:rsidP="006C395C">
      <w:pPr>
        <w:pStyle w:val="FootnoteText"/>
        <w:contextualSpacing/>
      </w:pPr>
      <w:r w:rsidRPr="00C50E46">
        <w:rPr>
          <w:rStyle w:val="FootnoteReference"/>
          <w:rFonts w:ascii="Times New Roman" w:hAnsi="Times New Roman"/>
        </w:rPr>
        <w:footnoteRef/>
      </w:r>
      <w:r w:rsidRPr="00C50E46">
        <w:rPr>
          <w:rFonts w:ascii="Times New Roman" w:hAnsi="Times New Roman"/>
        </w:rPr>
        <w:t xml:space="preserve"> For example,</w:t>
      </w:r>
      <w:r>
        <w:rPr>
          <w:rFonts w:ascii="Times New Roman" w:hAnsi="Times New Roman"/>
        </w:rPr>
        <w:t xml:space="preserve"> take</w:t>
      </w:r>
      <w:r w:rsidRPr="00C50E46">
        <w:rPr>
          <w:rFonts w:ascii="Times New Roman" w:hAnsi="Times New Roman"/>
        </w:rPr>
        <w:t xml:space="preserve"> the numerous women who were convicted for their relationships to important counterrevolutionary men or disgraced revolutionary leaders. See </w:t>
      </w:r>
      <w:r>
        <w:rPr>
          <w:rFonts w:ascii="Times New Roman" w:hAnsi="Times New Roman"/>
        </w:rPr>
        <w:t xml:space="preserve">A.N. </w:t>
      </w:r>
      <w:r w:rsidRPr="00C50E46">
        <w:rPr>
          <w:rFonts w:ascii="Times New Roman" w:hAnsi="Times New Roman"/>
        </w:rPr>
        <w:t>W 288,</w:t>
      </w:r>
      <w:r>
        <w:rPr>
          <w:rFonts w:ascii="Times New Roman" w:hAnsi="Times New Roman"/>
        </w:rPr>
        <w:t xml:space="preserve"> plaq. </w:t>
      </w:r>
      <w:r w:rsidRPr="00C50E46">
        <w:rPr>
          <w:rFonts w:ascii="Times New Roman" w:hAnsi="Times New Roman"/>
        </w:rPr>
        <w:t>154</w:t>
      </w:r>
      <w:r>
        <w:rPr>
          <w:rFonts w:ascii="Times New Roman" w:hAnsi="Times New Roman"/>
        </w:rPr>
        <w:t>;</w:t>
      </w:r>
      <w:r w:rsidRPr="00C50E46">
        <w:rPr>
          <w:rFonts w:ascii="Times New Roman" w:hAnsi="Times New Roman"/>
        </w:rPr>
        <w:t xml:space="preserve"> Louise-Catherine-Angélique Lefèvre, belle-mère of Pétion. </w:t>
      </w:r>
    </w:p>
  </w:footnote>
  <w:footnote w:id="55">
    <w:p w:rsidR="003C5BB0" w:rsidRDefault="003C5BB0" w:rsidP="006C395C">
      <w:pPr>
        <w:pStyle w:val="FootnoteText"/>
        <w:contextualSpacing/>
      </w:pPr>
      <w:r w:rsidRPr="00C50E46">
        <w:rPr>
          <w:rStyle w:val="FootnoteReference"/>
          <w:rFonts w:ascii="Times New Roman" w:hAnsi="Times New Roman"/>
        </w:rPr>
        <w:footnoteRef/>
      </w:r>
      <w:r w:rsidRPr="00C50E46">
        <w:rPr>
          <w:rFonts w:ascii="Times New Roman" w:hAnsi="Times New Roman"/>
        </w:rPr>
        <w:t xml:space="preserve"> </w:t>
      </w:r>
      <w:r>
        <w:rPr>
          <w:rFonts w:ascii="Times New Roman" w:hAnsi="Times New Roman"/>
        </w:rPr>
        <w:t xml:space="preserve">A.N. </w:t>
      </w:r>
      <w:r w:rsidRPr="00C50E46">
        <w:rPr>
          <w:rFonts w:ascii="Times New Roman" w:hAnsi="Times New Roman"/>
        </w:rPr>
        <w:t>W 295,</w:t>
      </w:r>
      <w:r>
        <w:rPr>
          <w:rFonts w:ascii="Times New Roman" w:hAnsi="Times New Roman"/>
        </w:rPr>
        <w:t xml:space="preserve"> plaq.</w:t>
      </w:r>
      <w:r w:rsidRPr="00C50E46">
        <w:rPr>
          <w:rFonts w:ascii="Times New Roman" w:hAnsi="Times New Roman"/>
        </w:rPr>
        <w:t xml:space="preserve"> 241,</w:t>
      </w:r>
      <w:r>
        <w:rPr>
          <w:rFonts w:ascii="Times New Roman" w:hAnsi="Times New Roman"/>
        </w:rPr>
        <w:t xml:space="preserve"> p.</w:t>
      </w:r>
      <w:r w:rsidRPr="00C50E46">
        <w:rPr>
          <w:rFonts w:ascii="Times New Roman" w:hAnsi="Times New Roman"/>
        </w:rPr>
        <w:t xml:space="preserve"> 1</w:t>
      </w:r>
      <w:r>
        <w:rPr>
          <w:rFonts w:ascii="Times New Roman" w:hAnsi="Times New Roman"/>
        </w:rPr>
        <w:t>.</w:t>
      </w:r>
    </w:p>
  </w:footnote>
  <w:footnote w:id="56">
    <w:p w:rsidR="003C5BB0" w:rsidRDefault="003C5BB0" w:rsidP="006C395C">
      <w:pPr>
        <w:pStyle w:val="FootnoteText"/>
        <w:contextualSpacing/>
      </w:pPr>
      <w:r w:rsidRPr="00C50E46">
        <w:rPr>
          <w:rStyle w:val="FootnoteReference"/>
          <w:rFonts w:ascii="Times New Roman" w:hAnsi="Times New Roman"/>
        </w:rPr>
        <w:footnoteRef/>
      </w:r>
      <w:r w:rsidRPr="00C50E46">
        <w:rPr>
          <w:rFonts w:ascii="Times New Roman" w:hAnsi="Times New Roman"/>
        </w:rPr>
        <w:t xml:space="preserve"> </w:t>
      </w:r>
      <w:r>
        <w:rPr>
          <w:rFonts w:ascii="Times New Roman" w:hAnsi="Times New Roman"/>
        </w:rPr>
        <w:t>Ibid.</w:t>
      </w:r>
      <w:r w:rsidRPr="00C50E46">
        <w:rPr>
          <w:rFonts w:ascii="Times New Roman" w:hAnsi="Times New Roman"/>
        </w:rPr>
        <w:t>,</w:t>
      </w:r>
      <w:r>
        <w:rPr>
          <w:rFonts w:ascii="Times New Roman" w:hAnsi="Times New Roman"/>
        </w:rPr>
        <w:t xml:space="preserve"> p.</w:t>
      </w:r>
      <w:r w:rsidRPr="00C50E46">
        <w:rPr>
          <w:rFonts w:ascii="Times New Roman" w:hAnsi="Times New Roman"/>
        </w:rPr>
        <w:t xml:space="preserve"> 2</w:t>
      </w:r>
      <w:r>
        <w:rPr>
          <w:rFonts w:ascii="Times New Roman" w:hAnsi="Times New Roman"/>
        </w:rPr>
        <w:t>.</w:t>
      </w:r>
    </w:p>
  </w:footnote>
  <w:footnote w:id="57">
    <w:p w:rsidR="003C5BB0" w:rsidRDefault="003C5BB0" w:rsidP="006C395C">
      <w:pPr>
        <w:pStyle w:val="FootnoteText"/>
        <w:contextualSpacing/>
      </w:pPr>
      <w:r w:rsidRPr="00C50E46">
        <w:rPr>
          <w:rStyle w:val="FootnoteReference"/>
          <w:rFonts w:ascii="Times New Roman" w:hAnsi="Times New Roman"/>
        </w:rPr>
        <w:footnoteRef/>
      </w:r>
      <w:r w:rsidRPr="00C50E46">
        <w:rPr>
          <w:rFonts w:ascii="Times New Roman" w:hAnsi="Times New Roman"/>
        </w:rPr>
        <w:t xml:space="preserve"> </w:t>
      </w:r>
      <w:r>
        <w:rPr>
          <w:rFonts w:ascii="Times New Roman" w:hAnsi="Times New Roman"/>
        </w:rPr>
        <w:t xml:space="preserve">Ibid., p. </w:t>
      </w:r>
      <w:r w:rsidRPr="00C50E46">
        <w:rPr>
          <w:rFonts w:ascii="Times New Roman" w:hAnsi="Times New Roman"/>
        </w:rPr>
        <w:t>4, pg</w:t>
      </w:r>
      <w:r>
        <w:rPr>
          <w:rFonts w:ascii="Times New Roman" w:hAnsi="Times New Roman"/>
        </w:rPr>
        <w:t>.</w:t>
      </w:r>
      <w:r w:rsidRPr="00C50E46">
        <w:rPr>
          <w:rFonts w:ascii="Times New Roman" w:hAnsi="Times New Roman"/>
        </w:rPr>
        <w:t xml:space="preserve"> 1-3</w:t>
      </w:r>
      <w:r>
        <w:rPr>
          <w:rFonts w:ascii="Times New Roman" w:hAnsi="Times New Roman"/>
        </w:rPr>
        <w:t>.</w:t>
      </w:r>
    </w:p>
  </w:footnote>
  <w:footnote w:id="58">
    <w:p w:rsidR="003C5BB0" w:rsidRDefault="003C5BB0" w:rsidP="006C395C">
      <w:pPr>
        <w:pStyle w:val="FootnoteText"/>
        <w:contextualSpacing/>
      </w:pPr>
      <w:r w:rsidRPr="00C50E46">
        <w:rPr>
          <w:rStyle w:val="FootnoteReference"/>
          <w:rFonts w:ascii="Times New Roman" w:hAnsi="Times New Roman"/>
        </w:rPr>
        <w:footnoteRef/>
      </w:r>
      <w:r w:rsidRPr="00C50E46">
        <w:rPr>
          <w:rFonts w:ascii="Times New Roman" w:hAnsi="Times New Roman"/>
        </w:rPr>
        <w:t xml:space="preserve"> </w:t>
      </w:r>
      <w:r>
        <w:rPr>
          <w:rFonts w:ascii="Times New Roman" w:hAnsi="Times New Roman"/>
        </w:rPr>
        <w:t>Ibid., p.</w:t>
      </w:r>
      <w:r w:rsidRPr="00C50E46">
        <w:rPr>
          <w:rFonts w:ascii="Times New Roman" w:hAnsi="Times New Roman"/>
        </w:rPr>
        <w:t xml:space="preserve"> 91</w:t>
      </w:r>
      <w:r>
        <w:rPr>
          <w:rFonts w:ascii="Times New Roman" w:hAnsi="Times New Roman"/>
        </w:rPr>
        <w:t>,</w:t>
      </w:r>
      <w:r w:rsidRPr="00C50E46">
        <w:rPr>
          <w:rFonts w:ascii="Times New Roman" w:hAnsi="Times New Roman"/>
        </w:rPr>
        <w:t xml:space="preserve"> pg</w:t>
      </w:r>
      <w:r>
        <w:rPr>
          <w:rFonts w:ascii="Times New Roman" w:hAnsi="Times New Roman"/>
        </w:rPr>
        <w:t>.</w:t>
      </w:r>
      <w:r w:rsidRPr="00C50E46">
        <w:rPr>
          <w:rFonts w:ascii="Times New Roman" w:hAnsi="Times New Roman"/>
        </w:rPr>
        <w:t xml:space="preserve"> 1-2</w:t>
      </w:r>
      <w:r>
        <w:rPr>
          <w:rFonts w:ascii="Times New Roman" w:hAnsi="Times New Roman"/>
        </w:rPr>
        <w:t>.</w:t>
      </w:r>
    </w:p>
  </w:footnote>
  <w:footnote w:id="59">
    <w:p w:rsidR="003C5BB0" w:rsidRDefault="003C5BB0" w:rsidP="00634CCB">
      <w:pPr>
        <w:pStyle w:val="FootnoteText"/>
        <w:contextualSpacing/>
      </w:pPr>
      <w:r w:rsidRPr="00C50E46">
        <w:rPr>
          <w:rStyle w:val="FootnoteReference"/>
          <w:rFonts w:ascii="Times New Roman" w:hAnsi="Times New Roman"/>
        </w:rPr>
        <w:footnoteRef/>
      </w:r>
      <w:r w:rsidRPr="00C50E46">
        <w:rPr>
          <w:rFonts w:ascii="Times New Roman" w:hAnsi="Times New Roman"/>
        </w:rPr>
        <w:t xml:space="preserve"> </w:t>
      </w:r>
      <w:r>
        <w:rPr>
          <w:rFonts w:ascii="Times New Roman" w:hAnsi="Times New Roman"/>
        </w:rPr>
        <w:t xml:space="preserve"> </w:t>
      </w:r>
      <w:r w:rsidRPr="00634CCB">
        <w:rPr>
          <w:rFonts w:ascii="Times New Roman" w:hAnsi="Times New Roman"/>
        </w:rPr>
        <w:t>Landes</w:t>
      </w:r>
      <w:r>
        <w:rPr>
          <w:rFonts w:ascii="Times New Roman" w:hAnsi="Times New Roman"/>
        </w:rPr>
        <w:t xml:space="preserve">, </w:t>
      </w:r>
      <w:r w:rsidRPr="00634CCB">
        <w:rPr>
          <w:rFonts w:ascii="Times New Roman" w:hAnsi="Times New Roman"/>
          <w:i/>
        </w:rPr>
        <w:t>Women and the Public Sphere in the Age of the French Revolution</w:t>
      </w:r>
      <w:r w:rsidRPr="00634CCB">
        <w:rPr>
          <w:rFonts w:ascii="Times New Roman" w:hAnsi="Times New Roman"/>
        </w:rPr>
        <w:t xml:space="preserve">, </w:t>
      </w:r>
      <w:r>
        <w:rPr>
          <w:rFonts w:ascii="Times New Roman" w:hAnsi="Times New Roman"/>
        </w:rPr>
        <w:t xml:space="preserve">67. </w:t>
      </w:r>
    </w:p>
  </w:footnote>
  <w:footnote w:id="60">
    <w:p w:rsidR="003C5BB0" w:rsidRDefault="003C5BB0" w:rsidP="00634CCB">
      <w:pPr>
        <w:pStyle w:val="FootnoteText"/>
        <w:contextualSpacing/>
      </w:pPr>
      <w:r w:rsidRPr="00C50E46">
        <w:rPr>
          <w:rStyle w:val="FootnoteReference"/>
          <w:rFonts w:ascii="Times New Roman" w:hAnsi="Times New Roman"/>
        </w:rPr>
        <w:footnoteRef/>
      </w:r>
      <w:r w:rsidRPr="00C50E46">
        <w:rPr>
          <w:rFonts w:ascii="Times New Roman" w:hAnsi="Times New Roman"/>
        </w:rPr>
        <w:t xml:space="preserve"> </w:t>
      </w:r>
      <w:r>
        <w:rPr>
          <w:rFonts w:ascii="Times New Roman" w:hAnsi="Times New Roman"/>
        </w:rPr>
        <w:t xml:space="preserve"> </w:t>
      </w:r>
      <w:r w:rsidRPr="00634CCB">
        <w:rPr>
          <w:rFonts w:ascii="Times New Roman" w:hAnsi="Times New Roman"/>
        </w:rPr>
        <w:t>Olwen H.</w:t>
      </w:r>
      <w:r>
        <w:rPr>
          <w:rFonts w:ascii="Times New Roman" w:hAnsi="Times New Roman"/>
        </w:rPr>
        <w:t xml:space="preserve"> Hufton, </w:t>
      </w:r>
      <w:r w:rsidRPr="00634CCB">
        <w:rPr>
          <w:rFonts w:ascii="Times New Roman" w:hAnsi="Times New Roman"/>
          <w:i/>
        </w:rPr>
        <w:t>Women and the Limits of Citizenship in the French Revolution</w:t>
      </w:r>
      <w:r w:rsidRPr="00634CCB">
        <w:rPr>
          <w:rFonts w:ascii="Times New Roman" w:hAnsi="Times New Roman"/>
        </w:rPr>
        <w:t xml:space="preserve"> (</w:t>
      </w:r>
      <w:r>
        <w:rPr>
          <w:rFonts w:ascii="Times New Roman" w:hAnsi="Times New Roman"/>
        </w:rPr>
        <w:t xml:space="preserve">Toronto: University of Toronto Press, 1992), 4. </w:t>
      </w:r>
    </w:p>
  </w:footnote>
  <w:footnote w:id="61">
    <w:p w:rsidR="003C5BB0" w:rsidRDefault="003C5BB0" w:rsidP="006C395C">
      <w:pPr>
        <w:pStyle w:val="FootnoteText"/>
        <w:contextualSpacing/>
      </w:pPr>
      <w:r w:rsidRPr="00C50E46">
        <w:rPr>
          <w:rStyle w:val="FootnoteReference"/>
          <w:rFonts w:ascii="Times New Roman" w:hAnsi="Times New Roman"/>
        </w:rPr>
        <w:footnoteRef/>
      </w:r>
      <w:r w:rsidRPr="00C50E46">
        <w:rPr>
          <w:rFonts w:ascii="Times New Roman" w:hAnsi="Times New Roman"/>
        </w:rPr>
        <w:t xml:space="preserve"> The spelling of Ricard is inconsistent in the trial record. Ricart is also commonly used. </w:t>
      </w:r>
    </w:p>
  </w:footnote>
  <w:footnote w:id="62">
    <w:p w:rsidR="003C5BB0" w:rsidRDefault="003C5BB0" w:rsidP="00634CCB">
      <w:pPr>
        <w:pStyle w:val="FootnoteText"/>
        <w:contextualSpacing/>
      </w:pPr>
      <w:r w:rsidRPr="00C50E46">
        <w:rPr>
          <w:rStyle w:val="FootnoteReference"/>
          <w:rFonts w:ascii="Times New Roman" w:hAnsi="Times New Roman"/>
        </w:rPr>
        <w:footnoteRef/>
      </w:r>
      <w:r w:rsidRPr="00C50E46">
        <w:rPr>
          <w:rFonts w:ascii="Times New Roman" w:hAnsi="Times New Roman"/>
        </w:rPr>
        <w:t xml:space="preserve"> </w:t>
      </w:r>
      <w:r>
        <w:rPr>
          <w:rFonts w:ascii="Times New Roman" w:hAnsi="Times New Roman"/>
        </w:rPr>
        <w:t xml:space="preserve"> </w:t>
      </w:r>
      <w:r w:rsidRPr="00634CCB">
        <w:rPr>
          <w:rFonts w:ascii="Times New Roman" w:hAnsi="Times New Roman"/>
        </w:rPr>
        <w:t>Jérôme</w:t>
      </w:r>
      <w:r>
        <w:rPr>
          <w:rFonts w:ascii="Times New Roman" w:hAnsi="Times New Roman"/>
        </w:rPr>
        <w:t xml:space="preserve"> Pétion, </w:t>
      </w:r>
      <w:r>
        <w:rPr>
          <w:rFonts w:ascii="Times New Roman" w:hAnsi="Times New Roman"/>
          <w:i/>
        </w:rPr>
        <w:t>Oeuvres d</w:t>
      </w:r>
      <w:r w:rsidRPr="00634CCB">
        <w:rPr>
          <w:rFonts w:ascii="Times New Roman" w:hAnsi="Times New Roman"/>
          <w:i/>
        </w:rPr>
        <w:t>e Jérôme Pétion</w:t>
      </w:r>
      <w:r w:rsidRPr="00634CCB">
        <w:rPr>
          <w:rFonts w:ascii="Times New Roman" w:hAnsi="Times New Roman"/>
        </w:rPr>
        <w:t xml:space="preserve"> (</w:t>
      </w:r>
      <w:r>
        <w:rPr>
          <w:rFonts w:ascii="Times New Roman" w:hAnsi="Times New Roman"/>
        </w:rPr>
        <w:t>Paris: Garnery, 1792)</w:t>
      </w:r>
    </w:p>
  </w:footnote>
  <w:footnote w:id="63">
    <w:p w:rsidR="003C5BB0" w:rsidRDefault="003C5BB0" w:rsidP="006C395C">
      <w:pPr>
        <w:pStyle w:val="FootnoteText"/>
        <w:contextualSpacing/>
      </w:pPr>
      <w:r w:rsidRPr="00C50E46">
        <w:rPr>
          <w:rStyle w:val="FootnoteReference"/>
          <w:rFonts w:ascii="Times New Roman" w:hAnsi="Times New Roman"/>
        </w:rPr>
        <w:footnoteRef/>
      </w:r>
      <w:r w:rsidRPr="00C50E46">
        <w:rPr>
          <w:rFonts w:ascii="Times New Roman" w:hAnsi="Times New Roman"/>
        </w:rPr>
        <w:t xml:space="preserve"> </w:t>
      </w:r>
      <w:r>
        <w:rPr>
          <w:rFonts w:ascii="Times New Roman" w:hAnsi="Times New Roman"/>
        </w:rPr>
        <w:t xml:space="preserve">A.N. </w:t>
      </w:r>
      <w:r w:rsidRPr="00C50E46">
        <w:rPr>
          <w:rFonts w:ascii="Times New Roman" w:hAnsi="Times New Roman"/>
        </w:rPr>
        <w:t>W 288,</w:t>
      </w:r>
      <w:r>
        <w:rPr>
          <w:rFonts w:ascii="Times New Roman" w:hAnsi="Times New Roman"/>
        </w:rPr>
        <w:t xml:space="preserve"> plaq.</w:t>
      </w:r>
      <w:r w:rsidRPr="00C50E46">
        <w:rPr>
          <w:rFonts w:ascii="Times New Roman" w:hAnsi="Times New Roman"/>
        </w:rPr>
        <w:t xml:space="preserve"> 154,</w:t>
      </w:r>
      <w:r>
        <w:rPr>
          <w:rFonts w:ascii="Times New Roman" w:hAnsi="Times New Roman"/>
        </w:rPr>
        <w:t xml:space="preserve"> p. </w:t>
      </w:r>
      <w:r w:rsidRPr="00C50E46">
        <w:rPr>
          <w:rFonts w:ascii="Times New Roman" w:hAnsi="Times New Roman"/>
        </w:rPr>
        <w:t>1</w:t>
      </w:r>
      <w:r>
        <w:rPr>
          <w:rFonts w:ascii="Times New Roman" w:hAnsi="Times New Roman"/>
        </w:rPr>
        <w:t>.</w:t>
      </w:r>
    </w:p>
  </w:footnote>
  <w:footnote w:id="64">
    <w:p w:rsidR="003C5BB0" w:rsidRDefault="003C5BB0" w:rsidP="006C395C">
      <w:pPr>
        <w:pStyle w:val="FootnoteText"/>
        <w:contextualSpacing/>
      </w:pPr>
      <w:r w:rsidRPr="00C50E46">
        <w:rPr>
          <w:rStyle w:val="FootnoteReference"/>
          <w:rFonts w:ascii="Times New Roman" w:hAnsi="Times New Roman"/>
        </w:rPr>
        <w:footnoteRef/>
      </w:r>
      <w:r w:rsidRPr="00C50E46">
        <w:rPr>
          <w:rFonts w:ascii="Times New Roman" w:hAnsi="Times New Roman"/>
        </w:rPr>
        <w:t xml:space="preserve"> For example, see </w:t>
      </w:r>
      <w:r>
        <w:rPr>
          <w:rFonts w:ascii="Times New Roman" w:hAnsi="Times New Roman"/>
        </w:rPr>
        <w:t xml:space="preserve">A.N. </w:t>
      </w:r>
      <w:r w:rsidRPr="00C50E46">
        <w:rPr>
          <w:rFonts w:ascii="Times New Roman" w:hAnsi="Times New Roman"/>
        </w:rPr>
        <w:t>W 362,</w:t>
      </w:r>
      <w:r>
        <w:rPr>
          <w:rFonts w:ascii="Times New Roman" w:hAnsi="Times New Roman"/>
        </w:rPr>
        <w:t xml:space="preserve"> plaq.</w:t>
      </w:r>
      <w:r w:rsidRPr="00C50E46">
        <w:rPr>
          <w:rFonts w:ascii="Times New Roman" w:hAnsi="Times New Roman"/>
        </w:rPr>
        <w:t xml:space="preserve"> 774;</w:t>
      </w:r>
      <w:r>
        <w:rPr>
          <w:rFonts w:ascii="Times New Roman" w:hAnsi="Times New Roman"/>
        </w:rPr>
        <w:t xml:space="preserve"> A.N.</w:t>
      </w:r>
      <w:r w:rsidRPr="00C50E46">
        <w:rPr>
          <w:rFonts w:ascii="Times New Roman" w:hAnsi="Times New Roman"/>
        </w:rPr>
        <w:t xml:space="preserve"> W 308,</w:t>
      </w:r>
      <w:r>
        <w:rPr>
          <w:rFonts w:ascii="Times New Roman" w:hAnsi="Times New Roman"/>
        </w:rPr>
        <w:t xml:space="preserve"> plaq.</w:t>
      </w:r>
      <w:r w:rsidRPr="00C50E46">
        <w:rPr>
          <w:rFonts w:ascii="Times New Roman" w:hAnsi="Times New Roman"/>
        </w:rPr>
        <w:t xml:space="preserve"> 402;</w:t>
      </w:r>
      <w:r>
        <w:rPr>
          <w:rFonts w:ascii="Times New Roman" w:hAnsi="Times New Roman"/>
        </w:rPr>
        <w:t xml:space="preserve"> </w:t>
      </w:r>
      <w:r w:rsidRPr="00C50E46">
        <w:rPr>
          <w:rFonts w:ascii="Times New Roman" w:hAnsi="Times New Roman"/>
        </w:rPr>
        <w:t xml:space="preserve"> and </w:t>
      </w:r>
      <w:r>
        <w:rPr>
          <w:rFonts w:ascii="Times New Roman" w:hAnsi="Times New Roman"/>
        </w:rPr>
        <w:t xml:space="preserve">A.N. </w:t>
      </w:r>
      <w:r w:rsidRPr="00C50E46">
        <w:rPr>
          <w:rFonts w:ascii="Times New Roman" w:hAnsi="Times New Roman"/>
        </w:rPr>
        <w:t>W 344,</w:t>
      </w:r>
      <w:r>
        <w:rPr>
          <w:rFonts w:ascii="Times New Roman" w:hAnsi="Times New Roman"/>
        </w:rPr>
        <w:t xml:space="preserve"> plaq.</w:t>
      </w:r>
      <w:r w:rsidRPr="00C50E46">
        <w:rPr>
          <w:rFonts w:ascii="Times New Roman" w:hAnsi="Times New Roman"/>
        </w:rPr>
        <w:t xml:space="preserve"> 665. </w:t>
      </w:r>
    </w:p>
  </w:footnote>
  <w:footnote w:id="65">
    <w:p w:rsidR="003C5BB0" w:rsidRDefault="003C5BB0" w:rsidP="006C395C">
      <w:pPr>
        <w:pStyle w:val="FootnoteText"/>
        <w:contextualSpacing/>
      </w:pPr>
      <w:r w:rsidRPr="00C50E46">
        <w:rPr>
          <w:rStyle w:val="FootnoteReference"/>
          <w:rFonts w:ascii="Times New Roman" w:hAnsi="Times New Roman"/>
        </w:rPr>
        <w:footnoteRef/>
      </w:r>
      <w:r w:rsidRPr="00C50E46">
        <w:rPr>
          <w:rFonts w:ascii="Times New Roman" w:hAnsi="Times New Roman"/>
        </w:rPr>
        <w:t xml:space="preserve"> Most notably, Marie Antoinette is identified as the wife of the King.</w:t>
      </w:r>
      <w:r>
        <w:rPr>
          <w:rFonts w:ascii="Times New Roman" w:hAnsi="Times New Roman"/>
        </w:rPr>
        <w:t xml:space="preserve"> </w:t>
      </w:r>
    </w:p>
  </w:footnote>
  <w:footnote w:id="66">
    <w:p w:rsidR="003C5BB0" w:rsidRDefault="003C5BB0" w:rsidP="006C395C">
      <w:pPr>
        <w:pStyle w:val="FootnoteText"/>
        <w:contextualSpacing/>
      </w:pPr>
      <w:r w:rsidRPr="00C50E46">
        <w:rPr>
          <w:rStyle w:val="FootnoteReference"/>
          <w:rFonts w:ascii="Times New Roman" w:hAnsi="Times New Roman"/>
        </w:rPr>
        <w:footnoteRef/>
      </w:r>
      <w:r w:rsidRPr="00C50E46">
        <w:rPr>
          <w:rFonts w:ascii="Times New Roman" w:hAnsi="Times New Roman"/>
        </w:rPr>
        <w:t xml:space="preserve"> </w:t>
      </w:r>
      <w:r>
        <w:rPr>
          <w:rFonts w:ascii="Times New Roman" w:hAnsi="Times New Roman"/>
        </w:rPr>
        <w:t xml:space="preserve">A.N. </w:t>
      </w:r>
      <w:r w:rsidRPr="00C50E46">
        <w:rPr>
          <w:rFonts w:ascii="Times New Roman" w:hAnsi="Times New Roman"/>
        </w:rPr>
        <w:t>W 288,</w:t>
      </w:r>
      <w:r>
        <w:rPr>
          <w:rFonts w:ascii="Times New Roman" w:hAnsi="Times New Roman"/>
        </w:rPr>
        <w:t xml:space="preserve"> plaq.</w:t>
      </w:r>
      <w:r w:rsidRPr="00C50E46">
        <w:rPr>
          <w:rFonts w:ascii="Times New Roman" w:hAnsi="Times New Roman"/>
        </w:rPr>
        <w:t xml:space="preserve"> 7,</w:t>
      </w:r>
      <w:r>
        <w:rPr>
          <w:rFonts w:ascii="Times New Roman" w:hAnsi="Times New Roman"/>
        </w:rPr>
        <w:t xml:space="preserve"> p.</w:t>
      </w:r>
      <w:r w:rsidRPr="00C50E46">
        <w:rPr>
          <w:rFonts w:ascii="Times New Roman" w:hAnsi="Times New Roman"/>
        </w:rPr>
        <w:t xml:space="preserve"> 1</w:t>
      </w:r>
      <w:r>
        <w:rPr>
          <w:rFonts w:ascii="Times New Roman" w:hAnsi="Times New Roman"/>
        </w:rPr>
        <w:t>.</w:t>
      </w:r>
    </w:p>
  </w:footnote>
  <w:footnote w:id="67">
    <w:p w:rsidR="003C5BB0" w:rsidRDefault="003C5BB0" w:rsidP="006C395C">
      <w:pPr>
        <w:pStyle w:val="FootnoteText"/>
        <w:contextualSpacing/>
      </w:pPr>
      <w:r w:rsidRPr="00C50E46">
        <w:rPr>
          <w:rStyle w:val="FootnoteReference"/>
          <w:rFonts w:ascii="Times New Roman" w:hAnsi="Times New Roman"/>
        </w:rPr>
        <w:footnoteRef/>
      </w:r>
      <w:r w:rsidRPr="00C50E46">
        <w:rPr>
          <w:rFonts w:ascii="Times New Roman" w:hAnsi="Times New Roman"/>
        </w:rPr>
        <w:t xml:space="preserve"> </w:t>
      </w:r>
      <w:r>
        <w:rPr>
          <w:rFonts w:ascii="Times New Roman" w:hAnsi="Times New Roman"/>
        </w:rPr>
        <w:t xml:space="preserve">A.N. </w:t>
      </w:r>
      <w:r w:rsidRPr="00C50E46">
        <w:rPr>
          <w:rFonts w:ascii="Times New Roman" w:hAnsi="Times New Roman"/>
        </w:rPr>
        <w:t>W 384,</w:t>
      </w:r>
      <w:r>
        <w:rPr>
          <w:rFonts w:ascii="Times New Roman" w:hAnsi="Times New Roman"/>
        </w:rPr>
        <w:t xml:space="preserve"> plaq.</w:t>
      </w:r>
      <w:r w:rsidRPr="00C50E46">
        <w:rPr>
          <w:rFonts w:ascii="Times New Roman" w:hAnsi="Times New Roman"/>
        </w:rPr>
        <w:t xml:space="preserve"> 892</w:t>
      </w:r>
      <w:r>
        <w:rPr>
          <w:rFonts w:ascii="Times New Roman" w:hAnsi="Times New Roman"/>
        </w:rPr>
        <w:t>.</w:t>
      </w:r>
    </w:p>
  </w:footnote>
  <w:footnote w:id="68">
    <w:p w:rsidR="003C5BB0" w:rsidRDefault="003C5BB0" w:rsidP="006C395C">
      <w:pPr>
        <w:pStyle w:val="FootnoteText"/>
        <w:contextualSpacing/>
      </w:pPr>
      <w:r w:rsidRPr="00C50E46">
        <w:rPr>
          <w:rStyle w:val="FootnoteReference"/>
          <w:rFonts w:ascii="Times New Roman" w:hAnsi="Times New Roman"/>
        </w:rPr>
        <w:footnoteRef/>
      </w:r>
      <w:r w:rsidRPr="00C50E46">
        <w:rPr>
          <w:rFonts w:ascii="Times New Roman" w:hAnsi="Times New Roman"/>
        </w:rPr>
        <w:t xml:space="preserve"> </w:t>
      </w:r>
      <w:r>
        <w:rPr>
          <w:rFonts w:ascii="Times New Roman" w:hAnsi="Times New Roman"/>
        </w:rPr>
        <w:t>Ibid., p.</w:t>
      </w:r>
      <w:r w:rsidRPr="00C50E46">
        <w:rPr>
          <w:rFonts w:ascii="Times New Roman" w:hAnsi="Times New Roman"/>
        </w:rPr>
        <w:t xml:space="preserve"> 6</w:t>
      </w:r>
      <w:r>
        <w:rPr>
          <w:rFonts w:ascii="Times New Roman" w:hAnsi="Times New Roman"/>
        </w:rPr>
        <w:t>.</w:t>
      </w:r>
    </w:p>
  </w:footnote>
  <w:footnote w:id="69">
    <w:p w:rsidR="003C5BB0" w:rsidRDefault="003C5BB0" w:rsidP="006C395C">
      <w:pPr>
        <w:pStyle w:val="FootnoteText"/>
        <w:contextualSpacing/>
      </w:pPr>
      <w:r w:rsidRPr="006C395C">
        <w:rPr>
          <w:rStyle w:val="FootnoteReference"/>
          <w:rFonts w:ascii="Times New Roman" w:hAnsi="Times New Roman"/>
        </w:rPr>
        <w:footnoteRef/>
      </w:r>
      <w:r w:rsidRPr="006C395C">
        <w:rPr>
          <w:rFonts w:ascii="Times New Roman" w:hAnsi="Times New Roman"/>
        </w:rPr>
        <w:t xml:space="preserve"> </w:t>
      </w:r>
      <w:r>
        <w:rPr>
          <w:rFonts w:ascii="Times New Roman" w:hAnsi="Times New Roman"/>
        </w:rPr>
        <w:t xml:space="preserve">Ibid., p. </w:t>
      </w:r>
      <w:r w:rsidRPr="006C395C">
        <w:rPr>
          <w:rFonts w:ascii="Times New Roman" w:hAnsi="Times New Roman"/>
        </w:rPr>
        <w:t>7, pg</w:t>
      </w:r>
      <w:r>
        <w:rPr>
          <w:rFonts w:ascii="Times New Roman" w:hAnsi="Times New Roman"/>
        </w:rPr>
        <w:t>.</w:t>
      </w:r>
      <w:r w:rsidRPr="006C395C">
        <w:rPr>
          <w:rFonts w:ascii="Times New Roman" w:hAnsi="Times New Roman"/>
        </w:rPr>
        <w:t xml:space="preserve"> 1-2</w:t>
      </w:r>
      <w:r>
        <w:rPr>
          <w:rFonts w:ascii="Times New Roman" w:hAnsi="Times New Roman"/>
        </w:rPr>
        <w:t>.</w:t>
      </w:r>
    </w:p>
  </w:footnote>
  <w:footnote w:id="70">
    <w:p w:rsidR="003C5BB0" w:rsidRPr="00841642" w:rsidRDefault="003C5BB0">
      <w:pPr>
        <w:pStyle w:val="FootnoteText"/>
        <w:rPr>
          <w:rFonts w:ascii="Times New Roman" w:hAnsi="Times New Roman"/>
        </w:rPr>
      </w:pPr>
      <w:r w:rsidRPr="00841642">
        <w:rPr>
          <w:rStyle w:val="FootnoteReference"/>
          <w:rFonts w:ascii="Times New Roman" w:hAnsi="Times New Roman"/>
        </w:rPr>
        <w:footnoteRef/>
      </w:r>
      <w:r w:rsidRPr="00841642">
        <w:rPr>
          <w:rFonts w:ascii="Times New Roman" w:hAnsi="Times New Roman"/>
        </w:rPr>
        <w:t xml:space="preserve"> </w:t>
      </w:r>
      <w:r w:rsidRPr="00841642">
        <w:rPr>
          <w:rFonts w:ascii="Times New Roman" w:hAnsi="Times New Roman" w:cs="Book Antiqua"/>
        </w:rPr>
        <w:t xml:space="preserve">Jennifer Ngaire Heuer, </w:t>
      </w:r>
      <w:r>
        <w:rPr>
          <w:rFonts w:ascii="Times New Roman" w:hAnsi="Times New Roman" w:cs="Book Antiqua"/>
          <w:i/>
          <w:iCs/>
        </w:rPr>
        <w:t>The Family and the Nation</w:t>
      </w:r>
      <w:r w:rsidRPr="00841642">
        <w:rPr>
          <w:rFonts w:ascii="Times New Roman" w:hAnsi="Times New Roman" w:cs="Book Antiqua"/>
          <w:i/>
          <w:iCs/>
        </w:rPr>
        <w:t>: Gender and Citizenship in Revolutionary France, 1789-1830</w:t>
      </w:r>
      <w:r w:rsidRPr="00841642">
        <w:rPr>
          <w:rFonts w:ascii="Times New Roman" w:hAnsi="Times New Roman" w:cs="Book Antiqua"/>
        </w:rPr>
        <w:t xml:space="preserve"> (Ithaca, N.Y.: Cornell University Press, 2005), 99-121.</w:t>
      </w:r>
    </w:p>
  </w:footnote>
  <w:footnote w:id="71">
    <w:p w:rsidR="003C5BB0" w:rsidRDefault="003C5BB0" w:rsidP="00841642">
      <w:pPr>
        <w:pStyle w:val="FootnoteText"/>
        <w:contextualSpacing/>
      </w:pPr>
      <w:r w:rsidRPr="006C395C">
        <w:rPr>
          <w:rStyle w:val="FootnoteReference"/>
          <w:rFonts w:ascii="Times New Roman" w:hAnsi="Times New Roman"/>
        </w:rPr>
        <w:footnoteRef/>
      </w:r>
      <w:r>
        <w:rPr>
          <w:rFonts w:ascii="Times New Roman" w:hAnsi="Times New Roman"/>
        </w:rPr>
        <w:t xml:space="preserve"> A.N. </w:t>
      </w:r>
      <w:r w:rsidRPr="006C395C">
        <w:rPr>
          <w:rFonts w:ascii="Times New Roman" w:hAnsi="Times New Roman"/>
        </w:rPr>
        <w:t>W 300,</w:t>
      </w:r>
      <w:r>
        <w:rPr>
          <w:rFonts w:ascii="Times New Roman" w:hAnsi="Times New Roman"/>
        </w:rPr>
        <w:t xml:space="preserve"> plaq.</w:t>
      </w:r>
      <w:r w:rsidRPr="006C395C">
        <w:rPr>
          <w:rFonts w:ascii="Times New Roman" w:hAnsi="Times New Roman"/>
        </w:rPr>
        <w:t xml:space="preserve"> 298</w:t>
      </w:r>
      <w:r>
        <w:rPr>
          <w:rFonts w:ascii="Times New Roman" w:hAnsi="Times New Roman"/>
        </w:rPr>
        <w:t>.</w:t>
      </w:r>
    </w:p>
  </w:footnote>
  <w:footnote w:id="72">
    <w:p w:rsidR="003C5BB0" w:rsidRDefault="003C5BB0" w:rsidP="00634CCB">
      <w:pPr>
        <w:pStyle w:val="FootnoteText"/>
        <w:contextualSpacing/>
      </w:pPr>
      <w:r w:rsidRPr="00C50E46">
        <w:rPr>
          <w:rStyle w:val="FootnoteReference"/>
          <w:rFonts w:ascii="Times New Roman" w:hAnsi="Times New Roman"/>
        </w:rPr>
        <w:footnoteRef/>
      </w:r>
      <w:r w:rsidRPr="00C50E46">
        <w:rPr>
          <w:rFonts w:ascii="Times New Roman" w:hAnsi="Times New Roman"/>
        </w:rPr>
        <w:t xml:space="preserve"> </w:t>
      </w:r>
      <w:r w:rsidRPr="00841642">
        <w:rPr>
          <w:rFonts w:ascii="Times New Roman" w:hAnsi="Times New Roman" w:cs="Book Antiqua"/>
        </w:rPr>
        <w:t xml:space="preserve">Jennifer Ngaire Heuer, </w:t>
      </w:r>
      <w:r>
        <w:rPr>
          <w:rFonts w:ascii="Times New Roman" w:hAnsi="Times New Roman" w:cs="Book Antiqua"/>
          <w:i/>
          <w:iCs/>
        </w:rPr>
        <w:t>The Family and the Nation</w:t>
      </w:r>
      <w:r w:rsidRPr="00841642">
        <w:rPr>
          <w:rFonts w:ascii="Times New Roman" w:hAnsi="Times New Roman" w:cs="Book Antiqua"/>
          <w:i/>
          <w:iCs/>
        </w:rPr>
        <w:t>: Gender and Citizenship in Revolutionary France, 1789-1830</w:t>
      </w:r>
      <w:r w:rsidRPr="00841642">
        <w:rPr>
          <w:rFonts w:ascii="Times New Roman" w:hAnsi="Times New Roman" w:cs="Book Antiqua"/>
        </w:rPr>
        <w:t xml:space="preserve"> (Ithaca, N.Y.: Cornell University Press, </w:t>
      </w:r>
      <w:r>
        <w:rPr>
          <w:rFonts w:ascii="Times New Roman" w:hAnsi="Times New Roman" w:cs="Book Antiqua"/>
        </w:rPr>
        <w:t>2005), 50</w:t>
      </w:r>
      <w:r w:rsidRPr="00841642">
        <w:rPr>
          <w:rFonts w:ascii="Times New Roman" w:hAnsi="Times New Roman" w:cs="Book Antiqua"/>
        </w:rPr>
        <w:t>.</w:t>
      </w:r>
    </w:p>
  </w:footnote>
  <w:footnote w:id="73">
    <w:p w:rsidR="003C5BB0" w:rsidRDefault="003C5BB0" w:rsidP="00634CCB">
      <w:pPr>
        <w:pStyle w:val="FootnoteText"/>
        <w:contextualSpacing/>
      </w:pPr>
      <w:r w:rsidRPr="00C50E46">
        <w:rPr>
          <w:rStyle w:val="FootnoteReference"/>
          <w:rFonts w:ascii="Times New Roman" w:hAnsi="Times New Roman"/>
        </w:rPr>
        <w:footnoteRef/>
      </w:r>
      <w:r w:rsidRPr="00C50E46">
        <w:rPr>
          <w:rFonts w:ascii="Times New Roman" w:hAnsi="Times New Roman"/>
        </w:rPr>
        <w:t xml:space="preserve"> </w:t>
      </w:r>
      <w:r>
        <w:rPr>
          <w:rFonts w:ascii="Times New Roman" w:hAnsi="Times New Roman"/>
        </w:rPr>
        <w:t xml:space="preserve"> </w:t>
      </w:r>
      <w:r w:rsidRPr="00634CCB">
        <w:rPr>
          <w:rFonts w:ascii="Times New Roman" w:hAnsi="Times New Roman"/>
        </w:rPr>
        <w:t>Ibid.</w:t>
      </w:r>
      <w:r>
        <w:rPr>
          <w:rFonts w:ascii="Times New Roman" w:hAnsi="Times New Roman"/>
        </w:rPr>
        <w:t xml:space="preserve">, 24. </w:t>
      </w:r>
    </w:p>
  </w:footnote>
  <w:footnote w:id="74">
    <w:p w:rsidR="003C5BB0" w:rsidRDefault="003C5BB0" w:rsidP="006C395C">
      <w:pPr>
        <w:pStyle w:val="FootnoteText"/>
        <w:contextualSpacing/>
      </w:pPr>
      <w:r w:rsidRPr="00C50E46">
        <w:rPr>
          <w:rStyle w:val="FootnoteReference"/>
          <w:rFonts w:ascii="Times New Roman" w:hAnsi="Times New Roman"/>
        </w:rPr>
        <w:footnoteRef/>
      </w:r>
      <w:r w:rsidRPr="00C50E46">
        <w:rPr>
          <w:rFonts w:ascii="Times New Roman" w:hAnsi="Times New Roman"/>
        </w:rPr>
        <w:t xml:space="preserve"> A</w:t>
      </w:r>
      <w:r>
        <w:rPr>
          <w:rFonts w:ascii="Times New Roman" w:hAnsi="Times New Roman"/>
        </w:rPr>
        <w:t>.</w:t>
      </w:r>
      <w:r w:rsidRPr="00C50E46">
        <w:rPr>
          <w:rFonts w:ascii="Times New Roman" w:hAnsi="Times New Roman"/>
        </w:rPr>
        <w:t>N</w:t>
      </w:r>
      <w:r>
        <w:rPr>
          <w:rFonts w:ascii="Times New Roman" w:hAnsi="Times New Roman"/>
        </w:rPr>
        <w:t>.</w:t>
      </w:r>
      <w:r w:rsidRPr="00C50E46">
        <w:rPr>
          <w:rFonts w:ascii="Times New Roman" w:hAnsi="Times New Roman"/>
        </w:rPr>
        <w:t xml:space="preserve"> F7 3330</w:t>
      </w:r>
      <w:r>
        <w:rPr>
          <w:rFonts w:ascii="Times New Roman" w:hAnsi="Times New Roman"/>
        </w:rPr>
        <w:t>.</w:t>
      </w:r>
    </w:p>
  </w:footnote>
  <w:footnote w:id="75">
    <w:p w:rsidR="003C5BB0" w:rsidRDefault="003C5BB0" w:rsidP="00634CCB">
      <w:pPr>
        <w:pStyle w:val="FootnoteText"/>
        <w:contextualSpacing/>
      </w:pPr>
      <w:r w:rsidRPr="00C50E46">
        <w:rPr>
          <w:rStyle w:val="FootnoteReference"/>
          <w:rFonts w:ascii="Times New Roman" w:hAnsi="Times New Roman"/>
        </w:rPr>
        <w:footnoteRef/>
      </w:r>
      <w:r w:rsidRPr="00C50E46">
        <w:rPr>
          <w:rFonts w:ascii="Times New Roman" w:hAnsi="Times New Roman"/>
        </w:rPr>
        <w:t xml:space="preserve"> A</w:t>
      </w:r>
      <w:r>
        <w:rPr>
          <w:rFonts w:ascii="Times New Roman" w:hAnsi="Times New Roman"/>
        </w:rPr>
        <w:t>.</w:t>
      </w:r>
      <w:r w:rsidRPr="00C50E46">
        <w:rPr>
          <w:rFonts w:ascii="Times New Roman" w:hAnsi="Times New Roman"/>
        </w:rPr>
        <w:t>N</w:t>
      </w:r>
      <w:r>
        <w:rPr>
          <w:rFonts w:ascii="Times New Roman" w:hAnsi="Times New Roman"/>
        </w:rPr>
        <w:t>. F7 3330, translated in</w:t>
      </w:r>
      <w:r w:rsidRPr="00C50E46">
        <w:rPr>
          <w:rFonts w:ascii="Times New Roman" w:hAnsi="Times New Roman"/>
        </w:rPr>
        <w:t xml:space="preserve"> </w:t>
      </w:r>
      <w:r w:rsidRPr="00841642">
        <w:rPr>
          <w:rFonts w:ascii="Times New Roman" w:hAnsi="Times New Roman" w:cs="Book Antiqua"/>
        </w:rPr>
        <w:t xml:space="preserve">Jennifer Ngaire Heuer, </w:t>
      </w:r>
      <w:r>
        <w:rPr>
          <w:rFonts w:ascii="Times New Roman" w:hAnsi="Times New Roman" w:cs="Book Antiqua"/>
          <w:i/>
          <w:iCs/>
        </w:rPr>
        <w:t>The Family and the Nation</w:t>
      </w:r>
      <w:r w:rsidRPr="00841642">
        <w:rPr>
          <w:rFonts w:ascii="Times New Roman" w:hAnsi="Times New Roman" w:cs="Book Antiqua"/>
          <w:i/>
          <w:iCs/>
        </w:rPr>
        <w:t>: Gender and Citizenship in Revolutionary France, 1789-1830</w:t>
      </w:r>
      <w:r w:rsidRPr="00841642">
        <w:rPr>
          <w:rFonts w:ascii="Times New Roman" w:hAnsi="Times New Roman" w:cs="Book Antiqua"/>
        </w:rPr>
        <w:t xml:space="preserve"> (Ithaca, N.Y.: Cornell University Press, </w:t>
      </w:r>
      <w:r>
        <w:rPr>
          <w:rFonts w:ascii="Times New Roman" w:hAnsi="Times New Roman" w:cs="Book Antiqua"/>
        </w:rPr>
        <w:t>2005), 41</w:t>
      </w:r>
      <w:r>
        <w:rPr>
          <w:rFonts w:ascii="Times New Roman" w:hAnsi="Times New Roman"/>
        </w:rPr>
        <w:t xml:space="preserve">. </w:t>
      </w:r>
    </w:p>
  </w:footnote>
  <w:footnote w:id="76">
    <w:p w:rsidR="003C5BB0" w:rsidRDefault="003C5BB0" w:rsidP="006C395C">
      <w:pPr>
        <w:pStyle w:val="FootnoteText"/>
        <w:contextualSpacing/>
      </w:pPr>
      <w:r w:rsidRPr="00C50E46">
        <w:rPr>
          <w:rStyle w:val="FootnoteReference"/>
          <w:rFonts w:ascii="Times New Roman" w:hAnsi="Times New Roman"/>
        </w:rPr>
        <w:footnoteRef/>
      </w:r>
      <w:r w:rsidRPr="00C50E46">
        <w:rPr>
          <w:rFonts w:ascii="Times New Roman" w:hAnsi="Times New Roman"/>
        </w:rPr>
        <w:t xml:space="preserve"> </w:t>
      </w:r>
      <w:r>
        <w:rPr>
          <w:rFonts w:ascii="Times New Roman" w:hAnsi="Times New Roman"/>
        </w:rPr>
        <w:t xml:space="preserve">A.N. </w:t>
      </w:r>
      <w:r w:rsidRPr="00C50E46">
        <w:rPr>
          <w:rFonts w:ascii="Times New Roman" w:hAnsi="Times New Roman"/>
        </w:rPr>
        <w:t>W 300,</w:t>
      </w:r>
      <w:r>
        <w:rPr>
          <w:rFonts w:ascii="Times New Roman" w:hAnsi="Times New Roman"/>
        </w:rPr>
        <w:t xml:space="preserve"> plaq.</w:t>
      </w:r>
      <w:r w:rsidRPr="00C50E46">
        <w:rPr>
          <w:rFonts w:ascii="Times New Roman" w:hAnsi="Times New Roman"/>
        </w:rPr>
        <w:t xml:space="preserve"> 298,</w:t>
      </w:r>
      <w:r>
        <w:rPr>
          <w:rFonts w:ascii="Times New Roman" w:hAnsi="Times New Roman"/>
        </w:rPr>
        <w:t xml:space="preserve"> p.</w:t>
      </w:r>
      <w:r w:rsidRPr="00C50E46">
        <w:rPr>
          <w:rFonts w:ascii="Times New Roman" w:hAnsi="Times New Roman"/>
        </w:rPr>
        <w:t xml:space="preserve"> 43</w:t>
      </w:r>
      <w:r>
        <w:rPr>
          <w:rFonts w:ascii="Times New Roman" w:hAnsi="Times New Roman"/>
        </w:rPr>
        <w:t>,</w:t>
      </w:r>
      <w:r w:rsidRPr="00C50E46">
        <w:rPr>
          <w:rFonts w:ascii="Times New Roman" w:hAnsi="Times New Roman"/>
        </w:rPr>
        <w:t xml:space="preserve"> pg</w:t>
      </w:r>
      <w:r>
        <w:rPr>
          <w:rFonts w:ascii="Times New Roman" w:hAnsi="Times New Roman"/>
        </w:rPr>
        <w:t>.</w:t>
      </w:r>
      <w:r w:rsidRPr="00C50E46">
        <w:rPr>
          <w:rFonts w:ascii="Times New Roman" w:hAnsi="Times New Roman"/>
        </w:rPr>
        <w:t xml:space="preserve"> 10</w:t>
      </w:r>
      <w:r>
        <w:rPr>
          <w:rFonts w:ascii="Times New Roman" w:hAnsi="Times New Roman"/>
        </w:rPr>
        <w:t>.</w:t>
      </w:r>
    </w:p>
  </w:footnote>
  <w:footnote w:id="77">
    <w:p w:rsidR="003C5BB0" w:rsidRDefault="003C5BB0" w:rsidP="00634CCB">
      <w:pPr>
        <w:pStyle w:val="FootnoteText"/>
        <w:contextualSpacing/>
      </w:pPr>
      <w:r w:rsidRPr="00C50E46">
        <w:rPr>
          <w:rStyle w:val="FootnoteReference"/>
          <w:rFonts w:ascii="Times New Roman" w:hAnsi="Times New Roman"/>
        </w:rPr>
        <w:footnoteRef/>
      </w:r>
      <w:r w:rsidRPr="00C50E46">
        <w:rPr>
          <w:rFonts w:ascii="Times New Roman" w:hAnsi="Times New Roman"/>
        </w:rPr>
        <w:t xml:space="preserve"> Michel Vovelle quoted in </w:t>
      </w:r>
      <w:r w:rsidRPr="00634CCB">
        <w:rPr>
          <w:rFonts w:ascii="Times New Roman" w:hAnsi="Times New Roman"/>
        </w:rPr>
        <w:t>Dominique</w:t>
      </w:r>
      <w:r>
        <w:rPr>
          <w:rFonts w:ascii="Times New Roman" w:hAnsi="Times New Roman"/>
        </w:rPr>
        <w:t xml:space="preserve"> Godineau, </w:t>
      </w:r>
      <w:r w:rsidRPr="00634CCB">
        <w:rPr>
          <w:rFonts w:ascii="Times New Roman" w:hAnsi="Times New Roman"/>
          <w:i/>
        </w:rPr>
        <w:t>The Women of Paris and their French Revolution</w:t>
      </w:r>
      <w:r w:rsidRPr="00634CCB">
        <w:rPr>
          <w:rFonts w:ascii="Times New Roman" w:hAnsi="Times New Roman"/>
        </w:rPr>
        <w:t xml:space="preserve"> (</w:t>
      </w:r>
      <w:r>
        <w:rPr>
          <w:rFonts w:ascii="Times New Roman" w:hAnsi="Times New Roman"/>
        </w:rPr>
        <w:t xml:space="preserve">Berkeley: University of California Press, 1998), 256. </w:t>
      </w:r>
    </w:p>
  </w:footnote>
  <w:footnote w:id="78">
    <w:p w:rsidR="003C5BB0" w:rsidRDefault="003C5BB0" w:rsidP="00634CCB">
      <w:pPr>
        <w:pStyle w:val="FootnoteText"/>
        <w:contextualSpacing/>
      </w:pPr>
      <w:r w:rsidRPr="00C50E46">
        <w:rPr>
          <w:rStyle w:val="FootnoteReference"/>
          <w:rFonts w:ascii="Times New Roman" w:hAnsi="Times New Roman"/>
        </w:rPr>
        <w:footnoteRef/>
      </w:r>
      <w:r w:rsidRPr="00C50E46">
        <w:rPr>
          <w:rFonts w:ascii="Times New Roman" w:hAnsi="Times New Roman"/>
        </w:rPr>
        <w:t xml:space="preserve"> Joseph-Marie Lequinio, </w:t>
      </w:r>
      <w:r w:rsidRPr="00C50E46">
        <w:rPr>
          <w:rFonts w:ascii="Times New Roman" w:hAnsi="Times New Roman"/>
          <w:i/>
        </w:rPr>
        <w:t xml:space="preserve">Les Préjugés détruits, </w:t>
      </w:r>
      <w:r w:rsidRPr="00C50E46">
        <w:rPr>
          <w:rFonts w:ascii="Times New Roman" w:hAnsi="Times New Roman"/>
        </w:rPr>
        <w:t xml:space="preserve">2d. ed. (Paris:1793), chapter 14, “Women.” quoted in </w:t>
      </w:r>
      <w:r w:rsidRPr="00634CCB">
        <w:rPr>
          <w:rFonts w:ascii="Times New Roman" w:hAnsi="Times New Roman"/>
        </w:rPr>
        <w:t>Ibid.</w:t>
      </w:r>
      <w:r>
        <w:rPr>
          <w:rFonts w:ascii="Times New Roman" w:hAnsi="Times New Roman"/>
        </w:rPr>
        <w:t xml:space="preserve">, 258. </w:t>
      </w:r>
    </w:p>
  </w:footnote>
  <w:footnote w:id="79">
    <w:p w:rsidR="003C5BB0" w:rsidRDefault="003C5BB0" w:rsidP="006C395C">
      <w:pPr>
        <w:pStyle w:val="FootnoteText"/>
        <w:contextualSpacing/>
      </w:pPr>
      <w:r w:rsidRPr="00C50E46">
        <w:rPr>
          <w:rStyle w:val="FootnoteReference"/>
          <w:rFonts w:ascii="Times New Roman" w:hAnsi="Times New Roman"/>
        </w:rPr>
        <w:footnoteRef/>
      </w:r>
      <w:r w:rsidRPr="00C50E46">
        <w:rPr>
          <w:rFonts w:ascii="Times New Roman" w:hAnsi="Times New Roman"/>
        </w:rPr>
        <w:t xml:space="preserve"> </w:t>
      </w:r>
      <w:r>
        <w:rPr>
          <w:rFonts w:ascii="Times New Roman" w:hAnsi="Times New Roman"/>
        </w:rPr>
        <w:t xml:space="preserve">A.N. </w:t>
      </w:r>
      <w:r w:rsidRPr="00C50E46">
        <w:rPr>
          <w:rFonts w:ascii="Times New Roman" w:hAnsi="Times New Roman"/>
        </w:rPr>
        <w:t>W 306,</w:t>
      </w:r>
      <w:r>
        <w:rPr>
          <w:rFonts w:ascii="Times New Roman" w:hAnsi="Times New Roman"/>
        </w:rPr>
        <w:t xml:space="preserve"> plaq.</w:t>
      </w:r>
      <w:r w:rsidRPr="00C50E46">
        <w:rPr>
          <w:rFonts w:ascii="Times New Roman" w:hAnsi="Times New Roman"/>
        </w:rPr>
        <w:t xml:space="preserve"> 374</w:t>
      </w:r>
      <w:r>
        <w:rPr>
          <w:rFonts w:ascii="Times New Roman" w:hAnsi="Times New Roman"/>
        </w:rPr>
        <w:t>.</w:t>
      </w:r>
    </w:p>
  </w:footnote>
  <w:footnote w:id="80">
    <w:p w:rsidR="003C5BB0" w:rsidRDefault="003C5BB0" w:rsidP="006C395C">
      <w:pPr>
        <w:pStyle w:val="FootnoteText"/>
        <w:contextualSpacing/>
      </w:pPr>
      <w:r w:rsidRPr="00C50E46">
        <w:rPr>
          <w:rStyle w:val="FootnoteReference"/>
          <w:rFonts w:ascii="Times New Roman" w:hAnsi="Times New Roman"/>
        </w:rPr>
        <w:footnoteRef/>
      </w:r>
      <w:r w:rsidRPr="00C50E46">
        <w:rPr>
          <w:rFonts w:ascii="Times New Roman" w:hAnsi="Times New Roman"/>
        </w:rPr>
        <w:t xml:space="preserve"> </w:t>
      </w:r>
      <w:r>
        <w:rPr>
          <w:rFonts w:ascii="Times New Roman" w:hAnsi="Times New Roman"/>
        </w:rPr>
        <w:t>Ibid., p.</w:t>
      </w:r>
      <w:r w:rsidRPr="00C50E46">
        <w:rPr>
          <w:rFonts w:ascii="Times New Roman" w:hAnsi="Times New Roman"/>
        </w:rPr>
        <w:t xml:space="preserve"> 1, pg</w:t>
      </w:r>
      <w:r>
        <w:rPr>
          <w:rFonts w:ascii="Times New Roman" w:hAnsi="Times New Roman"/>
        </w:rPr>
        <w:t>.</w:t>
      </w:r>
      <w:r w:rsidRPr="00C50E46">
        <w:rPr>
          <w:rFonts w:ascii="Times New Roman" w:hAnsi="Times New Roman"/>
        </w:rPr>
        <w:t xml:space="preserve"> 4-6</w:t>
      </w:r>
      <w:r>
        <w:rPr>
          <w:rFonts w:ascii="Times New Roman" w:hAnsi="Times New Roman"/>
        </w:rPr>
        <w:t>.</w:t>
      </w:r>
    </w:p>
  </w:footnote>
  <w:footnote w:id="81">
    <w:p w:rsidR="003C5BB0" w:rsidRDefault="003C5BB0" w:rsidP="006C395C">
      <w:pPr>
        <w:pStyle w:val="FootnoteText"/>
        <w:contextualSpacing/>
      </w:pPr>
      <w:r w:rsidRPr="00C50E46">
        <w:rPr>
          <w:rStyle w:val="FootnoteReference"/>
          <w:rFonts w:ascii="Times New Roman" w:hAnsi="Times New Roman"/>
        </w:rPr>
        <w:footnoteRef/>
      </w:r>
      <w:r w:rsidRPr="00C50E46">
        <w:rPr>
          <w:rFonts w:ascii="Times New Roman" w:hAnsi="Times New Roman"/>
        </w:rPr>
        <w:t xml:space="preserve"> </w:t>
      </w:r>
      <w:r>
        <w:rPr>
          <w:rFonts w:ascii="Times New Roman" w:hAnsi="Times New Roman"/>
        </w:rPr>
        <w:t>Ibid.,</w:t>
      </w:r>
      <w:r w:rsidRPr="00C50E46">
        <w:rPr>
          <w:rFonts w:ascii="Times New Roman" w:hAnsi="Times New Roman"/>
        </w:rPr>
        <w:t xml:space="preserve"> pg</w:t>
      </w:r>
      <w:r>
        <w:rPr>
          <w:rFonts w:ascii="Times New Roman" w:hAnsi="Times New Roman"/>
        </w:rPr>
        <w:t>.</w:t>
      </w:r>
      <w:r w:rsidRPr="00C50E46">
        <w:rPr>
          <w:rFonts w:ascii="Times New Roman" w:hAnsi="Times New Roman"/>
        </w:rPr>
        <w:t xml:space="preserve"> 8</w:t>
      </w:r>
      <w:r>
        <w:rPr>
          <w:rFonts w:ascii="Times New Roman" w:hAnsi="Times New Roman"/>
        </w:rPr>
        <w:t>.</w:t>
      </w:r>
    </w:p>
  </w:footnote>
  <w:footnote w:id="82">
    <w:p w:rsidR="003C5BB0" w:rsidRDefault="003C5BB0" w:rsidP="006C395C">
      <w:pPr>
        <w:pStyle w:val="FootnoteText"/>
        <w:contextualSpacing/>
      </w:pPr>
      <w:r w:rsidRPr="00C50E46">
        <w:rPr>
          <w:rStyle w:val="FootnoteReference"/>
          <w:rFonts w:ascii="Times New Roman" w:hAnsi="Times New Roman"/>
        </w:rPr>
        <w:footnoteRef/>
      </w:r>
      <w:r w:rsidRPr="00C50E46">
        <w:rPr>
          <w:rFonts w:ascii="Times New Roman" w:hAnsi="Times New Roman"/>
        </w:rPr>
        <w:t xml:space="preserve"> </w:t>
      </w:r>
      <w:r>
        <w:rPr>
          <w:rFonts w:ascii="Times New Roman" w:hAnsi="Times New Roman"/>
        </w:rPr>
        <w:t>Ibid.,</w:t>
      </w:r>
      <w:r w:rsidRPr="00C50E46">
        <w:rPr>
          <w:rFonts w:ascii="Times New Roman" w:hAnsi="Times New Roman"/>
        </w:rPr>
        <w:t xml:space="preserve"> pg</w:t>
      </w:r>
      <w:r>
        <w:rPr>
          <w:rFonts w:ascii="Times New Roman" w:hAnsi="Times New Roman"/>
        </w:rPr>
        <w:t>.</w:t>
      </w:r>
      <w:r w:rsidRPr="00C50E46">
        <w:rPr>
          <w:rFonts w:ascii="Times New Roman" w:hAnsi="Times New Roman"/>
        </w:rPr>
        <w:t xml:space="preserve"> 10-11</w:t>
      </w:r>
      <w:r>
        <w:rPr>
          <w:rFonts w:ascii="Times New Roman" w:hAnsi="Times New Roman"/>
        </w:rPr>
        <w:t>.</w:t>
      </w:r>
    </w:p>
  </w:footnote>
  <w:footnote w:id="83">
    <w:p w:rsidR="003C5BB0" w:rsidRDefault="003C5BB0" w:rsidP="006C395C">
      <w:pPr>
        <w:pStyle w:val="FootnoteText"/>
        <w:contextualSpacing/>
      </w:pPr>
      <w:r w:rsidRPr="00C50E46">
        <w:rPr>
          <w:rStyle w:val="FootnoteReference"/>
          <w:rFonts w:ascii="Times New Roman" w:hAnsi="Times New Roman"/>
        </w:rPr>
        <w:footnoteRef/>
      </w:r>
      <w:r w:rsidRPr="00C50E46">
        <w:rPr>
          <w:rFonts w:ascii="Times New Roman" w:hAnsi="Times New Roman"/>
        </w:rPr>
        <w:t xml:space="preserve"> </w:t>
      </w:r>
      <w:r>
        <w:rPr>
          <w:rFonts w:ascii="Times New Roman" w:hAnsi="Times New Roman"/>
        </w:rPr>
        <w:t>Ibid.,</w:t>
      </w:r>
      <w:r w:rsidRPr="00C50E46">
        <w:rPr>
          <w:rFonts w:ascii="Times New Roman" w:hAnsi="Times New Roman"/>
        </w:rPr>
        <w:t xml:space="preserve"> pg</w:t>
      </w:r>
      <w:r>
        <w:rPr>
          <w:rFonts w:ascii="Times New Roman" w:hAnsi="Times New Roman"/>
        </w:rPr>
        <w:t>.</w:t>
      </w:r>
      <w:r w:rsidRPr="00C50E46">
        <w:rPr>
          <w:rFonts w:ascii="Times New Roman" w:hAnsi="Times New Roman"/>
        </w:rPr>
        <w:t xml:space="preserve"> 12</w:t>
      </w:r>
      <w:r>
        <w:rPr>
          <w:rFonts w:ascii="Times New Roman" w:hAnsi="Times New Roman"/>
        </w:rPr>
        <w:t>.</w:t>
      </w:r>
    </w:p>
  </w:footnote>
  <w:footnote w:id="84">
    <w:p w:rsidR="003C5BB0" w:rsidRDefault="003C5BB0" w:rsidP="006C395C">
      <w:pPr>
        <w:pStyle w:val="FootnoteText"/>
        <w:contextualSpacing/>
      </w:pPr>
      <w:r w:rsidRPr="00C50E46">
        <w:rPr>
          <w:rStyle w:val="FootnoteReference"/>
          <w:rFonts w:ascii="Times New Roman" w:hAnsi="Times New Roman"/>
        </w:rPr>
        <w:footnoteRef/>
      </w:r>
      <w:r w:rsidRPr="00C50E46">
        <w:rPr>
          <w:rFonts w:ascii="Times New Roman" w:hAnsi="Times New Roman"/>
        </w:rPr>
        <w:t xml:space="preserve"> </w:t>
      </w:r>
      <w:r>
        <w:rPr>
          <w:rFonts w:ascii="Times New Roman" w:hAnsi="Times New Roman"/>
        </w:rPr>
        <w:t>Ibid.,</w:t>
      </w:r>
      <w:r w:rsidRPr="00C50E46">
        <w:rPr>
          <w:rFonts w:ascii="Times New Roman" w:hAnsi="Times New Roman"/>
        </w:rPr>
        <w:t xml:space="preserve"> </w:t>
      </w:r>
      <w:r>
        <w:rPr>
          <w:rFonts w:ascii="Times New Roman" w:hAnsi="Times New Roman"/>
        </w:rPr>
        <w:t xml:space="preserve">p. </w:t>
      </w:r>
      <w:r w:rsidRPr="00C50E46">
        <w:rPr>
          <w:rFonts w:ascii="Times New Roman" w:hAnsi="Times New Roman"/>
        </w:rPr>
        <w:t>13</w:t>
      </w:r>
      <w:r>
        <w:rPr>
          <w:rFonts w:ascii="Times New Roman" w:hAnsi="Times New Roman"/>
        </w:rPr>
        <w:t>.</w:t>
      </w:r>
    </w:p>
  </w:footnote>
  <w:footnote w:id="85">
    <w:p w:rsidR="003C5BB0" w:rsidRDefault="003C5BB0" w:rsidP="006C395C">
      <w:pPr>
        <w:pStyle w:val="FootnoteText"/>
        <w:contextualSpacing/>
      </w:pPr>
      <w:r w:rsidRPr="00C50E46">
        <w:rPr>
          <w:rStyle w:val="FootnoteReference"/>
          <w:rFonts w:ascii="Times New Roman" w:hAnsi="Times New Roman"/>
        </w:rPr>
        <w:footnoteRef/>
      </w:r>
      <w:r w:rsidRPr="00C50E46">
        <w:rPr>
          <w:rFonts w:ascii="Times New Roman" w:hAnsi="Times New Roman"/>
        </w:rPr>
        <w:t xml:space="preserve"> </w:t>
      </w:r>
      <w:r>
        <w:rPr>
          <w:rFonts w:ascii="Times New Roman" w:hAnsi="Times New Roman"/>
        </w:rPr>
        <w:t xml:space="preserve">A.N. </w:t>
      </w:r>
      <w:r w:rsidRPr="00C50E46">
        <w:rPr>
          <w:rFonts w:ascii="Times New Roman" w:hAnsi="Times New Roman"/>
        </w:rPr>
        <w:t>W 303,</w:t>
      </w:r>
      <w:r>
        <w:rPr>
          <w:rFonts w:ascii="Times New Roman" w:hAnsi="Times New Roman"/>
        </w:rPr>
        <w:t xml:space="preserve"> plaq.</w:t>
      </w:r>
      <w:r w:rsidRPr="00C50E46">
        <w:rPr>
          <w:rFonts w:ascii="Times New Roman" w:hAnsi="Times New Roman"/>
        </w:rPr>
        <w:t xml:space="preserve"> 345</w:t>
      </w:r>
      <w:r>
        <w:rPr>
          <w:rFonts w:ascii="Times New Roman" w:hAnsi="Times New Roman"/>
        </w:rPr>
        <w:t>.</w:t>
      </w:r>
    </w:p>
  </w:footnote>
  <w:footnote w:id="86">
    <w:p w:rsidR="003C5BB0" w:rsidRDefault="003C5BB0" w:rsidP="006C395C">
      <w:pPr>
        <w:pStyle w:val="FootnoteText"/>
        <w:contextualSpacing/>
      </w:pPr>
      <w:r w:rsidRPr="00C50E46">
        <w:rPr>
          <w:rStyle w:val="FootnoteReference"/>
          <w:rFonts w:ascii="Times New Roman" w:hAnsi="Times New Roman"/>
        </w:rPr>
        <w:footnoteRef/>
      </w:r>
      <w:r w:rsidRPr="00C50E46">
        <w:rPr>
          <w:rFonts w:ascii="Times New Roman" w:hAnsi="Times New Roman"/>
        </w:rPr>
        <w:t xml:space="preserve"> </w:t>
      </w:r>
      <w:r>
        <w:rPr>
          <w:rFonts w:ascii="Times New Roman" w:hAnsi="Times New Roman"/>
        </w:rPr>
        <w:t>Ibid.,</w:t>
      </w:r>
      <w:r w:rsidRPr="00C50E46">
        <w:rPr>
          <w:rFonts w:ascii="Times New Roman" w:hAnsi="Times New Roman"/>
        </w:rPr>
        <w:t xml:space="preserve"> </w:t>
      </w:r>
      <w:r>
        <w:rPr>
          <w:rFonts w:ascii="Times New Roman" w:hAnsi="Times New Roman"/>
        </w:rPr>
        <w:t xml:space="preserve">p. </w:t>
      </w:r>
      <w:r w:rsidRPr="00C50E46">
        <w:rPr>
          <w:rFonts w:ascii="Times New Roman" w:hAnsi="Times New Roman"/>
        </w:rPr>
        <w:t>8, pg</w:t>
      </w:r>
      <w:r>
        <w:rPr>
          <w:rFonts w:ascii="Times New Roman" w:hAnsi="Times New Roman"/>
        </w:rPr>
        <w:t>.</w:t>
      </w:r>
      <w:r w:rsidRPr="00C50E46">
        <w:rPr>
          <w:rFonts w:ascii="Times New Roman" w:hAnsi="Times New Roman"/>
        </w:rPr>
        <w:t xml:space="preserve"> 3</w:t>
      </w:r>
      <w:r>
        <w:rPr>
          <w:rFonts w:ascii="Times New Roman" w:hAnsi="Times New Roman"/>
        </w:rPr>
        <w:t>.</w:t>
      </w:r>
    </w:p>
  </w:footnote>
  <w:footnote w:id="87">
    <w:p w:rsidR="003C5BB0" w:rsidRDefault="003C5BB0" w:rsidP="006C395C">
      <w:pPr>
        <w:pStyle w:val="FootnoteText"/>
        <w:contextualSpacing/>
      </w:pPr>
      <w:r w:rsidRPr="00C50E46">
        <w:rPr>
          <w:rStyle w:val="FootnoteReference"/>
          <w:rFonts w:ascii="Times New Roman" w:hAnsi="Times New Roman"/>
        </w:rPr>
        <w:footnoteRef/>
      </w:r>
      <w:r w:rsidRPr="00C50E46">
        <w:rPr>
          <w:rFonts w:ascii="Times New Roman" w:hAnsi="Times New Roman"/>
        </w:rPr>
        <w:t xml:space="preserve"> </w:t>
      </w:r>
      <w:r>
        <w:rPr>
          <w:rFonts w:ascii="Times New Roman" w:hAnsi="Times New Roman"/>
        </w:rPr>
        <w:t>Ibid.,</w:t>
      </w:r>
      <w:r w:rsidRPr="00C50E46">
        <w:rPr>
          <w:rFonts w:ascii="Times New Roman" w:hAnsi="Times New Roman"/>
        </w:rPr>
        <w:t xml:space="preserve"> </w:t>
      </w:r>
      <w:r>
        <w:rPr>
          <w:rFonts w:ascii="Times New Roman" w:hAnsi="Times New Roman"/>
        </w:rPr>
        <w:t xml:space="preserve">p. </w:t>
      </w:r>
      <w:r w:rsidRPr="00C50E46">
        <w:rPr>
          <w:rFonts w:ascii="Times New Roman" w:hAnsi="Times New Roman"/>
        </w:rPr>
        <w:t>9, pg</w:t>
      </w:r>
      <w:r>
        <w:rPr>
          <w:rFonts w:ascii="Times New Roman" w:hAnsi="Times New Roman"/>
        </w:rPr>
        <w:t>.</w:t>
      </w:r>
      <w:r w:rsidRPr="00C50E46">
        <w:rPr>
          <w:rFonts w:ascii="Times New Roman" w:hAnsi="Times New Roman"/>
        </w:rPr>
        <w:t xml:space="preserve"> 1</w:t>
      </w:r>
      <w:r>
        <w:rPr>
          <w:rFonts w:ascii="Times New Roman" w:hAnsi="Times New Roman"/>
        </w:rPr>
        <w:t>.</w:t>
      </w:r>
    </w:p>
  </w:footnote>
  <w:footnote w:id="88">
    <w:p w:rsidR="003C5BB0" w:rsidRDefault="003C5BB0" w:rsidP="00634CCB">
      <w:pPr>
        <w:pStyle w:val="FootnoteText"/>
        <w:contextualSpacing/>
      </w:pPr>
      <w:r w:rsidRPr="00C50E46">
        <w:rPr>
          <w:rStyle w:val="FootnoteReference"/>
          <w:rFonts w:ascii="Times New Roman" w:hAnsi="Times New Roman"/>
        </w:rPr>
        <w:footnoteRef/>
      </w:r>
      <w:r w:rsidRPr="00C50E46">
        <w:rPr>
          <w:rFonts w:ascii="Times New Roman" w:hAnsi="Times New Roman"/>
        </w:rPr>
        <w:t xml:space="preserve"> </w:t>
      </w:r>
      <w:r w:rsidRPr="00634CCB">
        <w:rPr>
          <w:rFonts w:ascii="Times New Roman" w:hAnsi="Times New Roman"/>
        </w:rPr>
        <w:t>Dominique</w:t>
      </w:r>
      <w:r>
        <w:rPr>
          <w:rFonts w:ascii="Times New Roman" w:hAnsi="Times New Roman"/>
        </w:rPr>
        <w:t xml:space="preserve"> Godineau, </w:t>
      </w:r>
      <w:r w:rsidRPr="00634CCB">
        <w:rPr>
          <w:rFonts w:ascii="Times New Roman" w:hAnsi="Times New Roman"/>
          <w:i/>
        </w:rPr>
        <w:t>The Women of Paris and their French Revolution</w:t>
      </w:r>
      <w:r w:rsidRPr="00634CCB">
        <w:rPr>
          <w:rFonts w:ascii="Times New Roman" w:hAnsi="Times New Roman"/>
        </w:rPr>
        <w:t xml:space="preserve"> (</w:t>
      </w:r>
      <w:r>
        <w:rPr>
          <w:rFonts w:ascii="Times New Roman" w:hAnsi="Times New Roman"/>
        </w:rPr>
        <w:t>Berkeley: University of California Press, 1998), 57.</w:t>
      </w:r>
    </w:p>
  </w:footnote>
  <w:footnote w:id="89">
    <w:p w:rsidR="003C5BB0" w:rsidRDefault="003C5BB0" w:rsidP="006C395C">
      <w:pPr>
        <w:pStyle w:val="FootnoteText"/>
        <w:contextualSpacing/>
      </w:pPr>
      <w:r w:rsidRPr="00C50E46">
        <w:rPr>
          <w:rStyle w:val="FootnoteReference"/>
          <w:rFonts w:ascii="Times New Roman" w:hAnsi="Times New Roman"/>
        </w:rPr>
        <w:footnoteRef/>
      </w:r>
      <w:r w:rsidRPr="00C50E46">
        <w:rPr>
          <w:rFonts w:ascii="Times New Roman" w:hAnsi="Times New Roman"/>
        </w:rPr>
        <w:t xml:space="preserve"> For example, see the trial records </w:t>
      </w:r>
      <w:r>
        <w:rPr>
          <w:rFonts w:ascii="Times New Roman" w:hAnsi="Times New Roman"/>
        </w:rPr>
        <w:t xml:space="preserve">A.N. </w:t>
      </w:r>
      <w:r w:rsidRPr="00C50E46">
        <w:rPr>
          <w:rFonts w:ascii="Times New Roman" w:hAnsi="Times New Roman"/>
        </w:rPr>
        <w:t>W 377,</w:t>
      </w:r>
      <w:r>
        <w:rPr>
          <w:rFonts w:ascii="Times New Roman" w:hAnsi="Times New Roman"/>
        </w:rPr>
        <w:t xml:space="preserve"> plaq.</w:t>
      </w:r>
      <w:r w:rsidRPr="00C50E46">
        <w:rPr>
          <w:rFonts w:ascii="Times New Roman" w:hAnsi="Times New Roman"/>
        </w:rPr>
        <w:t xml:space="preserve"> 852;</w:t>
      </w:r>
      <w:r>
        <w:rPr>
          <w:rFonts w:ascii="Times New Roman" w:hAnsi="Times New Roman"/>
        </w:rPr>
        <w:t xml:space="preserve"> A.N.</w:t>
      </w:r>
      <w:r w:rsidRPr="00C50E46">
        <w:rPr>
          <w:rFonts w:ascii="Times New Roman" w:hAnsi="Times New Roman"/>
        </w:rPr>
        <w:t xml:space="preserve"> W 362,</w:t>
      </w:r>
      <w:r>
        <w:rPr>
          <w:rFonts w:ascii="Times New Roman" w:hAnsi="Times New Roman"/>
        </w:rPr>
        <w:t xml:space="preserve"> plaq. </w:t>
      </w:r>
      <w:r w:rsidRPr="00C50E46">
        <w:rPr>
          <w:rFonts w:ascii="Times New Roman" w:hAnsi="Times New Roman"/>
        </w:rPr>
        <w:t xml:space="preserve">784; and </w:t>
      </w:r>
      <w:r>
        <w:rPr>
          <w:rFonts w:ascii="Times New Roman" w:hAnsi="Times New Roman"/>
        </w:rPr>
        <w:t xml:space="preserve">A.N. </w:t>
      </w:r>
      <w:r w:rsidRPr="00C50E46">
        <w:rPr>
          <w:rFonts w:ascii="Times New Roman" w:hAnsi="Times New Roman"/>
        </w:rPr>
        <w:t>W 296,</w:t>
      </w:r>
      <w:r>
        <w:rPr>
          <w:rFonts w:ascii="Times New Roman" w:hAnsi="Times New Roman"/>
        </w:rPr>
        <w:t xml:space="preserve"> plaq.</w:t>
      </w:r>
      <w:r w:rsidRPr="00C50E46">
        <w:rPr>
          <w:rFonts w:ascii="Times New Roman" w:hAnsi="Times New Roman"/>
        </w:rPr>
        <w:t xml:space="preserve"> 257.</w:t>
      </w:r>
    </w:p>
  </w:footnote>
  <w:footnote w:id="90">
    <w:p w:rsidR="003C5BB0" w:rsidRDefault="003C5BB0" w:rsidP="00634CCB">
      <w:pPr>
        <w:pStyle w:val="FootnoteText"/>
        <w:contextualSpacing/>
      </w:pPr>
      <w:r w:rsidRPr="00C50E46">
        <w:rPr>
          <w:rStyle w:val="FootnoteReference"/>
          <w:rFonts w:ascii="Times New Roman" w:hAnsi="Times New Roman"/>
        </w:rPr>
        <w:footnoteRef/>
      </w:r>
      <w:r w:rsidRPr="00C50E46">
        <w:rPr>
          <w:rFonts w:ascii="Times New Roman" w:hAnsi="Times New Roman"/>
        </w:rPr>
        <w:t xml:space="preserve"> </w:t>
      </w:r>
      <w:r w:rsidRPr="00634CCB">
        <w:rPr>
          <w:rFonts w:ascii="Times New Roman" w:hAnsi="Times New Roman"/>
        </w:rPr>
        <w:t>Dominique</w:t>
      </w:r>
      <w:r>
        <w:rPr>
          <w:rFonts w:ascii="Times New Roman" w:hAnsi="Times New Roman"/>
        </w:rPr>
        <w:t xml:space="preserve"> Godineau, </w:t>
      </w:r>
      <w:r w:rsidRPr="00634CCB">
        <w:rPr>
          <w:rFonts w:ascii="Times New Roman" w:hAnsi="Times New Roman"/>
          <w:i/>
        </w:rPr>
        <w:t>The Women of Paris and their French Revolution</w:t>
      </w:r>
      <w:r w:rsidRPr="00634CCB">
        <w:rPr>
          <w:rFonts w:ascii="Times New Roman" w:hAnsi="Times New Roman"/>
        </w:rPr>
        <w:t xml:space="preserve"> (</w:t>
      </w:r>
      <w:r>
        <w:rPr>
          <w:rFonts w:ascii="Times New Roman" w:hAnsi="Times New Roman"/>
        </w:rPr>
        <w:t>Berkeley: University of California Press, 1998), 55.</w:t>
      </w:r>
    </w:p>
  </w:footnote>
  <w:footnote w:id="91">
    <w:p w:rsidR="003C5BB0" w:rsidRDefault="003C5BB0" w:rsidP="006C395C">
      <w:pPr>
        <w:pStyle w:val="FootnoteText"/>
        <w:contextualSpacing/>
      </w:pPr>
      <w:r w:rsidRPr="00C50E46">
        <w:rPr>
          <w:rStyle w:val="FootnoteReference"/>
          <w:rFonts w:ascii="Times New Roman" w:hAnsi="Times New Roman"/>
        </w:rPr>
        <w:footnoteRef/>
      </w:r>
      <w:r w:rsidRPr="00C50E46">
        <w:rPr>
          <w:rFonts w:ascii="Times New Roman" w:hAnsi="Times New Roman"/>
        </w:rPr>
        <w:t xml:space="preserve"> </w:t>
      </w:r>
      <w:r>
        <w:rPr>
          <w:rFonts w:ascii="Times New Roman" w:hAnsi="Times New Roman"/>
        </w:rPr>
        <w:t xml:space="preserve">A.N. </w:t>
      </w:r>
      <w:r w:rsidRPr="00C50E46">
        <w:rPr>
          <w:rFonts w:ascii="Times New Roman" w:hAnsi="Times New Roman"/>
        </w:rPr>
        <w:t>W 292/2</w:t>
      </w:r>
      <w:r>
        <w:rPr>
          <w:rFonts w:ascii="Times New Roman" w:hAnsi="Times New Roman"/>
        </w:rPr>
        <w:t>, plaq.</w:t>
      </w:r>
      <w:r w:rsidRPr="00C50E46">
        <w:rPr>
          <w:rFonts w:ascii="Times New Roman" w:hAnsi="Times New Roman"/>
        </w:rPr>
        <w:t xml:space="preserve"> 202</w:t>
      </w:r>
      <w:r>
        <w:rPr>
          <w:rFonts w:ascii="Times New Roman" w:hAnsi="Times New Roman"/>
        </w:rPr>
        <w:t>.</w:t>
      </w:r>
    </w:p>
  </w:footnote>
  <w:footnote w:id="92">
    <w:p w:rsidR="003C5BB0" w:rsidRDefault="003C5BB0" w:rsidP="006C395C">
      <w:pPr>
        <w:pStyle w:val="FootnoteText"/>
        <w:contextualSpacing/>
      </w:pPr>
      <w:r w:rsidRPr="00C50E46">
        <w:rPr>
          <w:rStyle w:val="FootnoteReference"/>
          <w:rFonts w:ascii="Times New Roman" w:hAnsi="Times New Roman"/>
        </w:rPr>
        <w:footnoteRef/>
      </w:r>
      <w:r w:rsidRPr="00C50E46">
        <w:rPr>
          <w:rFonts w:ascii="Times New Roman" w:hAnsi="Times New Roman"/>
        </w:rPr>
        <w:t xml:space="preserve"> </w:t>
      </w:r>
      <w:r>
        <w:rPr>
          <w:rFonts w:ascii="Times New Roman" w:hAnsi="Times New Roman"/>
        </w:rPr>
        <w:t>Ibid., p.</w:t>
      </w:r>
      <w:r w:rsidRPr="00C50E46">
        <w:rPr>
          <w:rFonts w:ascii="Times New Roman" w:hAnsi="Times New Roman"/>
        </w:rPr>
        <w:t>17</w:t>
      </w:r>
      <w:r>
        <w:rPr>
          <w:rFonts w:ascii="Times New Roman" w:hAnsi="Times New Roman"/>
        </w:rPr>
        <w:t>,</w:t>
      </w:r>
      <w:r w:rsidRPr="00C50E46">
        <w:rPr>
          <w:rFonts w:ascii="Times New Roman" w:hAnsi="Times New Roman"/>
        </w:rPr>
        <w:t xml:space="preserve"> pg</w:t>
      </w:r>
      <w:r>
        <w:rPr>
          <w:rFonts w:ascii="Times New Roman" w:hAnsi="Times New Roman"/>
        </w:rPr>
        <w:t>.</w:t>
      </w:r>
      <w:r w:rsidRPr="00C50E46">
        <w:rPr>
          <w:rFonts w:ascii="Times New Roman" w:hAnsi="Times New Roman"/>
        </w:rPr>
        <w:t xml:space="preserve"> 3</w:t>
      </w:r>
      <w:r>
        <w:rPr>
          <w:rFonts w:ascii="Times New Roman" w:hAnsi="Times New Roman"/>
        </w:rPr>
        <w:t>.</w:t>
      </w:r>
    </w:p>
  </w:footnote>
  <w:footnote w:id="93">
    <w:p w:rsidR="003C5BB0" w:rsidRDefault="003C5BB0" w:rsidP="00634CCB">
      <w:pPr>
        <w:pStyle w:val="FootnoteText"/>
        <w:contextualSpacing/>
      </w:pPr>
      <w:r w:rsidRPr="00C50E46">
        <w:rPr>
          <w:rStyle w:val="FootnoteReference"/>
          <w:rFonts w:ascii="Times New Roman" w:hAnsi="Times New Roman"/>
        </w:rPr>
        <w:footnoteRef/>
      </w:r>
      <w:r w:rsidRPr="00C50E46">
        <w:rPr>
          <w:rFonts w:ascii="Times New Roman" w:hAnsi="Times New Roman"/>
        </w:rPr>
        <w:t xml:space="preserve"> See the finding guide for a summary of all defendants put on trial and their eventual sentence. </w:t>
      </w:r>
      <w:r w:rsidRPr="00634CCB">
        <w:rPr>
          <w:rFonts w:ascii="Times New Roman" w:hAnsi="Times New Roman"/>
        </w:rPr>
        <w:t>Danis</w:t>
      </w:r>
      <w:r>
        <w:rPr>
          <w:rFonts w:ascii="Times New Roman" w:hAnsi="Times New Roman"/>
        </w:rPr>
        <w:t xml:space="preserve"> Habib and Pierre-Dominique Cheynet, </w:t>
      </w:r>
      <w:r>
        <w:rPr>
          <w:rFonts w:ascii="Times New Roman" w:hAnsi="Times New Roman"/>
          <w:i/>
        </w:rPr>
        <w:t>Tribunal r</w:t>
      </w:r>
      <w:r w:rsidRPr="00634CCB">
        <w:rPr>
          <w:rFonts w:ascii="Times New Roman" w:hAnsi="Times New Roman"/>
          <w:i/>
        </w:rPr>
        <w:t xml:space="preserve">évolutionnaire (1793-an </w:t>
      </w:r>
      <w:r w:rsidR="00AD0377">
        <w:rPr>
          <w:rFonts w:ascii="Times New Roman" w:hAnsi="Times New Roman"/>
          <w:i/>
        </w:rPr>
        <w:t>III): répertoire n</w:t>
      </w:r>
      <w:r>
        <w:rPr>
          <w:rFonts w:ascii="Times New Roman" w:hAnsi="Times New Roman"/>
          <w:i/>
        </w:rPr>
        <w:t>umérique des affaires j</w:t>
      </w:r>
      <w:r w:rsidRPr="00634CCB">
        <w:rPr>
          <w:rFonts w:ascii="Times New Roman" w:hAnsi="Times New Roman"/>
          <w:i/>
        </w:rPr>
        <w:t>ugées W 268 à 499</w:t>
      </w:r>
      <w:r w:rsidRPr="00634CCB">
        <w:rPr>
          <w:rFonts w:ascii="Times New Roman" w:hAnsi="Times New Roman"/>
        </w:rPr>
        <w:t xml:space="preserve"> (</w:t>
      </w:r>
      <w:r>
        <w:rPr>
          <w:rFonts w:ascii="Times New Roman" w:hAnsi="Times New Roman"/>
        </w:rPr>
        <w:t>Paris: Archives nationales, 2009).</w:t>
      </w:r>
    </w:p>
  </w:footnote>
  <w:footnote w:id="94">
    <w:p w:rsidR="003C5BB0" w:rsidRDefault="003C5BB0" w:rsidP="006C395C">
      <w:pPr>
        <w:pStyle w:val="FootnoteText"/>
        <w:contextualSpacing/>
      </w:pPr>
      <w:r w:rsidRPr="00C50E46">
        <w:rPr>
          <w:rStyle w:val="FootnoteReference"/>
          <w:rFonts w:ascii="Times New Roman" w:hAnsi="Times New Roman"/>
        </w:rPr>
        <w:footnoteRef/>
      </w:r>
      <w:r w:rsidRPr="00C50E46">
        <w:rPr>
          <w:rFonts w:ascii="Times New Roman" w:hAnsi="Times New Roman"/>
        </w:rPr>
        <w:t xml:space="preserve"> See </w:t>
      </w:r>
      <w:r>
        <w:rPr>
          <w:rFonts w:ascii="Times New Roman" w:hAnsi="Times New Roman"/>
        </w:rPr>
        <w:t xml:space="preserve">A.N. </w:t>
      </w:r>
      <w:r w:rsidRPr="00C50E46">
        <w:rPr>
          <w:rFonts w:ascii="Times New Roman" w:hAnsi="Times New Roman"/>
        </w:rPr>
        <w:t>W 291,</w:t>
      </w:r>
      <w:r>
        <w:rPr>
          <w:rFonts w:ascii="Times New Roman" w:hAnsi="Times New Roman"/>
        </w:rPr>
        <w:t xml:space="preserve"> plaq. </w:t>
      </w:r>
      <w:r w:rsidRPr="00C50E46">
        <w:rPr>
          <w:rFonts w:ascii="Times New Roman" w:hAnsi="Times New Roman"/>
        </w:rPr>
        <w:t>183;</w:t>
      </w:r>
      <w:r>
        <w:rPr>
          <w:rFonts w:ascii="Times New Roman" w:hAnsi="Times New Roman"/>
        </w:rPr>
        <w:t xml:space="preserve"> A.N.</w:t>
      </w:r>
      <w:r w:rsidRPr="00C50E46">
        <w:rPr>
          <w:rFonts w:ascii="Times New Roman" w:hAnsi="Times New Roman"/>
        </w:rPr>
        <w:t xml:space="preserve"> W 297/1,</w:t>
      </w:r>
      <w:r>
        <w:rPr>
          <w:rFonts w:ascii="Times New Roman" w:hAnsi="Times New Roman"/>
        </w:rPr>
        <w:t xml:space="preserve"> plaq.</w:t>
      </w:r>
      <w:r w:rsidRPr="00C50E46">
        <w:rPr>
          <w:rFonts w:ascii="Times New Roman" w:hAnsi="Times New Roman"/>
        </w:rPr>
        <w:t xml:space="preserve"> 269; </w:t>
      </w:r>
      <w:r>
        <w:rPr>
          <w:rFonts w:ascii="Times New Roman" w:hAnsi="Times New Roman"/>
        </w:rPr>
        <w:t xml:space="preserve">A.N. </w:t>
      </w:r>
      <w:r w:rsidRPr="00C50E46">
        <w:rPr>
          <w:rFonts w:ascii="Times New Roman" w:hAnsi="Times New Roman"/>
        </w:rPr>
        <w:t>W 359,</w:t>
      </w:r>
      <w:r>
        <w:rPr>
          <w:rFonts w:ascii="Times New Roman" w:hAnsi="Times New Roman"/>
        </w:rPr>
        <w:t xml:space="preserve"> plaq.</w:t>
      </w:r>
      <w:r w:rsidRPr="00C50E46">
        <w:rPr>
          <w:rFonts w:ascii="Times New Roman" w:hAnsi="Times New Roman"/>
        </w:rPr>
        <w:t xml:space="preserve"> 759, and</w:t>
      </w:r>
      <w:r>
        <w:rPr>
          <w:rFonts w:ascii="Times New Roman" w:hAnsi="Times New Roman"/>
        </w:rPr>
        <w:t xml:space="preserve"> A.N.</w:t>
      </w:r>
      <w:r w:rsidRPr="00C50E46">
        <w:rPr>
          <w:rFonts w:ascii="Times New Roman" w:hAnsi="Times New Roman"/>
        </w:rPr>
        <w:t xml:space="preserve"> W 420,</w:t>
      </w:r>
      <w:r>
        <w:rPr>
          <w:rFonts w:ascii="Times New Roman" w:hAnsi="Times New Roman"/>
        </w:rPr>
        <w:t xml:space="preserve"> plaq.</w:t>
      </w:r>
      <w:r w:rsidRPr="00C50E46">
        <w:rPr>
          <w:rFonts w:ascii="Times New Roman" w:hAnsi="Times New Roman"/>
        </w:rPr>
        <w:t xml:space="preserve"> 942</w:t>
      </w:r>
      <w:r>
        <w:rPr>
          <w:rFonts w:ascii="Times New Roman" w:hAnsi="Times New Roman"/>
        </w:rPr>
        <w:t>.</w:t>
      </w:r>
    </w:p>
  </w:footnote>
  <w:footnote w:id="95">
    <w:p w:rsidR="003C5BB0" w:rsidRDefault="003C5BB0" w:rsidP="00634CCB">
      <w:pPr>
        <w:pStyle w:val="FootnoteText"/>
        <w:contextualSpacing/>
      </w:pPr>
      <w:r w:rsidRPr="00C50E46">
        <w:rPr>
          <w:rStyle w:val="FootnoteReference"/>
          <w:rFonts w:ascii="Times New Roman" w:hAnsi="Times New Roman"/>
        </w:rPr>
        <w:footnoteRef/>
      </w:r>
      <w:r>
        <w:rPr>
          <w:rFonts w:ascii="Times New Roman" w:hAnsi="Times New Roman"/>
        </w:rPr>
        <w:t xml:space="preserve">  </w:t>
      </w:r>
      <w:r w:rsidRPr="00634CCB">
        <w:rPr>
          <w:rFonts w:ascii="Times New Roman" w:hAnsi="Times New Roman"/>
        </w:rPr>
        <w:t>Maza</w:t>
      </w:r>
      <w:r>
        <w:rPr>
          <w:rFonts w:ascii="Times New Roman" w:hAnsi="Times New Roman"/>
        </w:rPr>
        <w:t xml:space="preserve">, </w:t>
      </w:r>
      <w:r w:rsidRPr="00634CCB">
        <w:rPr>
          <w:rFonts w:ascii="Times New Roman" w:hAnsi="Times New Roman"/>
          <w:i/>
        </w:rPr>
        <w:t>P</w:t>
      </w:r>
      <w:r>
        <w:rPr>
          <w:rFonts w:ascii="Times New Roman" w:hAnsi="Times New Roman"/>
          <w:i/>
        </w:rPr>
        <w:t>rivate Lives and Public Affairs: The Causes C</w:t>
      </w:r>
      <w:r w:rsidRPr="00634CCB">
        <w:rPr>
          <w:rFonts w:ascii="Times New Roman" w:hAnsi="Times New Roman"/>
          <w:i/>
        </w:rPr>
        <w:t>élèbres of Prerevolutionary France</w:t>
      </w:r>
      <w:r w:rsidRPr="00634CCB">
        <w:rPr>
          <w:rFonts w:ascii="Times New Roman" w:hAnsi="Times New Roman"/>
        </w:rPr>
        <w:t xml:space="preserve">, </w:t>
      </w:r>
      <w:r>
        <w:rPr>
          <w:rFonts w:ascii="Times New Roman" w:hAnsi="Times New Roman"/>
        </w:rPr>
        <w:t xml:space="preserve">8-16. </w:t>
      </w:r>
    </w:p>
  </w:footnote>
  <w:footnote w:id="96">
    <w:p w:rsidR="003C5BB0" w:rsidRDefault="003C5BB0" w:rsidP="00634CCB">
      <w:pPr>
        <w:pStyle w:val="FootnoteText"/>
        <w:contextualSpacing/>
      </w:pPr>
      <w:r w:rsidRPr="00C50E46">
        <w:rPr>
          <w:rStyle w:val="FootnoteReference"/>
          <w:rFonts w:ascii="Times New Roman" w:hAnsi="Times New Roman"/>
        </w:rPr>
        <w:footnoteRef/>
      </w:r>
      <w:r>
        <w:rPr>
          <w:rFonts w:ascii="Times New Roman" w:hAnsi="Times New Roman"/>
        </w:rPr>
        <w:t xml:space="preserve">  </w:t>
      </w:r>
      <w:r w:rsidRPr="00634CCB">
        <w:rPr>
          <w:rFonts w:ascii="Times New Roman" w:hAnsi="Times New Roman"/>
        </w:rPr>
        <w:t>Ibid.</w:t>
      </w:r>
      <w:r>
        <w:rPr>
          <w:rFonts w:ascii="Times New Roman" w:hAnsi="Times New Roman"/>
        </w:rPr>
        <w:t xml:space="preserve">, 14-16. </w:t>
      </w:r>
    </w:p>
  </w:footnote>
  <w:footnote w:id="97">
    <w:p w:rsidR="003C5BB0" w:rsidRDefault="003C5BB0" w:rsidP="00634CCB">
      <w:pPr>
        <w:pStyle w:val="FootnoteText"/>
        <w:contextualSpacing/>
      </w:pPr>
      <w:r w:rsidRPr="00C50E46">
        <w:rPr>
          <w:rStyle w:val="FootnoteReference"/>
          <w:rFonts w:ascii="Times New Roman" w:hAnsi="Times New Roman"/>
        </w:rPr>
        <w:footnoteRef/>
      </w:r>
      <w:r w:rsidRPr="00C50E46">
        <w:rPr>
          <w:rFonts w:ascii="Times New Roman" w:hAnsi="Times New Roman"/>
        </w:rPr>
        <w:t xml:space="preserve"> See </w:t>
      </w:r>
      <w:r w:rsidRPr="00634CCB">
        <w:rPr>
          <w:rFonts w:ascii="Times New Roman" w:hAnsi="Times New Roman"/>
          <w:i/>
        </w:rPr>
        <w:t>A History of Women in the West</w:t>
      </w:r>
      <w:r w:rsidRPr="00634CCB">
        <w:rPr>
          <w:rFonts w:ascii="Times New Roman" w:hAnsi="Times New Roman"/>
        </w:rPr>
        <w:t xml:space="preserve"> (</w:t>
      </w:r>
      <w:r>
        <w:rPr>
          <w:rFonts w:ascii="Times New Roman" w:hAnsi="Times New Roman"/>
        </w:rPr>
        <w:t>Cambridge, Mass.: Belknap Press of Harvard University Press, 1992)</w:t>
      </w:r>
      <w:r w:rsidRPr="00C50E46">
        <w:rPr>
          <w:rFonts w:ascii="Times New Roman" w:hAnsi="Times New Roman"/>
        </w:rPr>
        <w:t xml:space="preserve"> as well as </w:t>
      </w:r>
      <w:r w:rsidRPr="00634CCB">
        <w:rPr>
          <w:rFonts w:ascii="Times New Roman" w:hAnsi="Times New Roman"/>
        </w:rPr>
        <w:t>Olwen H.</w:t>
      </w:r>
      <w:r>
        <w:rPr>
          <w:rFonts w:ascii="Times New Roman" w:hAnsi="Times New Roman"/>
        </w:rPr>
        <w:t xml:space="preserve"> Hufton, </w:t>
      </w:r>
      <w:r>
        <w:rPr>
          <w:rFonts w:ascii="Times New Roman" w:hAnsi="Times New Roman"/>
          <w:i/>
        </w:rPr>
        <w:t>The Prospect before Her</w:t>
      </w:r>
      <w:r w:rsidRPr="00634CCB">
        <w:rPr>
          <w:rFonts w:ascii="Times New Roman" w:hAnsi="Times New Roman"/>
          <w:i/>
        </w:rPr>
        <w:t>: A History of Women in Western Europe</w:t>
      </w:r>
      <w:r w:rsidRPr="00634CCB">
        <w:rPr>
          <w:rFonts w:ascii="Times New Roman" w:hAnsi="Times New Roman"/>
        </w:rPr>
        <w:t xml:space="preserve">, </w:t>
      </w:r>
      <w:r>
        <w:rPr>
          <w:rFonts w:ascii="Times New Roman" w:hAnsi="Times New Roman"/>
        </w:rPr>
        <w:t>1st American ed. (New York: Alfred Knopf : Distributed by Random House, 1996).</w:t>
      </w:r>
    </w:p>
  </w:footnote>
  <w:footnote w:id="98">
    <w:p w:rsidR="003C5BB0" w:rsidRDefault="003C5BB0" w:rsidP="00634CCB">
      <w:pPr>
        <w:pStyle w:val="FootnoteText"/>
        <w:contextualSpacing/>
      </w:pPr>
      <w:r w:rsidRPr="00C50E46">
        <w:rPr>
          <w:rStyle w:val="FootnoteReference"/>
          <w:rFonts w:ascii="Times New Roman" w:hAnsi="Times New Roman"/>
        </w:rPr>
        <w:footnoteRef/>
      </w:r>
      <w:r>
        <w:rPr>
          <w:rFonts w:ascii="Times New Roman" w:hAnsi="Times New Roman"/>
        </w:rPr>
        <w:t xml:space="preserve">  </w:t>
      </w:r>
      <w:r w:rsidRPr="00634CCB">
        <w:rPr>
          <w:rFonts w:ascii="Times New Roman" w:hAnsi="Times New Roman"/>
        </w:rPr>
        <w:t>Godfrey</w:t>
      </w:r>
      <w:r>
        <w:rPr>
          <w:rFonts w:ascii="Times New Roman" w:hAnsi="Times New Roman"/>
        </w:rPr>
        <w:t xml:space="preserve">, </w:t>
      </w:r>
      <w:r>
        <w:rPr>
          <w:rFonts w:ascii="Times New Roman" w:hAnsi="Times New Roman"/>
          <w:i/>
        </w:rPr>
        <w:t>Revolutionary Justice</w:t>
      </w:r>
      <w:r w:rsidRPr="00634CCB">
        <w:rPr>
          <w:rFonts w:ascii="Times New Roman" w:hAnsi="Times New Roman"/>
          <w:i/>
        </w:rPr>
        <w:t>: A Study of the Organization, Personnel, and Procedure of the Paris Tribunal, 1793-1795</w:t>
      </w:r>
      <w:r w:rsidRPr="00634CCB">
        <w:rPr>
          <w:rFonts w:ascii="Times New Roman" w:hAnsi="Times New Roman"/>
        </w:rPr>
        <w:t xml:space="preserve">, </w:t>
      </w:r>
      <w:r>
        <w:rPr>
          <w:rFonts w:ascii="Times New Roman" w:hAnsi="Times New Roman"/>
        </w:rPr>
        <w:t xml:space="preserve">119-130. </w:t>
      </w:r>
    </w:p>
  </w:footnote>
  <w:footnote w:id="99">
    <w:p w:rsidR="003C5BB0" w:rsidRDefault="003C5BB0" w:rsidP="00634CCB">
      <w:pPr>
        <w:pStyle w:val="FootnoteText"/>
        <w:contextualSpacing/>
      </w:pPr>
      <w:r w:rsidRPr="00C50E46">
        <w:rPr>
          <w:rStyle w:val="FootnoteReference"/>
          <w:rFonts w:ascii="Times New Roman" w:hAnsi="Times New Roman"/>
        </w:rPr>
        <w:footnoteRef/>
      </w:r>
      <w:r w:rsidRPr="00C50E46">
        <w:rPr>
          <w:rFonts w:ascii="Times New Roman" w:hAnsi="Times New Roman"/>
        </w:rPr>
        <w:t xml:space="preserve"> Stephanie Brown made a close study of 93 of the 579 women tried by the Revolutionary Tribunal and found that, of the 93 women she studied, 32% of their cases involved some type of written defense. </w:t>
      </w:r>
      <w:r w:rsidRPr="00634CCB">
        <w:rPr>
          <w:rFonts w:ascii="Times New Roman" w:hAnsi="Times New Roman"/>
        </w:rPr>
        <w:t>Brown</w:t>
      </w:r>
      <w:r>
        <w:rPr>
          <w:rFonts w:ascii="Times New Roman" w:hAnsi="Times New Roman"/>
        </w:rPr>
        <w:t xml:space="preserve">, </w:t>
      </w:r>
      <w:r w:rsidRPr="00634CCB">
        <w:rPr>
          <w:rFonts w:ascii="Times New Roman" w:hAnsi="Times New Roman"/>
          <w:i/>
        </w:rPr>
        <w:t>Women on Trial: The Revolutionary Tribunal and Gender</w:t>
      </w:r>
      <w:r w:rsidRPr="00634CCB">
        <w:rPr>
          <w:rFonts w:ascii="Times New Roman" w:hAnsi="Times New Roman"/>
        </w:rPr>
        <w:t xml:space="preserve">, </w:t>
      </w:r>
      <w:r>
        <w:rPr>
          <w:rFonts w:ascii="Times New Roman" w:hAnsi="Times New Roman"/>
        </w:rPr>
        <w:t xml:space="preserve">141. </w:t>
      </w:r>
    </w:p>
  </w:footnote>
  <w:footnote w:id="100">
    <w:p w:rsidR="003C5BB0" w:rsidRDefault="003C5BB0" w:rsidP="00634CCB">
      <w:pPr>
        <w:pStyle w:val="FootnoteText"/>
        <w:contextualSpacing/>
      </w:pPr>
      <w:r w:rsidRPr="00C50E46">
        <w:rPr>
          <w:rStyle w:val="FootnoteReference"/>
          <w:rFonts w:ascii="Times New Roman" w:hAnsi="Times New Roman"/>
        </w:rPr>
        <w:footnoteRef/>
      </w:r>
      <w:r w:rsidRPr="00C50E46">
        <w:rPr>
          <w:rFonts w:ascii="Times New Roman" w:hAnsi="Times New Roman"/>
        </w:rPr>
        <w:t xml:space="preserve"> </w:t>
      </w:r>
      <w:r>
        <w:rPr>
          <w:rFonts w:ascii="Times New Roman" w:hAnsi="Times New Roman"/>
        </w:rPr>
        <w:t xml:space="preserve"> </w:t>
      </w:r>
      <w:r w:rsidRPr="00634CCB">
        <w:rPr>
          <w:rFonts w:ascii="Times New Roman" w:hAnsi="Times New Roman"/>
        </w:rPr>
        <w:t>Godineau</w:t>
      </w:r>
      <w:r>
        <w:rPr>
          <w:rFonts w:ascii="Times New Roman" w:hAnsi="Times New Roman"/>
        </w:rPr>
        <w:t xml:space="preserve">, </w:t>
      </w:r>
      <w:r w:rsidRPr="00634CCB">
        <w:rPr>
          <w:rFonts w:ascii="Times New Roman" w:hAnsi="Times New Roman"/>
          <w:i/>
        </w:rPr>
        <w:t>The Women of Paris and their French Revolution</w:t>
      </w:r>
      <w:r w:rsidRPr="00634CCB">
        <w:rPr>
          <w:rFonts w:ascii="Times New Roman" w:hAnsi="Times New Roman"/>
        </w:rPr>
        <w:t xml:space="preserve">, </w:t>
      </w:r>
      <w:r>
        <w:rPr>
          <w:rFonts w:ascii="Times New Roman" w:hAnsi="Times New Roman"/>
        </w:rPr>
        <w:t xml:space="preserve">4. </w:t>
      </w:r>
    </w:p>
  </w:footnote>
  <w:footnote w:id="101">
    <w:p w:rsidR="003C5BB0" w:rsidRDefault="003C5BB0" w:rsidP="006C395C">
      <w:pPr>
        <w:pStyle w:val="FootnoteText"/>
        <w:contextualSpacing/>
      </w:pPr>
      <w:r w:rsidRPr="00C50E46">
        <w:rPr>
          <w:rStyle w:val="FootnoteReference"/>
          <w:rFonts w:ascii="Times New Roman" w:hAnsi="Times New Roman"/>
        </w:rPr>
        <w:footnoteRef/>
      </w:r>
      <w:r w:rsidRPr="00C50E46">
        <w:rPr>
          <w:rFonts w:ascii="Times New Roman" w:hAnsi="Times New Roman"/>
        </w:rPr>
        <w:t xml:space="preserve"> </w:t>
      </w:r>
      <w:r>
        <w:rPr>
          <w:rFonts w:ascii="Times New Roman" w:hAnsi="Times New Roman"/>
        </w:rPr>
        <w:t xml:space="preserve">A.N. </w:t>
      </w:r>
      <w:r w:rsidRPr="00C50E46">
        <w:rPr>
          <w:rFonts w:ascii="Times New Roman" w:hAnsi="Times New Roman" w:cs="Bookman Old Style"/>
          <w:color w:val="000000"/>
          <w:szCs w:val="20"/>
        </w:rPr>
        <w:t xml:space="preserve">W 362, </w:t>
      </w:r>
      <w:r>
        <w:rPr>
          <w:rFonts w:ascii="Times New Roman" w:hAnsi="Times New Roman" w:cs="Bookman Old Style"/>
          <w:color w:val="000000"/>
          <w:szCs w:val="20"/>
        </w:rPr>
        <w:t xml:space="preserve">plaq. </w:t>
      </w:r>
      <w:r w:rsidRPr="00C50E46">
        <w:rPr>
          <w:rFonts w:ascii="Times New Roman" w:hAnsi="Times New Roman" w:cs="Bookman Old Style"/>
          <w:color w:val="000000"/>
          <w:szCs w:val="20"/>
        </w:rPr>
        <w:t>784</w:t>
      </w:r>
      <w:r>
        <w:rPr>
          <w:rFonts w:ascii="Times New Roman" w:hAnsi="Times New Roman" w:cs="Bookman Old Style"/>
          <w:color w:val="000000"/>
          <w:szCs w:val="20"/>
        </w:rPr>
        <w:t>.</w:t>
      </w:r>
    </w:p>
  </w:footnote>
  <w:footnote w:id="102">
    <w:p w:rsidR="003C5BB0" w:rsidRDefault="003C5BB0" w:rsidP="006C395C">
      <w:pPr>
        <w:pStyle w:val="FootnoteText"/>
        <w:contextualSpacing/>
      </w:pPr>
      <w:r w:rsidRPr="00C50E46">
        <w:rPr>
          <w:rStyle w:val="FootnoteReference"/>
          <w:rFonts w:ascii="Times New Roman" w:hAnsi="Times New Roman"/>
        </w:rPr>
        <w:footnoteRef/>
      </w:r>
      <w:r w:rsidRPr="00C50E46">
        <w:rPr>
          <w:rFonts w:ascii="Times New Roman" w:hAnsi="Times New Roman"/>
        </w:rPr>
        <w:t xml:space="preserve"> </w:t>
      </w:r>
      <w:r>
        <w:rPr>
          <w:rFonts w:ascii="Times New Roman" w:hAnsi="Times New Roman"/>
        </w:rPr>
        <w:t>Ibid., p.</w:t>
      </w:r>
      <w:r w:rsidRPr="00C50E46">
        <w:rPr>
          <w:rFonts w:ascii="Times New Roman" w:hAnsi="Times New Roman"/>
        </w:rPr>
        <w:t xml:space="preserve"> 2, 3, and 6.</w:t>
      </w:r>
    </w:p>
  </w:footnote>
  <w:footnote w:id="103">
    <w:p w:rsidR="003C5BB0" w:rsidRDefault="003C5BB0" w:rsidP="006C395C">
      <w:pPr>
        <w:pStyle w:val="FootnoteText"/>
        <w:contextualSpacing/>
      </w:pPr>
      <w:r w:rsidRPr="00C50E46">
        <w:rPr>
          <w:rStyle w:val="FootnoteReference"/>
          <w:rFonts w:ascii="Times New Roman" w:hAnsi="Times New Roman"/>
        </w:rPr>
        <w:footnoteRef/>
      </w:r>
      <w:r w:rsidRPr="00C50E46">
        <w:rPr>
          <w:rFonts w:ascii="Times New Roman" w:hAnsi="Times New Roman"/>
        </w:rPr>
        <w:t xml:space="preserve"> </w:t>
      </w:r>
      <w:r>
        <w:rPr>
          <w:rFonts w:ascii="Times New Roman" w:hAnsi="Times New Roman"/>
        </w:rPr>
        <w:t>Ibid., p.</w:t>
      </w:r>
      <w:r w:rsidRPr="00C50E46">
        <w:rPr>
          <w:rFonts w:ascii="Times New Roman" w:hAnsi="Times New Roman"/>
        </w:rPr>
        <w:t xml:space="preserve"> 2</w:t>
      </w:r>
      <w:r>
        <w:rPr>
          <w:rFonts w:ascii="Times New Roman" w:hAnsi="Times New Roman"/>
        </w:rPr>
        <w:t>.</w:t>
      </w:r>
    </w:p>
  </w:footnote>
  <w:footnote w:id="104">
    <w:p w:rsidR="003C5BB0" w:rsidRDefault="003C5BB0" w:rsidP="006C395C">
      <w:pPr>
        <w:pStyle w:val="FootnoteText"/>
        <w:contextualSpacing/>
      </w:pPr>
      <w:r w:rsidRPr="00C50E46">
        <w:rPr>
          <w:rStyle w:val="FootnoteReference"/>
          <w:rFonts w:ascii="Times New Roman" w:hAnsi="Times New Roman"/>
        </w:rPr>
        <w:footnoteRef/>
      </w:r>
      <w:r w:rsidRPr="00C50E46">
        <w:rPr>
          <w:rFonts w:ascii="Times New Roman" w:hAnsi="Times New Roman"/>
        </w:rPr>
        <w:t xml:space="preserve"> </w:t>
      </w:r>
      <w:r>
        <w:rPr>
          <w:rFonts w:ascii="Times New Roman" w:hAnsi="Times New Roman"/>
        </w:rPr>
        <w:t>Ibid., p.</w:t>
      </w:r>
      <w:r w:rsidRPr="00C50E46">
        <w:rPr>
          <w:rFonts w:ascii="Times New Roman" w:hAnsi="Times New Roman"/>
        </w:rPr>
        <w:t xml:space="preserve"> 6</w:t>
      </w:r>
      <w:r>
        <w:rPr>
          <w:rFonts w:ascii="Times New Roman" w:hAnsi="Times New Roman"/>
        </w:rPr>
        <w:t>.</w:t>
      </w:r>
    </w:p>
  </w:footnote>
  <w:footnote w:id="105">
    <w:p w:rsidR="003C5BB0" w:rsidRDefault="003C5BB0" w:rsidP="006C395C">
      <w:pPr>
        <w:pStyle w:val="FootnoteText"/>
        <w:contextualSpacing/>
      </w:pPr>
      <w:r w:rsidRPr="00C50E46">
        <w:rPr>
          <w:rStyle w:val="FootnoteReference"/>
          <w:rFonts w:ascii="Times New Roman" w:hAnsi="Times New Roman"/>
        </w:rPr>
        <w:footnoteRef/>
      </w:r>
      <w:r w:rsidRPr="00C50E46">
        <w:rPr>
          <w:rFonts w:ascii="Times New Roman" w:hAnsi="Times New Roman"/>
        </w:rPr>
        <w:t xml:space="preserve"> </w:t>
      </w:r>
      <w:r>
        <w:rPr>
          <w:rFonts w:ascii="Times New Roman" w:hAnsi="Times New Roman"/>
        </w:rPr>
        <w:t>Ibid., p.</w:t>
      </w:r>
      <w:r w:rsidRPr="00C50E46">
        <w:rPr>
          <w:rFonts w:ascii="Times New Roman" w:hAnsi="Times New Roman"/>
        </w:rPr>
        <w:t xml:space="preserve"> 7</w:t>
      </w:r>
      <w:r>
        <w:rPr>
          <w:rFonts w:ascii="Times New Roman" w:hAnsi="Times New Roman"/>
        </w:rPr>
        <w:t>,</w:t>
      </w:r>
      <w:r w:rsidRPr="00C50E46">
        <w:rPr>
          <w:rFonts w:ascii="Times New Roman" w:hAnsi="Times New Roman"/>
        </w:rPr>
        <w:t xml:space="preserve"> </w:t>
      </w:r>
      <w:r>
        <w:rPr>
          <w:rFonts w:ascii="Times New Roman" w:hAnsi="Times New Roman"/>
        </w:rPr>
        <w:t>p</w:t>
      </w:r>
      <w:r w:rsidRPr="00C50E46">
        <w:rPr>
          <w:rFonts w:ascii="Times New Roman" w:hAnsi="Times New Roman"/>
        </w:rPr>
        <w:t>g</w:t>
      </w:r>
      <w:r>
        <w:rPr>
          <w:rFonts w:ascii="Times New Roman" w:hAnsi="Times New Roman"/>
        </w:rPr>
        <w:t>.</w:t>
      </w:r>
      <w:r w:rsidRPr="00C50E46">
        <w:rPr>
          <w:rFonts w:ascii="Times New Roman" w:hAnsi="Times New Roman"/>
        </w:rPr>
        <w:t xml:space="preserve"> 1</w:t>
      </w:r>
      <w:r>
        <w:rPr>
          <w:rFonts w:ascii="Times New Roman" w:hAnsi="Times New Roman"/>
        </w:rPr>
        <w:t>.</w:t>
      </w:r>
    </w:p>
  </w:footnote>
  <w:footnote w:id="106">
    <w:p w:rsidR="003C5BB0" w:rsidRDefault="003C5BB0" w:rsidP="006C395C">
      <w:pPr>
        <w:pStyle w:val="FootnoteText"/>
        <w:contextualSpacing/>
      </w:pPr>
      <w:r w:rsidRPr="00C50E46">
        <w:rPr>
          <w:rStyle w:val="FootnoteReference"/>
          <w:rFonts w:ascii="Times New Roman" w:hAnsi="Times New Roman"/>
        </w:rPr>
        <w:footnoteRef/>
      </w:r>
      <w:r w:rsidRPr="00C50E46">
        <w:rPr>
          <w:rFonts w:ascii="Times New Roman" w:hAnsi="Times New Roman"/>
        </w:rPr>
        <w:t xml:space="preserve"> </w:t>
      </w:r>
      <w:r>
        <w:rPr>
          <w:rFonts w:ascii="Times New Roman" w:hAnsi="Times New Roman"/>
        </w:rPr>
        <w:t xml:space="preserve">A.N. </w:t>
      </w:r>
      <w:r w:rsidRPr="00C50E46">
        <w:rPr>
          <w:rFonts w:ascii="Times New Roman" w:hAnsi="Times New Roman"/>
        </w:rPr>
        <w:t>W 308,</w:t>
      </w:r>
      <w:r>
        <w:rPr>
          <w:rFonts w:ascii="Times New Roman" w:hAnsi="Times New Roman"/>
        </w:rPr>
        <w:t xml:space="preserve"> plaq.</w:t>
      </w:r>
      <w:r w:rsidRPr="00C50E46">
        <w:rPr>
          <w:rFonts w:ascii="Times New Roman" w:hAnsi="Times New Roman"/>
        </w:rPr>
        <w:t xml:space="preserve"> 402</w:t>
      </w:r>
      <w:r>
        <w:rPr>
          <w:rFonts w:ascii="Times New Roman" w:hAnsi="Times New Roman"/>
        </w:rPr>
        <w:t>.</w:t>
      </w:r>
    </w:p>
  </w:footnote>
  <w:footnote w:id="107">
    <w:p w:rsidR="003C5BB0" w:rsidRDefault="003C5BB0" w:rsidP="006C395C">
      <w:pPr>
        <w:pStyle w:val="FootnoteText"/>
        <w:contextualSpacing/>
      </w:pPr>
      <w:r w:rsidRPr="00C50E46">
        <w:rPr>
          <w:rStyle w:val="FootnoteReference"/>
          <w:rFonts w:ascii="Times New Roman" w:hAnsi="Times New Roman"/>
        </w:rPr>
        <w:footnoteRef/>
      </w:r>
      <w:r w:rsidRPr="00C50E46">
        <w:rPr>
          <w:rFonts w:ascii="Times New Roman" w:hAnsi="Times New Roman"/>
        </w:rPr>
        <w:t xml:space="preserve"> </w:t>
      </w:r>
      <w:r>
        <w:rPr>
          <w:rFonts w:ascii="Times New Roman" w:hAnsi="Times New Roman"/>
        </w:rPr>
        <w:t xml:space="preserve">Ibid., p. </w:t>
      </w:r>
      <w:r w:rsidRPr="00C50E46">
        <w:rPr>
          <w:rFonts w:ascii="Times New Roman" w:hAnsi="Times New Roman"/>
        </w:rPr>
        <w:t>13</w:t>
      </w:r>
      <w:r>
        <w:rPr>
          <w:rFonts w:ascii="Times New Roman" w:hAnsi="Times New Roman"/>
        </w:rPr>
        <w:t>,</w:t>
      </w:r>
      <w:r w:rsidRPr="00C50E46">
        <w:rPr>
          <w:rFonts w:ascii="Times New Roman" w:hAnsi="Times New Roman"/>
        </w:rPr>
        <w:t xml:space="preserve"> pg</w:t>
      </w:r>
      <w:r>
        <w:rPr>
          <w:rFonts w:ascii="Times New Roman" w:hAnsi="Times New Roman"/>
        </w:rPr>
        <w:t>.</w:t>
      </w:r>
      <w:r w:rsidRPr="00C50E46">
        <w:rPr>
          <w:rFonts w:ascii="Times New Roman" w:hAnsi="Times New Roman"/>
        </w:rPr>
        <w:t xml:space="preserve"> 1</w:t>
      </w:r>
      <w:r>
        <w:rPr>
          <w:rFonts w:ascii="Times New Roman" w:hAnsi="Times New Roman"/>
        </w:rPr>
        <w:t>.</w:t>
      </w:r>
    </w:p>
  </w:footnote>
  <w:footnote w:id="108">
    <w:p w:rsidR="003C5BB0" w:rsidRDefault="003C5BB0" w:rsidP="006C395C">
      <w:pPr>
        <w:pStyle w:val="FootnoteText"/>
        <w:contextualSpacing/>
      </w:pPr>
      <w:r w:rsidRPr="00C50E46">
        <w:rPr>
          <w:rStyle w:val="FootnoteReference"/>
          <w:rFonts w:ascii="Times New Roman" w:hAnsi="Times New Roman"/>
        </w:rPr>
        <w:footnoteRef/>
      </w:r>
      <w:r w:rsidRPr="00C50E46">
        <w:rPr>
          <w:rFonts w:ascii="Times New Roman" w:hAnsi="Times New Roman"/>
        </w:rPr>
        <w:t xml:space="preserve"> </w:t>
      </w:r>
      <w:r>
        <w:rPr>
          <w:rFonts w:ascii="Times New Roman" w:hAnsi="Times New Roman"/>
        </w:rPr>
        <w:t>Ibid., p.</w:t>
      </w:r>
      <w:r w:rsidRPr="00C50E46">
        <w:rPr>
          <w:rFonts w:ascii="Times New Roman" w:hAnsi="Times New Roman"/>
        </w:rPr>
        <w:t xml:space="preserve"> 27</w:t>
      </w:r>
      <w:r>
        <w:rPr>
          <w:rFonts w:ascii="Times New Roman" w:hAnsi="Times New Roman"/>
        </w:rPr>
        <w:t>,</w:t>
      </w:r>
      <w:r w:rsidRPr="00C50E46">
        <w:rPr>
          <w:rFonts w:ascii="Times New Roman" w:hAnsi="Times New Roman"/>
        </w:rPr>
        <w:t xml:space="preserve"> pg</w:t>
      </w:r>
      <w:r>
        <w:rPr>
          <w:rFonts w:ascii="Times New Roman" w:hAnsi="Times New Roman"/>
        </w:rPr>
        <w:t>.</w:t>
      </w:r>
      <w:r w:rsidRPr="00C50E46">
        <w:rPr>
          <w:rFonts w:ascii="Times New Roman" w:hAnsi="Times New Roman"/>
        </w:rPr>
        <w:t xml:space="preserve"> 1</w:t>
      </w:r>
      <w:r>
        <w:rPr>
          <w:rFonts w:ascii="Times New Roman" w:hAnsi="Times New Roman"/>
        </w:rPr>
        <w:t>.</w:t>
      </w:r>
    </w:p>
  </w:footnote>
  <w:footnote w:id="109">
    <w:p w:rsidR="003C5BB0" w:rsidRDefault="003C5BB0" w:rsidP="006C395C">
      <w:pPr>
        <w:pStyle w:val="FootnoteText"/>
        <w:contextualSpacing/>
      </w:pPr>
      <w:r w:rsidRPr="00C50E46">
        <w:rPr>
          <w:rStyle w:val="FootnoteReference"/>
          <w:rFonts w:ascii="Times New Roman" w:hAnsi="Times New Roman"/>
        </w:rPr>
        <w:footnoteRef/>
      </w:r>
      <w:r w:rsidRPr="00C50E46">
        <w:rPr>
          <w:rFonts w:ascii="Times New Roman" w:hAnsi="Times New Roman"/>
        </w:rPr>
        <w:t xml:space="preserve"> </w:t>
      </w:r>
      <w:r>
        <w:rPr>
          <w:rFonts w:ascii="Times New Roman" w:hAnsi="Times New Roman"/>
        </w:rPr>
        <w:t>Ibid., p.</w:t>
      </w:r>
      <w:r w:rsidRPr="00C50E46">
        <w:rPr>
          <w:rFonts w:ascii="Times New Roman" w:hAnsi="Times New Roman"/>
        </w:rPr>
        <w:t xml:space="preserve"> 35</w:t>
      </w:r>
      <w:r>
        <w:rPr>
          <w:rFonts w:ascii="Times New Roman" w:hAnsi="Times New Roman"/>
        </w:rPr>
        <w:t>,</w:t>
      </w:r>
      <w:r w:rsidRPr="00C50E46">
        <w:rPr>
          <w:rFonts w:ascii="Times New Roman" w:hAnsi="Times New Roman"/>
        </w:rPr>
        <w:t xml:space="preserve"> pg</w:t>
      </w:r>
      <w:r>
        <w:rPr>
          <w:rFonts w:ascii="Times New Roman" w:hAnsi="Times New Roman"/>
        </w:rPr>
        <w:t>.</w:t>
      </w:r>
      <w:r w:rsidRPr="00C50E46">
        <w:rPr>
          <w:rFonts w:ascii="Times New Roman" w:hAnsi="Times New Roman"/>
        </w:rPr>
        <w:t xml:space="preserve"> 1</w:t>
      </w:r>
      <w:r>
        <w:rPr>
          <w:rFonts w:ascii="Times New Roman" w:hAnsi="Times New Roman"/>
        </w:rPr>
        <w:t>.</w:t>
      </w:r>
    </w:p>
  </w:footnote>
  <w:footnote w:id="110">
    <w:p w:rsidR="003C5BB0" w:rsidRDefault="003C5BB0" w:rsidP="006C395C">
      <w:pPr>
        <w:pStyle w:val="FootnoteText"/>
        <w:contextualSpacing/>
      </w:pPr>
      <w:r w:rsidRPr="00C50E46">
        <w:rPr>
          <w:rStyle w:val="FootnoteReference"/>
          <w:rFonts w:ascii="Times New Roman" w:hAnsi="Times New Roman"/>
        </w:rPr>
        <w:footnoteRef/>
      </w:r>
      <w:r w:rsidRPr="00C50E46">
        <w:rPr>
          <w:rFonts w:ascii="Times New Roman" w:hAnsi="Times New Roman"/>
        </w:rPr>
        <w:t xml:space="preserve"> </w:t>
      </w:r>
      <w:r>
        <w:rPr>
          <w:rFonts w:ascii="Times New Roman" w:hAnsi="Times New Roman"/>
        </w:rPr>
        <w:t>Ibid., p.</w:t>
      </w:r>
      <w:r w:rsidRPr="00C50E46">
        <w:rPr>
          <w:rFonts w:ascii="Times New Roman" w:hAnsi="Times New Roman"/>
        </w:rPr>
        <w:t xml:space="preserve"> 36</w:t>
      </w:r>
      <w:r>
        <w:rPr>
          <w:rFonts w:ascii="Times New Roman" w:hAnsi="Times New Roman"/>
        </w:rPr>
        <w:t>,</w:t>
      </w:r>
      <w:r w:rsidRPr="00C50E46">
        <w:rPr>
          <w:rFonts w:ascii="Times New Roman" w:hAnsi="Times New Roman"/>
        </w:rPr>
        <w:t xml:space="preserve"> pg</w:t>
      </w:r>
      <w:r>
        <w:rPr>
          <w:rFonts w:ascii="Times New Roman" w:hAnsi="Times New Roman"/>
        </w:rPr>
        <w:t>.</w:t>
      </w:r>
      <w:r w:rsidRPr="00C50E46">
        <w:rPr>
          <w:rFonts w:ascii="Times New Roman" w:hAnsi="Times New Roman"/>
        </w:rPr>
        <w:t xml:space="preserve"> 1</w:t>
      </w:r>
      <w:r>
        <w:rPr>
          <w:rFonts w:ascii="Times New Roman" w:hAnsi="Times New Roman"/>
        </w:rPr>
        <w:t>.</w:t>
      </w:r>
    </w:p>
  </w:footnote>
  <w:footnote w:id="111">
    <w:p w:rsidR="003C5BB0" w:rsidRDefault="003C5BB0" w:rsidP="006C395C">
      <w:pPr>
        <w:pStyle w:val="FootnoteText"/>
        <w:contextualSpacing/>
      </w:pPr>
      <w:r w:rsidRPr="00C50E46">
        <w:rPr>
          <w:rStyle w:val="FootnoteReference"/>
          <w:rFonts w:ascii="Times New Roman" w:hAnsi="Times New Roman"/>
        </w:rPr>
        <w:footnoteRef/>
      </w:r>
      <w:r w:rsidRPr="00C50E46">
        <w:rPr>
          <w:rFonts w:ascii="Times New Roman" w:hAnsi="Times New Roman"/>
        </w:rPr>
        <w:t xml:space="preserve"> The </w:t>
      </w:r>
      <w:r w:rsidR="00AD0377" w:rsidRPr="00C50E46">
        <w:rPr>
          <w:rFonts w:ascii="Times New Roman" w:hAnsi="Times New Roman"/>
        </w:rPr>
        <w:t>Maximum</w:t>
      </w:r>
      <w:r w:rsidRPr="00C50E46">
        <w:rPr>
          <w:rFonts w:ascii="Times New Roman" w:hAnsi="Times New Roman"/>
        </w:rPr>
        <w:t xml:space="preserve"> Price Act or </w:t>
      </w:r>
      <w:r w:rsidRPr="00C50E46">
        <w:rPr>
          <w:rFonts w:ascii="Times New Roman" w:hAnsi="Times New Roman"/>
          <w:i/>
        </w:rPr>
        <w:t xml:space="preserve">loi du maximum général </w:t>
      </w:r>
      <w:r w:rsidRPr="00C50E46">
        <w:rPr>
          <w:rFonts w:ascii="Times New Roman" w:hAnsi="Times New Roman"/>
        </w:rPr>
        <w:t>was passed by the National Convention in September 1793. In a time of great inflation and the devaluation of paper money, the law established a maximum price on many necessities and blocked the increase of wages. The law is generally accepted to have had the opposite effect, resulting in hoarding and wild speculation.</w:t>
      </w:r>
    </w:p>
  </w:footnote>
  <w:footnote w:id="112">
    <w:p w:rsidR="003C5BB0" w:rsidRDefault="003C5BB0" w:rsidP="006C395C">
      <w:pPr>
        <w:pStyle w:val="FootnoteText"/>
        <w:contextualSpacing/>
      </w:pPr>
      <w:r w:rsidRPr="00C50E46">
        <w:rPr>
          <w:rStyle w:val="FootnoteReference"/>
          <w:rFonts w:ascii="Times New Roman" w:hAnsi="Times New Roman"/>
        </w:rPr>
        <w:footnoteRef/>
      </w:r>
      <w:r w:rsidRPr="00C50E46">
        <w:rPr>
          <w:rFonts w:ascii="Times New Roman" w:hAnsi="Times New Roman"/>
        </w:rPr>
        <w:t xml:space="preserve"> </w:t>
      </w:r>
      <w:r>
        <w:rPr>
          <w:rFonts w:ascii="Times New Roman" w:hAnsi="Times New Roman"/>
        </w:rPr>
        <w:t xml:space="preserve">A.N. </w:t>
      </w:r>
      <w:r w:rsidRPr="00C50E46">
        <w:rPr>
          <w:rFonts w:ascii="Times New Roman" w:hAnsi="Times New Roman"/>
        </w:rPr>
        <w:t>W 362,</w:t>
      </w:r>
      <w:r>
        <w:rPr>
          <w:rFonts w:ascii="Times New Roman" w:hAnsi="Times New Roman"/>
        </w:rPr>
        <w:t xml:space="preserve"> plaq.</w:t>
      </w:r>
      <w:r w:rsidRPr="00C50E46">
        <w:rPr>
          <w:rFonts w:ascii="Times New Roman" w:hAnsi="Times New Roman"/>
        </w:rPr>
        <w:t xml:space="preserve"> 774</w:t>
      </w:r>
      <w:r>
        <w:rPr>
          <w:rFonts w:ascii="Times New Roman" w:hAnsi="Times New Roman"/>
        </w:rPr>
        <w:t>.</w:t>
      </w:r>
      <w:r w:rsidRPr="00C50E46">
        <w:rPr>
          <w:rFonts w:ascii="Times New Roman" w:hAnsi="Times New Roman"/>
        </w:rPr>
        <w:t xml:space="preserve"> </w:t>
      </w:r>
    </w:p>
  </w:footnote>
  <w:footnote w:id="113">
    <w:p w:rsidR="003C5BB0" w:rsidRDefault="003C5BB0" w:rsidP="006C395C">
      <w:pPr>
        <w:pStyle w:val="FootnoteText"/>
        <w:contextualSpacing/>
      </w:pPr>
      <w:r w:rsidRPr="00C50E46">
        <w:rPr>
          <w:rStyle w:val="FootnoteReference"/>
          <w:rFonts w:ascii="Times New Roman" w:hAnsi="Times New Roman"/>
        </w:rPr>
        <w:footnoteRef/>
      </w:r>
      <w:r w:rsidRPr="00C50E46">
        <w:rPr>
          <w:rFonts w:ascii="Times New Roman" w:hAnsi="Times New Roman"/>
        </w:rPr>
        <w:t xml:space="preserve"> </w:t>
      </w:r>
      <w:r>
        <w:rPr>
          <w:rFonts w:ascii="Times New Roman" w:hAnsi="Times New Roman"/>
        </w:rPr>
        <w:t>Ibid., p.</w:t>
      </w:r>
      <w:r w:rsidRPr="00C50E46">
        <w:rPr>
          <w:rFonts w:ascii="Times New Roman" w:hAnsi="Times New Roman"/>
        </w:rPr>
        <w:t xml:space="preserve"> 21, pg</w:t>
      </w:r>
      <w:r>
        <w:rPr>
          <w:rFonts w:ascii="Times New Roman" w:hAnsi="Times New Roman"/>
        </w:rPr>
        <w:t>.</w:t>
      </w:r>
      <w:r w:rsidRPr="00C50E46">
        <w:rPr>
          <w:rFonts w:ascii="Times New Roman" w:hAnsi="Times New Roman"/>
        </w:rPr>
        <w:t xml:space="preserve"> 1-2</w:t>
      </w:r>
      <w:r>
        <w:rPr>
          <w:rFonts w:ascii="Times New Roman" w:hAnsi="Times New Roman"/>
        </w:rPr>
        <w:t>.</w:t>
      </w:r>
    </w:p>
  </w:footnote>
  <w:footnote w:id="114">
    <w:p w:rsidR="003C5BB0" w:rsidRDefault="003C5BB0" w:rsidP="006C395C">
      <w:pPr>
        <w:pStyle w:val="FootnoteText"/>
        <w:contextualSpacing/>
      </w:pPr>
      <w:r w:rsidRPr="00C50E46">
        <w:rPr>
          <w:rStyle w:val="FootnoteReference"/>
          <w:rFonts w:ascii="Times New Roman" w:hAnsi="Times New Roman"/>
        </w:rPr>
        <w:footnoteRef/>
      </w:r>
      <w:r w:rsidRPr="00C50E46">
        <w:rPr>
          <w:rFonts w:ascii="Times New Roman" w:hAnsi="Times New Roman"/>
        </w:rPr>
        <w:t xml:space="preserve"> By a fortunate coincidence, the trial of </w:t>
      </w:r>
      <w:r w:rsidRPr="00C50E46">
        <w:rPr>
          <w:rFonts w:ascii="Times New Roman" w:hAnsi="Times New Roman" w:cs="Bookman Old Style"/>
          <w:color w:val="000000"/>
          <w:szCs w:val="20"/>
        </w:rPr>
        <w:t>Élisabeth Brochant, veuve Lechanteur, (</w:t>
      </w:r>
      <w:r>
        <w:rPr>
          <w:rFonts w:ascii="Times New Roman" w:hAnsi="Times New Roman" w:cs="Bookman Old Style"/>
          <w:color w:val="000000"/>
          <w:szCs w:val="20"/>
        </w:rPr>
        <w:t xml:space="preserve">A.N. </w:t>
      </w:r>
      <w:r w:rsidRPr="00C50E46">
        <w:rPr>
          <w:rFonts w:ascii="Times New Roman" w:hAnsi="Times New Roman"/>
        </w:rPr>
        <w:t xml:space="preserve">W 366, </w:t>
      </w:r>
      <w:r>
        <w:rPr>
          <w:rFonts w:ascii="Times New Roman" w:hAnsi="Times New Roman"/>
        </w:rPr>
        <w:t xml:space="preserve">plaq. </w:t>
      </w:r>
      <w:r w:rsidRPr="00C50E46">
        <w:rPr>
          <w:rFonts w:ascii="Times New Roman" w:hAnsi="Times New Roman"/>
        </w:rPr>
        <w:t xml:space="preserve">816, 1er partie) contains a small note obviously unintended for inclusion in the trial dossier which partially justifies the Tribunal’s decision in the case. These are the only two instances I found where the Tribunal directly or even indirectly comments on its decision making process within the trial record itself. However, the </w:t>
      </w:r>
      <w:r w:rsidRPr="00C50E46">
        <w:rPr>
          <w:rFonts w:ascii="Times New Roman" w:hAnsi="Times New Roman"/>
          <w:i/>
        </w:rPr>
        <w:t>Bulletin du Tribunal Révolutionnaire</w:t>
      </w:r>
      <w:r w:rsidRPr="00C50E46">
        <w:rPr>
          <w:rFonts w:ascii="Times New Roman" w:hAnsi="Times New Roman"/>
        </w:rPr>
        <w:t xml:space="preserve">, published (generically) by the Tribunal, did occasionally editorialize on the outcomes of the cases. Since the specific author of the </w:t>
      </w:r>
      <w:r w:rsidRPr="00C50E46">
        <w:rPr>
          <w:rFonts w:ascii="Times New Roman" w:hAnsi="Times New Roman"/>
          <w:i/>
        </w:rPr>
        <w:t>Bulletin</w:t>
      </w:r>
      <w:r w:rsidRPr="00C50E46">
        <w:rPr>
          <w:rFonts w:ascii="Times New Roman" w:hAnsi="Times New Roman"/>
        </w:rPr>
        <w:t xml:space="preserve"> is uncertain, this commentary cannot be assumed to represent the thought process of the Tribunal. </w:t>
      </w:r>
    </w:p>
  </w:footnote>
  <w:footnote w:id="115">
    <w:p w:rsidR="003C5BB0" w:rsidRDefault="003C5BB0" w:rsidP="006C395C">
      <w:pPr>
        <w:pStyle w:val="FootnoteText"/>
        <w:contextualSpacing/>
      </w:pPr>
      <w:r w:rsidRPr="00C50E46">
        <w:rPr>
          <w:rStyle w:val="FootnoteReference"/>
          <w:rFonts w:ascii="Times New Roman" w:hAnsi="Times New Roman"/>
        </w:rPr>
        <w:footnoteRef/>
      </w:r>
      <w:r w:rsidRPr="00C50E46">
        <w:rPr>
          <w:rFonts w:ascii="Times New Roman" w:hAnsi="Times New Roman"/>
        </w:rPr>
        <w:t xml:space="preserve"> </w:t>
      </w:r>
      <w:r>
        <w:rPr>
          <w:rFonts w:ascii="Times New Roman" w:hAnsi="Times New Roman"/>
        </w:rPr>
        <w:t xml:space="preserve">A.N. </w:t>
      </w:r>
      <w:r w:rsidRPr="00C50E46">
        <w:rPr>
          <w:rFonts w:ascii="Times New Roman" w:hAnsi="Times New Roman"/>
        </w:rPr>
        <w:t>W 362,</w:t>
      </w:r>
      <w:r>
        <w:rPr>
          <w:rFonts w:ascii="Times New Roman" w:hAnsi="Times New Roman"/>
        </w:rPr>
        <w:t xml:space="preserve"> plaq.</w:t>
      </w:r>
      <w:r w:rsidRPr="00C50E46">
        <w:rPr>
          <w:rFonts w:ascii="Times New Roman" w:hAnsi="Times New Roman"/>
        </w:rPr>
        <w:t xml:space="preserve"> 774</w:t>
      </w:r>
      <w:r>
        <w:rPr>
          <w:rFonts w:ascii="Times New Roman" w:hAnsi="Times New Roman"/>
        </w:rPr>
        <w:t>, p.</w:t>
      </w:r>
      <w:r w:rsidRPr="00C50E46">
        <w:rPr>
          <w:rFonts w:ascii="Times New Roman" w:hAnsi="Times New Roman"/>
        </w:rPr>
        <w:t xml:space="preserve"> 26</w:t>
      </w:r>
      <w:r>
        <w:rPr>
          <w:rFonts w:ascii="Times New Roman" w:hAnsi="Times New Roman"/>
        </w:rPr>
        <w:t>.</w:t>
      </w:r>
    </w:p>
  </w:footnote>
  <w:footnote w:id="116">
    <w:p w:rsidR="003C5BB0" w:rsidRDefault="003C5BB0" w:rsidP="006C395C">
      <w:pPr>
        <w:pStyle w:val="FootnoteText"/>
        <w:contextualSpacing/>
      </w:pPr>
      <w:r w:rsidRPr="00C50E46">
        <w:rPr>
          <w:rStyle w:val="FootnoteReference"/>
          <w:rFonts w:ascii="Times New Roman" w:hAnsi="Times New Roman"/>
        </w:rPr>
        <w:footnoteRef/>
      </w:r>
      <w:r w:rsidRPr="00C50E46">
        <w:rPr>
          <w:rFonts w:ascii="Times New Roman" w:hAnsi="Times New Roman"/>
        </w:rPr>
        <w:t xml:space="preserve"> Judging by the dates given in her </w:t>
      </w:r>
      <w:r w:rsidR="00AD0377">
        <w:rPr>
          <w:rFonts w:ascii="Times New Roman" w:hAnsi="Times New Roman"/>
          <w:i/>
        </w:rPr>
        <w:t>Acte d’A</w:t>
      </w:r>
      <w:r w:rsidRPr="00A47283">
        <w:rPr>
          <w:rFonts w:ascii="Times New Roman" w:hAnsi="Times New Roman"/>
          <w:i/>
        </w:rPr>
        <w:t>ccusation</w:t>
      </w:r>
      <w:r w:rsidRPr="00C50E46">
        <w:rPr>
          <w:rFonts w:ascii="Times New Roman" w:hAnsi="Times New Roman"/>
        </w:rPr>
        <w:t xml:space="preserve"> and her husband’s letter of defense which gave the age of their son as five weeks, it can be determined that femme Gallet purportedly committed her crime during approximately the 32</w:t>
      </w:r>
      <w:r w:rsidRPr="00C50E46">
        <w:rPr>
          <w:rFonts w:ascii="Times New Roman" w:hAnsi="Times New Roman"/>
          <w:vertAlign w:val="superscript"/>
        </w:rPr>
        <w:t>nd</w:t>
      </w:r>
      <w:r w:rsidRPr="00C50E46">
        <w:rPr>
          <w:rFonts w:ascii="Times New Roman" w:hAnsi="Times New Roman"/>
        </w:rPr>
        <w:t xml:space="preserve"> week of pregnancy (assuming a </w:t>
      </w:r>
      <w:r w:rsidR="00AD0377" w:rsidRPr="00C50E46">
        <w:rPr>
          <w:rFonts w:ascii="Times New Roman" w:hAnsi="Times New Roman"/>
        </w:rPr>
        <w:t>full term</w:t>
      </w:r>
      <w:r w:rsidRPr="00C50E46">
        <w:rPr>
          <w:rFonts w:ascii="Times New Roman" w:hAnsi="Times New Roman"/>
        </w:rPr>
        <w:t xml:space="preserve"> birth).</w:t>
      </w:r>
    </w:p>
  </w:footnote>
  <w:footnote w:id="117">
    <w:p w:rsidR="003C5BB0" w:rsidRDefault="003C5BB0" w:rsidP="006C395C">
      <w:pPr>
        <w:pStyle w:val="FootnoteText"/>
        <w:contextualSpacing/>
      </w:pPr>
      <w:r w:rsidRPr="00C50E46">
        <w:rPr>
          <w:rStyle w:val="FootnoteReference"/>
          <w:rFonts w:ascii="Times New Roman" w:hAnsi="Times New Roman"/>
        </w:rPr>
        <w:footnoteRef/>
      </w:r>
      <w:r w:rsidRPr="00C50E46">
        <w:rPr>
          <w:rFonts w:ascii="Times New Roman" w:hAnsi="Times New Roman"/>
        </w:rPr>
        <w:t xml:space="preserve"> Approximately 2 weeks passed between the date citoyen </w:t>
      </w:r>
      <w:r w:rsidRPr="00C50E46">
        <w:rPr>
          <w:rFonts w:ascii="Times New Roman" w:hAnsi="Times New Roman" w:cs="Bookman Old Style"/>
          <w:color w:val="000000"/>
          <w:szCs w:val="20"/>
        </w:rPr>
        <w:t xml:space="preserve">Boudot signed his letter and the date the Tribunal acquitted femme Gallet. </w:t>
      </w:r>
    </w:p>
  </w:footnote>
  <w:footnote w:id="118">
    <w:p w:rsidR="003C5BB0" w:rsidRDefault="003C5BB0" w:rsidP="006C395C">
      <w:pPr>
        <w:pStyle w:val="FootnoteText"/>
        <w:contextualSpacing/>
      </w:pPr>
      <w:r w:rsidRPr="00C50E46">
        <w:rPr>
          <w:rStyle w:val="FootnoteReference"/>
          <w:rFonts w:ascii="Times New Roman" w:hAnsi="Times New Roman"/>
        </w:rPr>
        <w:footnoteRef/>
      </w:r>
      <w:r w:rsidRPr="00C50E46">
        <w:rPr>
          <w:rFonts w:ascii="Times New Roman" w:hAnsi="Times New Roman"/>
        </w:rPr>
        <w:t xml:space="preserve"> </w:t>
      </w:r>
      <w:r>
        <w:rPr>
          <w:rFonts w:ascii="Times New Roman" w:hAnsi="Times New Roman"/>
        </w:rPr>
        <w:t xml:space="preserve">A.N. </w:t>
      </w:r>
      <w:r w:rsidRPr="00C50E46">
        <w:rPr>
          <w:rFonts w:ascii="Times New Roman" w:hAnsi="Times New Roman"/>
        </w:rPr>
        <w:t>W 366,</w:t>
      </w:r>
      <w:r>
        <w:rPr>
          <w:rFonts w:ascii="Times New Roman" w:hAnsi="Times New Roman"/>
        </w:rPr>
        <w:t xml:space="preserve"> plaq.</w:t>
      </w:r>
      <w:r w:rsidRPr="00C50E46">
        <w:rPr>
          <w:rFonts w:ascii="Times New Roman" w:hAnsi="Times New Roman"/>
        </w:rPr>
        <w:t xml:space="preserve"> 816, 1er partie</w:t>
      </w:r>
      <w:r>
        <w:rPr>
          <w:rFonts w:ascii="Times New Roman" w:hAnsi="Times New Roman"/>
        </w:rPr>
        <w:t>.</w:t>
      </w:r>
    </w:p>
  </w:footnote>
  <w:footnote w:id="119">
    <w:p w:rsidR="003C5BB0" w:rsidRDefault="003C5BB0" w:rsidP="006C395C">
      <w:pPr>
        <w:pStyle w:val="FootnoteText"/>
        <w:contextualSpacing/>
      </w:pPr>
      <w:r w:rsidRPr="00C50E46">
        <w:rPr>
          <w:rStyle w:val="FootnoteReference"/>
          <w:rFonts w:ascii="Times New Roman" w:hAnsi="Times New Roman"/>
        </w:rPr>
        <w:footnoteRef/>
      </w:r>
      <w:r w:rsidRPr="00C50E46">
        <w:rPr>
          <w:rFonts w:ascii="Times New Roman" w:hAnsi="Times New Roman"/>
        </w:rPr>
        <w:t xml:space="preserve"> </w:t>
      </w:r>
      <w:r>
        <w:rPr>
          <w:rFonts w:ascii="Times New Roman" w:hAnsi="Times New Roman"/>
        </w:rPr>
        <w:t>Ibid., p.</w:t>
      </w:r>
      <w:r w:rsidRPr="00C50E46">
        <w:rPr>
          <w:rFonts w:ascii="Times New Roman" w:hAnsi="Times New Roman"/>
        </w:rPr>
        <w:t xml:space="preserve"> 81</w:t>
      </w:r>
      <w:r>
        <w:rPr>
          <w:rFonts w:ascii="Times New Roman" w:hAnsi="Times New Roman"/>
        </w:rPr>
        <w:t>,</w:t>
      </w:r>
      <w:r w:rsidRPr="00C50E46">
        <w:rPr>
          <w:rFonts w:ascii="Times New Roman" w:hAnsi="Times New Roman"/>
        </w:rPr>
        <w:t xml:space="preserve"> pg</w:t>
      </w:r>
      <w:r>
        <w:rPr>
          <w:rFonts w:ascii="Times New Roman" w:hAnsi="Times New Roman"/>
        </w:rPr>
        <w:t>.</w:t>
      </w:r>
      <w:r w:rsidRPr="00C50E46">
        <w:rPr>
          <w:rFonts w:ascii="Times New Roman" w:hAnsi="Times New Roman"/>
        </w:rPr>
        <w:t xml:space="preserve"> 1</w:t>
      </w:r>
      <w:r>
        <w:rPr>
          <w:rFonts w:ascii="Times New Roman" w:hAnsi="Times New Roman"/>
        </w:rPr>
        <w:t>.</w:t>
      </w:r>
    </w:p>
  </w:footnote>
  <w:footnote w:id="120">
    <w:p w:rsidR="003C5BB0" w:rsidRDefault="003C5BB0" w:rsidP="006C395C">
      <w:pPr>
        <w:pStyle w:val="FootnoteText"/>
        <w:contextualSpacing/>
      </w:pPr>
      <w:r w:rsidRPr="00C50E46">
        <w:rPr>
          <w:rStyle w:val="FootnoteReference"/>
          <w:rFonts w:ascii="Times New Roman" w:hAnsi="Times New Roman"/>
        </w:rPr>
        <w:footnoteRef/>
      </w:r>
      <w:r w:rsidRPr="00C50E46">
        <w:rPr>
          <w:rFonts w:ascii="Times New Roman" w:hAnsi="Times New Roman"/>
        </w:rPr>
        <w:t xml:space="preserve"> </w:t>
      </w:r>
      <w:r>
        <w:rPr>
          <w:rFonts w:ascii="Times New Roman" w:hAnsi="Times New Roman"/>
        </w:rPr>
        <w:t>Ibid.</w:t>
      </w:r>
      <w:r w:rsidRPr="00C50E46">
        <w:rPr>
          <w:rFonts w:ascii="Times New Roman" w:hAnsi="Times New Roman"/>
        </w:rPr>
        <w:t>,</w:t>
      </w:r>
      <w:r>
        <w:rPr>
          <w:rFonts w:ascii="Times New Roman" w:hAnsi="Times New Roman"/>
        </w:rPr>
        <w:t xml:space="preserve"> p.</w:t>
      </w:r>
      <w:r w:rsidRPr="00C50E46">
        <w:rPr>
          <w:rFonts w:ascii="Times New Roman" w:hAnsi="Times New Roman"/>
        </w:rPr>
        <w:t xml:space="preserve"> 69</w:t>
      </w:r>
      <w:r>
        <w:rPr>
          <w:rFonts w:ascii="Times New Roman" w:hAnsi="Times New Roman"/>
        </w:rPr>
        <w:t>.</w:t>
      </w:r>
    </w:p>
  </w:footnote>
  <w:footnote w:id="121">
    <w:p w:rsidR="003C5BB0" w:rsidRDefault="003C5BB0" w:rsidP="006C395C">
      <w:pPr>
        <w:pStyle w:val="FootnoteText"/>
        <w:contextualSpacing/>
      </w:pPr>
      <w:r w:rsidRPr="00C50E46">
        <w:rPr>
          <w:rStyle w:val="FootnoteReference"/>
          <w:rFonts w:ascii="Times New Roman" w:hAnsi="Times New Roman"/>
        </w:rPr>
        <w:footnoteRef/>
      </w:r>
      <w:r w:rsidRPr="00C50E46">
        <w:rPr>
          <w:rFonts w:ascii="Times New Roman" w:hAnsi="Times New Roman"/>
        </w:rPr>
        <w:t xml:space="preserve"> </w:t>
      </w:r>
      <w:r>
        <w:rPr>
          <w:rFonts w:ascii="Times New Roman" w:hAnsi="Times New Roman"/>
        </w:rPr>
        <w:t>Ibid., p.</w:t>
      </w:r>
      <w:r w:rsidRPr="00C50E46">
        <w:rPr>
          <w:rFonts w:ascii="Times New Roman" w:hAnsi="Times New Roman"/>
        </w:rPr>
        <w:t xml:space="preserve"> 78, 79, and 80</w:t>
      </w:r>
      <w:r>
        <w:rPr>
          <w:rFonts w:ascii="Times New Roman" w:hAnsi="Times New Roman"/>
        </w:rPr>
        <w:t>.</w:t>
      </w:r>
    </w:p>
  </w:footnote>
  <w:footnote w:id="122">
    <w:p w:rsidR="003C5BB0" w:rsidRDefault="003C5BB0" w:rsidP="006C395C">
      <w:pPr>
        <w:pStyle w:val="FootnoteText"/>
        <w:contextualSpacing/>
      </w:pPr>
      <w:r w:rsidRPr="00C50E46">
        <w:rPr>
          <w:rStyle w:val="FootnoteReference"/>
          <w:rFonts w:ascii="Times New Roman" w:hAnsi="Times New Roman"/>
        </w:rPr>
        <w:footnoteRef/>
      </w:r>
      <w:r w:rsidRPr="00C50E46">
        <w:rPr>
          <w:rFonts w:ascii="Times New Roman" w:hAnsi="Times New Roman"/>
        </w:rPr>
        <w:t xml:space="preserve"> </w:t>
      </w:r>
      <w:r>
        <w:rPr>
          <w:rFonts w:ascii="Times New Roman" w:hAnsi="Times New Roman"/>
        </w:rPr>
        <w:t xml:space="preserve">Ibid., p. </w:t>
      </w:r>
      <w:r w:rsidRPr="00C50E46">
        <w:rPr>
          <w:rFonts w:ascii="Times New Roman" w:hAnsi="Times New Roman"/>
        </w:rPr>
        <w:t>83</w:t>
      </w:r>
      <w:r>
        <w:rPr>
          <w:rFonts w:ascii="Times New Roman" w:hAnsi="Times New Roman"/>
        </w:rPr>
        <w:t>,</w:t>
      </w:r>
      <w:r w:rsidRPr="00C50E46">
        <w:rPr>
          <w:rFonts w:ascii="Times New Roman" w:hAnsi="Times New Roman"/>
        </w:rPr>
        <w:t xml:space="preserve"> pg</w:t>
      </w:r>
      <w:r>
        <w:rPr>
          <w:rFonts w:ascii="Times New Roman" w:hAnsi="Times New Roman"/>
        </w:rPr>
        <w:t>.</w:t>
      </w:r>
      <w:r w:rsidRPr="00C50E46">
        <w:rPr>
          <w:rFonts w:ascii="Times New Roman" w:hAnsi="Times New Roman"/>
        </w:rPr>
        <w:t xml:space="preserve"> 1-2</w:t>
      </w:r>
      <w:r>
        <w:rPr>
          <w:rFonts w:ascii="Times New Roman" w:hAnsi="Times New Roman"/>
        </w:rPr>
        <w:t>.</w:t>
      </w:r>
    </w:p>
  </w:footnote>
  <w:footnote w:id="123">
    <w:p w:rsidR="003C5BB0" w:rsidRDefault="003C5BB0" w:rsidP="006C395C">
      <w:pPr>
        <w:pStyle w:val="FootnoteText"/>
        <w:contextualSpacing/>
      </w:pPr>
      <w:r w:rsidRPr="00C50E46">
        <w:rPr>
          <w:rStyle w:val="FootnoteReference"/>
          <w:rFonts w:ascii="Times New Roman" w:hAnsi="Times New Roman"/>
        </w:rPr>
        <w:footnoteRef/>
      </w:r>
      <w:r w:rsidRPr="00C50E46">
        <w:rPr>
          <w:rFonts w:ascii="Times New Roman" w:hAnsi="Times New Roman"/>
        </w:rPr>
        <w:t xml:space="preserve"> </w:t>
      </w:r>
      <w:r>
        <w:rPr>
          <w:rFonts w:ascii="Times New Roman" w:hAnsi="Times New Roman"/>
        </w:rPr>
        <w:t>Ibid.,</w:t>
      </w:r>
      <w:r w:rsidRPr="00C50E46">
        <w:rPr>
          <w:rFonts w:ascii="Times New Roman" w:hAnsi="Times New Roman"/>
        </w:rPr>
        <w:t xml:space="preserve"> pg</w:t>
      </w:r>
      <w:r>
        <w:rPr>
          <w:rFonts w:ascii="Times New Roman" w:hAnsi="Times New Roman"/>
        </w:rPr>
        <w:t>.</w:t>
      </w:r>
      <w:r w:rsidRPr="00C50E46">
        <w:rPr>
          <w:rFonts w:ascii="Times New Roman" w:hAnsi="Times New Roman"/>
        </w:rPr>
        <w:t xml:space="preserve"> 1</w:t>
      </w:r>
      <w:r>
        <w:rPr>
          <w:rFonts w:ascii="Times New Roman" w:hAnsi="Times New Roman"/>
        </w:rPr>
        <w:t>.</w:t>
      </w:r>
    </w:p>
  </w:footnote>
  <w:footnote w:id="124">
    <w:p w:rsidR="003C5BB0" w:rsidRDefault="003C5BB0" w:rsidP="006C395C">
      <w:pPr>
        <w:pStyle w:val="FootnoteText"/>
        <w:contextualSpacing/>
      </w:pPr>
      <w:r w:rsidRPr="00C50E46">
        <w:rPr>
          <w:rStyle w:val="FootnoteReference"/>
          <w:rFonts w:ascii="Times New Roman" w:hAnsi="Times New Roman"/>
        </w:rPr>
        <w:footnoteRef/>
      </w:r>
      <w:r w:rsidRPr="00C50E46">
        <w:rPr>
          <w:rFonts w:ascii="Times New Roman" w:hAnsi="Times New Roman"/>
        </w:rPr>
        <w:t xml:space="preserve"> </w:t>
      </w:r>
      <w:r>
        <w:rPr>
          <w:rFonts w:ascii="Times New Roman" w:hAnsi="Times New Roman"/>
        </w:rPr>
        <w:t>Ibid., p.</w:t>
      </w:r>
      <w:r w:rsidRPr="00C50E46">
        <w:rPr>
          <w:rFonts w:ascii="Times New Roman" w:hAnsi="Times New Roman"/>
        </w:rPr>
        <w:t xml:space="preserve"> 72</w:t>
      </w:r>
      <w:r>
        <w:rPr>
          <w:rFonts w:ascii="Times New Roman" w:hAnsi="Times New Roman"/>
        </w:rPr>
        <w:t>,</w:t>
      </w:r>
      <w:r w:rsidRPr="00C50E46">
        <w:rPr>
          <w:rFonts w:ascii="Times New Roman" w:hAnsi="Times New Roman"/>
        </w:rPr>
        <w:t xml:space="preserve"> pg</w:t>
      </w:r>
      <w:r>
        <w:rPr>
          <w:rFonts w:ascii="Times New Roman" w:hAnsi="Times New Roman"/>
        </w:rPr>
        <w:t>.</w:t>
      </w:r>
      <w:r w:rsidRPr="00C50E46">
        <w:rPr>
          <w:rFonts w:ascii="Times New Roman" w:hAnsi="Times New Roman"/>
        </w:rPr>
        <w:t xml:space="preserve"> 3</w:t>
      </w:r>
      <w:r>
        <w:rPr>
          <w:rFonts w:ascii="Times New Roman" w:hAnsi="Times New Roman"/>
        </w:rPr>
        <w:t>.</w:t>
      </w:r>
    </w:p>
  </w:footnote>
  <w:footnote w:id="125">
    <w:p w:rsidR="003C5BB0" w:rsidRDefault="003C5BB0" w:rsidP="006C395C">
      <w:pPr>
        <w:pStyle w:val="FootnoteText"/>
        <w:contextualSpacing/>
      </w:pPr>
      <w:r w:rsidRPr="00C50E46">
        <w:rPr>
          <w:rStyle w:val="FootnoteReference"/>
          <w:rFonts w:ascii="Times New Roman" w:hAnsi="Times New Roman"/>
        </w:rPr>
        <w:footnoteRef/>
      </w:r>
      <w:r w:rsidRPr="00C50E46">
        <w:rPr>
          <w:rFonts w:ascii="Times New Roman" w:hAnsi="Times New Roman"/>
        </w:rPr>
        <w:t xml:space="preserve"> Each defendant within the Tribunal had right to a defense lawyer. At the end of the pre-trial interrogation, every defendant would be asked if they had chosen a lawyer. Women almost invariably responded “non” and were assigned one. </w:t>
      </w:r>
    </w:p>
  </w:footnote>
  <w:footnote w:id="126">
    <w:p w:rsidR="003C5BB0" w:rsidRDefault="003C5BB0" w:rsidP="006C395C">
      <w:pPr>
        <w:pStyle w:val="FootnoteText"/>
        <w:contextualSpacing/>
      </w:pPr>
      <w:r w:rsidRPr="00C50E46">
        <w:rPr>
          <w:rStyle w:val="FootnoteReference"/>
          <w:rFonts w:ascii="Times New Roman" w:hAnsi="Times New Roman"/>
        </w:rPr>
        <w:footnoteRef/>
      </w:r>
      <w:r w:rsidRPr="00C50E46">
        <w:rPr>
          <w:rFonts w:ascii="Times New Roman" w:hAnsi="Times New Roman"/>
        </w:rPr>
        <w:t xml:space="preserve"> </w:t>
      </w:r>
      <w:r>
        <w:rPr>
          <w:rFonts w:ascii="Times New Roman" w:hAnsi="Times New Roman"/>
        </w:rPr>
        <w:t>Ibid., p.</w:t>
      </w:r>
      <w:r w:rsidRPr="00C50E46">
        <w:rPr>
          <w:rFonts w:ascii="Times New Roman" w:hAnsi="Times New Roman"/>
        </w:rPr>
        <w:t xml:space="preserve"> 72</w:t>
      </w:r>
      <w:r>
        <w:rPr>
          <w:rFonts w:ascii="Times New Roman" w:hAnsi="Times New Roman"/>
        </w:rPr>
        <w:t>,</w:t>
      </w:r>
      <w:r w:rsidRPr="00C50E46">
        <w:rPr>
          <w:rFonts w:ascii="Times New Roman" w:hAnsi="Times New Roman"/>
        </w:rPr>
        <w:t xml:space="preserve"> pg</w:t>
      </w:r>
      <w:r>
        <w:rPr>
          <w:rFonts w:ascii="Times New Roman" w:hAnsi="Times New Roman"/>
        </w:rPr>
        <w:t>.</w:t>
      </w:r>
      <w:r w:rsidRPr="00C50E46">
        <w:rPr>
          <w:rFonts w:ascii="Times New Roman" w:hAnsi="Times New Roman"/>
        </w:rPr>
        <w:t xml:space="preserve"> 1-3</w:t>
      </w:r>
      <w:r>
        <w:rPr>
          <w:rFonts w:ascii="Times New Roman" w:hAnsi="Times New Roman"/>
        </w:rPr>
        <w:t>.</w:t>
      </w:r>
    </w:p>
  </w:footnote>
  <w:footnote w:id="127">
    <w:p w:rsidR="003C5BB0" w:rsidRDefault="003C5BB0" w:rsidP="006C395C">
      <w:pPr>
        <w:pStyle w:val="FootnoteText"/>
        <w:contextualSpacing/>
      </w:pPr>
      <w:r w:rsidRPr="00C50E46">
        <w:rPr>
          <w:rStyle w:val="FootnoteReference"/>
          <w:rFonts w:ascii="Times New Roman" w:hAnsi="Times New Roman"/>
        </w:rPr>
        <w:footnoteRef/>
      </w:r>
      <w:r w:rsidRPr="00C50E46">
        <w:rPr>
          <w:rFonts w:ascii="Times New Roman" w:hAnsi="Times New Roman"/>
        </w:rPr>
        <w:t xml:space="preserve"> </w:t>
      </w:r>
      <w:r>
        <w:rPr>
          <w:rFonts w:ascii="Times New Roman" w:hAnsi="Times New Roman"/>
        </w:rPr>
        <w:t>Ibid., p.</w:t>
      </w:r>
      <w:r w:rsidRPr="00C50E46">
        <w:rPr>
          <w:rFonts w:ascii="Times New Roman" w:hAnsi="Times New Roman"/>
        </w:rPr>
        <w:t xml:space="preserve"> 81</w:t>
      </w:r>
      <w:r>
        <w:rPr>
          <w:rFonts w:ascii="Times New Roman" w:hAnsi="Times New Roman"/>
        </w:rPr>
        <w:t>,</w:t>
      </w:r>
      <w:r w:rsidRPr="00C50E46">
        <w:rPr>
          <w:rFonts w:ascii="Times New Roman" w:hAnsi="Times New Roman"/>
        </w:rPr>
        <w:t xml:space="preserve"> pg</w:t>
      </w:r>
      <w:r>
        <w:rPr>
          <w:rFonts w:ascii="Times New Roman" w:hAnsi="Times New Roman"/>
        </w:rPr>
        <w:t>.</w:t>
      </w:r>
      <w:r w:rsidRPr="00C50E46">
        <w:rPr>
          <w:rFonts w:ascii="Times New Roman" w:hAnsi="Times New Roman"/>
        </w:rPr>
        <w:t xml:space="preserve"> 1-2</w:t>
      </w:r>
      <w:r>
        <w:rPr>
          <w:rFonts w:ascii="Times New Roman" w:hAnsi="Times New Roman"/>
        </w:rPr>
        <w:t>.</w:t>
      </w:r>
    </w:p>
  </w:footnote>
  <w:footnote w:id="128">
    <w:p w:rsidR="003C5BB0" w:rsidRDefault="003C5BB0">
      <w:pPr>
        <w:pStyle w:val="FootnoteText"/>
      </w:pPr>
      <w:r>
        <w:rPr>
          <w:rStyle w:val="FootnoteReference"/>
        </w:rPr>
        <w:footnoteRef/>
      </w:r>
      <w:r>
        <w:t xml:space="preserve"> </w:t>
      </w:r>
      <w:r w:rsidRPr="00634CCB">
        <w:rPr>
          <w:rFonts w:ascii="Times New Roman" w:hAnsi="Times New Roman"/>
        </w:rPr>
        <w:t>Louis Marie</w:t>
      </w:r>
      <w:r>
        <w:rPr>
          <w:rFonts w:ascii="Times New Roman" w:hAnsi="Times New Roman"/>
        </w:rPr>
        <w:t xml:space="preserve"> </w:t>
      </w:r>
      <w:r w:rsidRPr="00841642">
        <w:rPr>
          <w:rFonts w:ascii="Times New Roman" w:hAnsi="Times New Roman"/>
        </w:rPr>
        <w:t xml:space="preserve">Prudhomme, </w:t>
      </w:r>
      <w:r w:rsidRPr="00841642">
        <w:rPr>
          <w:rFonts w:ascii="Times New Roman" w:hAnsi="Times New Roman"/>
          <w:i/>
        </w:rPr>
        <w:t>Histoire générale et impartiale des erreurs, des fautes et des crimes commis pendant la révolution française</w:t>
      </w:r>
      <w:r>
        <w:rPr>
          <w:rFonts w:ascii="Times New Roman" w:hAnsi="Times New Roman"/>
        </w:rPr>
        <w:t xml:space="preserve"> (Paris: </w:t>
      </w:r>
      <w:r w:rsidRPr="00841642">
        <w:rPr>
          <w:rFonts w:ascii="Times New Roman" w:hAnsi="Times New Roman"/>
        </w:rPr>
        <w:t>1796), 235.</w:t>
      </w:r>
    </w:p>
  </w:footnote>
  <w:footnote w:id="129">
    <w:p w:rsidR="003C5BB0" w:rsidRDefault="003C5BB0" w:rsidP="00841642">
      <w:pPr>
        <w:pStyle w:val="FootnoteText"/>
        <w:contextualSpacing/>
      </w:pPr>
      <w:r w:rsidRPr="00C50E46">
        <w:rPr>
          <w:rStyle w:val="FootnoteReference"/>
          <w:rFonts w:ascii="Times New Roman" w:hAnsi="Times New Roman"/>
        </w:rPr>
        <w:footnoteRef/>
      </w:r>
      <w:r w:rsidRPr="00C50E46">
        <w:rPr>
          <w:rFonts w:ascii="Times New Roman" w:hAnsi="Times New Roman"/>
        </w:rPr>
        <w:t xml:space="preserve"> </w:t>
      </w:r>
      <w:r>
        <w:rPr>
          <w:rFonts w:ascii="Times New Roman" w:hAnsi="Times New Roman"/>
        </w:rPr>
        <w:t xml:space="preserve">A.N. </w:t>
      </w:r>
      <w:r w:rsidRPr="00C50E46">
        <w:rPr>
          <w:rFonts w:ascii="Times New Roman" w:hAnsi="Times New Roman"/>
        </w:rPr>
        <w:t>W 366,</w:t>
      </w:r>
      <w:r>
        <w:rPr>
          <w:rFonts w:ascii="Times New Roman" w:hAnsi="Times New Roman"/>
        </w:rPr>
        <w:t xml:space="preserve"> plaq.</w:t>
      </w:r>
      <w:r w:rsidRPr="00C50E46">
        <w:rPr>
          <w:rFonts w:ascii="Times New Roman" w:hAnsi="Times New Roman"/>
        </w:rPr>
        <w:t xml:space="preserve"> 816, 1er partie,</w:t>
      </w:r>
      <w:r>
        <w:rPr>
          <w:rFonts w:ascii="Times New Roman" w:hAnsi="Times New Roman"/>
        </w:rPr>
        <w:t xml:space="preserve"> p.</w:t>
      </w:r>
      <w:r w:rsidRPr="00C50E46">
        <w:rPr>
          <w:rFonts w:ascii="Times New Roman" w:hAnsi="Times New Roman"/>
        </w:rPr>
        <w:t xml:space="preserve"> 77</w:t>
      </w:r>
      <w:r>
        <w:rPr>
          <w:rFonts w:ascii="Times New Roman" w:hAnsi="Times New Roman"/>
        </w:rPr>
        <w:t>.</w:t>
      </w:r>
    </w:p>
  </w:footnote>
  <w:footnote w:id="130">
    <w:p w:rsidR="003C5BB0" w:rsidRDefault="003C5BB0" w:rsidP="00634CCB">
      <w:pPr>
        <w:pStyle w:val="FootnoteText"/>
        <w:contextualSpacing/>
      </w:pPr>
      <w:r w:rsidRPr="00C50E46">
        <w:rPr>
          <w:rStyle w:val="FootnoteReference"/>
          <w:rFonts w:ascii="Times New Roman" w:hAnsi="Times New Roman"/>
        </w:rPr>
        <w:footnoteRef/>
      </w:r>
      <w:r>
        <w:rPr>
          <w:rFonts w:ascii="Times New Roman" w:hAnsi="Times New Roman"/>
        </w:rPr>
        <w:t xml:space="preserve">  </w:t>
      </w:r>
      <w:r w:rsidRPr="00634CCB">
        <w:rPr>
          <w:rFonts w:ascii="Times New Roman" w:hAnsi="Times New Roman"/>
        </w:rPr>
        <w:t>Henri Alexandre</w:t>
      </w:r>
      <w:r>
        <w:rPr>
          <w:rFonts w:ascii="Times New Roman" w:hAnsi="Times New Roman"/>
        </w:rPr>
        <w:t xml:space="preserve"> Wallon, </w:t>
      </w:r>
      <w:r>
        <w:rPr>
          <w:rFonts w:ascii="Times New Roman" w:hAnsi="Times New Roman"/>
          <w:i/>
        </w:rPr>
        <w:t>Le Tribunal r</w:t>
      </w:r>
      <w:r w:rsidRPr="00634CCB">
        <w:rPr>
          <w:rFonts w:ascii="Times New Roman" w:hAnsi="Times New Roman"/>
          <w:i/>
        </w:rPr>
        <w:t>évolutionnaire: 10 Mars 1793-31 Mai 1795</w:t>
      </w:r>
      <w:r w:rsidRPr="00634CCB">
        <w:rPr>
          <w:rFonts w:ascii="Times New Roman" w:hAnsi="Times New Roman"/>
        </w:rPr>
        <w:t xml:space="preserve">, </w:t>
      </w:r>
      <w:r w:rsidR="00AD0377">
        <w:rPr>
          <w:rFonts w:ascii="Times New Roman" w:hAnsi="Times New Roman"/>
        </w:rPr>
        <w:t>éd. nouv</w:t>
      </w:r>
      <w:r>
        <w:rPr>
          <w:rFonts w:ascii="Times New Roman" w:hAnsi="Times New Roman"/>
        </w:rPr>
        <w:t xml:space="preserve">. (Paris: Plon-Nourrit et cie, 1900), 338. </w:t>
      </w:r>
    </w:p>
  </w:footnote>
  <w:footnote w:id="131">
    <w:p w:rsidR="003C5BB0" w:rsidRDefault="003C5BB0" w:rsidP="006C395C">
      <w:pPr>
        <w:pStyle w:val="FootnoteText"/>
        <w:contextualSpacing/>
      </w:pPr>
      <w:r w:rsidRPr="00C50E46">
        <w:rPr>
          <w:rStyle w:val="FootnoteReference"/>
          <w:rFonts w:ascii="Times New Roman" w:hAnsi="Times New Roman"/>
        </w:rPr>
        <w:footnoteRef/>
      </w:r>
      <w:r w:rsidRPr="00C50E46">
        <w:rPr>
          <w:rFonts w:ascii="Times New Roman" w:hAnsi="Times New Roman"/>
        </w:rPr>
        <w:t xml:space="preserve"> A</w:t>
      </w:r>
      <w:r>
        <w:rPr>
          <w:rFonts w:ascii="Times New Roman" w:hAnsi="Times New Roman"/>
        </w:rPr>
        <w:t>.</w:t>
      </w:r>
      <w:r w:rsidRPr="00C50E46">
        <w:rPr>
          <w:rFonts w:ascii="Times New Roman" w:hAnsi="Times New Roman"/>
        </w:rPr>
        <w:t>N</w:t>
      </w:r>
      <w:r>
        <w:rPr>
          <w:rFonts w:ascii="Times New Roman" w:hAnsi="Times New Roman"/>
        </w:rPr>
        <w:t>.</w:t>
      </w:r>
      <w:r w:rsidRPr="00C50E46">
        <w:rPr>
          <w:rFonts w:ascii="Times New Roman" w:hAnsi="Times New Roman"/>
        </w:rPr>
        <w:t xml:space="preserve"> W 320</w:t>
      </w:r>
      <w:r>
        <w:rPr>
          <w:rFonts w:ascii="Times New Roman" w:hAnsi="Times New Roman"/>
        </w:rPr>
        <w:t>,</w:t>
      </w:r>
      <w:r w:rsidRPr="00C50E46">
        <w:rPr>
          <w:rFonts w:ascii="Times New Roman" w:hAnsi="Times New Roman"/>
        </w:rPr>
        <w:t xml:space="preserve"> plaq. 481, p. 10,</w:t>
      </w:r>
      <w:r>
        <w:rPr>
          <w:rFonts w:ascii="Times New Roman" w:hAnsi="Times New Roman"/>
        </w:rPr>
        <w:t xml:space="preserve"> pg.</w:t>
      </w:r>
      <w:r w:rsidRPr="00C50E46">
        <w:rPr>
          <w:rFonts w:ascii="Times New Roman" w:hAnsi="Times New Roman"/>
        </w:rPr>
        <w:t xml:space="preserve"> 20</w:t>
      </w:r>
      <w:r>
        <w:rPr>
          <w:rFonts w:ascii="Times New Roman" w:hAnsi="Times New Roman"/>
        </w:rPr>
        <w:t>.</w:t>
      </w:r>
    </w:p>
  </w:footnote>
  <w:footnote w:id="132">
    <w:p w:rsidR="003C5BB0" w:rsidRDefault="003C5BB0" w:rsidP="006C395C">
      <w:pPr>
        <w:pStyle w:val="FootnoteText"/>
        <w:contextualSpacing/>
      </w:pPr>
      <w:r w:rsidRPr="00C50E46">
        <w:rPr>
          <w:rStyle w:val="FootnoteReference"/>
          <w:rFonts w:ascii="Times New Roman" w:hAnsi="Times New Roman"/>
        </w:rPr>
        <w:footnoteRef/>
      </w:r>
      <w:r w:rsidRPr="00C50E46">
        <w:rPr>
          <w:rFonts w:ascii="Times New Roman" w:hAnsi="Times New Roman"/>
        </w:rPr>
        <w:t xml:space="preserve"> </w:t>
      </w:r>
      <w:r>
        <w:rPr>
          <w:rFonts w:ascii="Times New Roman" w:hAnsi="Times New Roman"/>
        </w:rPr>
        <w:t>Ibid., p.</w:t>
      </w:r>
      <w:r w:rsidRPr="00C50E46">
        <w:rPr>
          <w:rFonts w:ascii="Times New Roman" w:hAnsi="Times New Roman"/>
        </w:rPr>
        <w:t xml:space="preserve"> 17</w:t>
      </w:r>
      <w:r>
        <w:rPr>
          <w:rFonts w:ascii="Times New Roman" w:hAnsi="Times New Roman"/>
        </w:rPr>
        <w:t>.</w:t>
      </w:r>
    </w:p>
  </w:footnote>
  <w:footnote w:id="133">
    <w:p w:rsidR="003C5BB0" w:rsidRDefault="003C5BB0" w:rsidP="006C395C">
      <w:pPr>
        <w:pStyle w:val="FootnoteText"/>
        <w:contextualSpacing/>
      </w:pPr>
      <w:r w:rsidRPr="00C50E46">
        <w:rPr>
          <w:rStyle w:val="FootnoteReference"/>
          <w:rFonts w:ascii="Times New Roman" w:hAnsi="Times New Roman"/>
        </w:rPr>
        <w:footnoteRef/>
      </w:r>
      <w:r w:rsidRPr="00C50E46">
        <w:rPr>
          <w:rFonts w:ascii="Times New Roman" w:hAnsi="Times New Roman"/>
        </w:rPr>
        <w:t xml:space="preserve"> </w:t>
      </w:r>
      <w:r>
        <w:rPr>
          <w:rFonts w:ascii="Times New Roman" w:hAnsi="Times New Roman"/>
        </w:rPr>
        <w:t>Ibid.,</w:t>
      </w:r>
      <w:r w:rsidRPr="00C50E46">
        <w:rPr>
          <w:rFonts w:ascii="Times New Roman" w:hAnsi="Times New Roman"/>
        </w:rPr>
        <w:t xml:space="preserve"> pg</w:t>
      </w:r>
      <w:r>
        <w:rPr>
          <w:rFonts w:ascii="Times New Roman" w:hAnsi="Times New Roman"/>
        </w:rPr>
        <w:t>.</w:t>
      </w:r>
      <w:r w:rsidRPr="00C50E46">
        <w:rPr>
          <w:rFonts w:ascii="Times New Roman" w:hAnsi="Times New Roman"/>
        </w:rPr>
        <w:t xml:space="preserve"> 18</w:t>
      </w:r>
      <w:r>
        <w:rPr>
          <w:rFonts w:ascii="Times New Roman" w:hAnsi="Times New Roman"/>
        </w:rPr>
        <w:t>.</w:t>
      </w:r>
    </w:p>
  </w:footnote>
  <w:footnote w:id="134">
    <w:p w:rsidR="003C5BB0" w:rsidRDefault="003C5BB0" w:rsidP="006C395C">
      <w:pPr>
        <w:pStyle w:val="FootnoteText"/>
        <w:contextualSpacing/>
      </w:pPr>
      <w:r w:rsidRPr="00C50E46">
        <w:rPr>
          <w:rStyle w:val="FootnoteReference"/>
          <w:rFonts w:ascii="Times New Roman" w:hAnsi="Times New Roman"/>
        </w:rPr>
        <w:footnoteRef/>
      </w:r>
      <w:r w:rsidRPr="00C50E46">
        <w:rPr>
          <w:rFonts w:ascii="Times New Roman" w:hAnsi="Times New Roman"/>
        </w:rPr>
        <w:t xml:space="preserve"> The widow’s holdings were in the area now best known for the amusement park </w:t>
      </w:r>
      <w:r w:rsidRPr="00C50E46">
        <w:rPr>
          <w:rFonts w:ascii="Times New Roman" w:hAnsi="Times New Roman"/>
          <w:i/>
        </w:rPr>
        <w:t>Disneyland Paris.</w:t>
      </w:r>
      <w:r w:rsidRPr="00C50E46">
        <w:rPr>
          <w:rFonts w:ascii="Times New Roman" w:hAnsi="Times New Roman"/>
        </w:rPr>
        <w:t xml:space="preserve"> </w:t>
      </w:r>
    </w:p>
  </w:footnote>
  <w:footnote w:id="135">
    <w:p w:rsidR="003C5BB0" w:rsidRDefault="003C5BB0" w:rsidP="006C395C">
      <w:pPr>
        <w:pStyle w:val="FootnoteText"/>
        <w:contextualSpacing/>
      </w:pPr>
      <w:r w:rsidRPr="00C50E46">
        <w:rPr>
          <w:rStyle w:val="FootnoteReference"/>
          <w:rFonts w:ascii="Times New Roman" w:hAnsi="Times New Roman"/>
        </w:rPr>
        <w:footnoteRef/>
      </w:r>
      <w:r w:rsidRPr="00C50E46">
        <w:rPr>
          <w:rFonts w:ascii="Times New Roman" w:hAnsi="Times New Roman"/>
        </w:rPr>
        <w:t xml:space="preserve"> </w:t>
      </w:r>
      <w:r>
        <w:rPr>
          <w:rFonts w:ascii="Times New Roman" w:hAnsi="Times New Roman"/>
        </w:rPr>
        <w:t>Ibid., p.</w:t>
      </w:r>
      <w:r w:rsidRPr="00C50E46">
        <w:rPr>
          <w:rFonts w:ascii="Times New Roman" w:hAnsi="Times New Roman"/>
        </w:rPr>
        <w:t xml:space="preserve"> 41, pg</w:t>
      </w:r>
      <w:r>
        <w:rPr>
          <w:rFonts w:ascii="Times New Roman" w:hAnsi="Times New Roman"/>
        </w:rPr>
        <w:t>.</w:t>
      </w:r>
      <w:r w:rsidRPr="00C50E46">
        <w:rPr>
          <w:rFonts w:ascii="Times New Roman" w:hAnsi="Times New Roman"/>
        </w:rPr>
        <w:t xml:space="preserve"> 1</w:t>
      </w:r>
      <w:r>
        <w:rPr>
          <w:rFonts w:ascii="Times New Roman" w:hAnsi="Times New Roman"/>
        </w:rPr>
        <w:t>.</w:t>
      </w:r>
    </w:p>
  </w:footnote>
  <w:footnote w:id="136">
    <w:p w:rsidR="003C5BB0" w:rsidRDefault="003C5BB0" w:rsidP="006C395C">
      <w:pPr>
        <w:pStyle w:val="FootnoteText"/>
        <w:contextualSpacing/>
      </w:pPr>
      <w:r w:rsidRPr="00C50E46">
        <w:rPr>
          <w:rStyle w:val="FootnoteReference"/>
          <w:rFonts w:ascii="Times New Roman" w:hAnsi="Times New Roman"/>
        </w:rPr>
        <w:footnoteRef/>
      </w:r>
      <w:r w:rsidRPr="00C50E46">
        <w:rPr>
          <w:rFonts w:ascii="Times New Roman" w:hAnsi="Times New Roman"/>
        </w:rPr>
        <w:t xml:space="preserve"> </w:t>
      </w:r>
      <w:r>
        <w:rPr>
          <w:rFonts w:ascii="Times New Roman" w:hAnsi="Times New Roman"/>
        </w:rPr>
        <w:t xml:space="preserve">A.N. </w:t>
      </w:r>
      <w:r w:rsidRPr="00C50E46">
        <w:rPr>
          <w:rFonts w:ascii="Times New Roman" w:hAnsi="Times New Roman"/>
          <w:bCs/>
          <w:color w:val="000000"/>
          <w:szCs w:val="18"/>
        </w:rPr>
        <w:t>W 376,</w:t>
      </w:r>
      <w:r>
        <w:rPr>
          <w:rFonts w:ascii="Times New Roman" w:hAnsi="Times New Roman"/>
          <w:bCs/>
          <w:color w:val="000000"/>
          <w:szCs w:val="18"/>
        </w:rPr>
        <w:t xml:space="preserve"> plaq.</w:t>
      </w:r>
      <w:r w:rsidRPr="00C50E46">
        <w:rPr>
          <w:rFonts w:ascii="Times New Roman" w:hAnsi="Times New Roman"/>
          <w:bCs/>
          <w:color w:val="000000"/>
          <w:szCs w:val="18"/>
        </w:rPr>
        <w:t xml:space="preserve"> 849.</w:t>
      </w:r>
    </w:p>
  </w:footnote>
  <w:footnote w:id="137">
    <w:p w:rsidR="003C5BB0" w:rsidRDefault="003C5BB0" w:rsidP="006C395C">
      <w:pPr>
        <w:pStyle w:val="FootnoteText"/>
        <w:contextualSpacing/>
      </w:pPr>
      <w:r w:rsidRPr="00C50E46">
        <w:rPr>
          <w:rStyle w:val="FootnoteReference"/>
          <w:rFonts w:ascii="Times New Roman" w:hAnsi="Times New Roman"/>
        </w:rPr>
        <w:footnoteRef/>
      </w:r>
      <w:r w:rsidRPr="00C50E46">
        <w:rPr>
          <w:rFonts w:ascii="Times New Roman" w:hAnsi="Times New Roman"/>
        </w:rPr>
        <w:t xml:space="preserve"> </w:t>
      </w:r>
      <w:r>
        <w:rPr>
          <w:rFonts w:ascii="Times New Roman" w:hAnsi="Times New Roman"/>
        </w:rPr>
        <w:t xml:space="preserve">A.N. </w:t>
      </w:r>
      <w:r w:rsidRPr="00C50E46">
        <w:rPr>
          <w:rFonts w:ascii="Times New Roman" w:hAnsi="Times New Roman"/>
        </w:rPr>
        <w:t>W 343,</w:t>
      </w:r>
      <w:r>
        <w:rPr>
          <w:rFonts w:ascii="Times New Roman" w:hAnsi="Times New Roman"/>
        </w:rPr>
        <w:t xml:space="preserve"> plaq.</w:t>
      </w:r>
      <w:r w:rsidRPr="00C50E46">
        <w:rPr>
          <w:rFonts w:ascii="Times New Roman" w:hAnsi="Times New Roman"/>
        </w:rPr>
        <w:t xml:space="preserve"> 653</w:t>
      </w:r>
      <w:r>
        <w:rPr>
          <w:rFonts w:ascii="Times New Roman" w:hAnsi="Times New Roman"/>
        </w:rPr>
        <w:t>.</w:t>
      </w:r>
    </w:p>
  </w:footnote>
  <w:footnote w:id="138">
    <w:p w:rsidR="003C5BB0" w:rsidRDefault="003C5BB0" w:rsidP="006C395C">
      <w:pPr>
        <w:pStyle w:val="FootnoteText"/>
        <w:contextualSpacing/>
      </w:pPr>
      <w:r w:rsidRPr="00C50E46">
        <w:rPr>
          <w:rStyle w:val="FootnoteReference"/>
          <w:rFonts w:ascii="Times New Roman" w:hAnsi="Times New Roman"/>
        </w:rPr>
        <w:footnoteRef/>
      </w:r>
      <w:r w:rsidRPr="00C50E46">
        <w:rPr>
          <w:rFonts w:ascii="Times New Roman" w:hAnsi="Times New Roman"/>
        </w:rPr>
        <w:t xml:space="preserve"> </w:t>
      </w:r>
      <w:r>
        <w:rPr>
          <w:rFonts w:ascii="Times New Roman" w:hAnsi="Times New Roman"/>
        </w:rPr>
        <w:t>Ibid., p.</w:t>
      </w:r>
      <w:r w:rsidRPr="00C50E46">
        <w:rPr>
          <w:rFonts w:ascii="Times New Roman" w:hAnsi="Times New Roman"/>
        </w:rPr>
        <w:t xml:space="preserve"> 10</w:t>
      </w:r>
      <w:r>
        <w:rPr>
          <w:rFonts w:ascii="Times New Roman" w:hAnsi="Times New Roman"/>
        </w:rPr>
        <w:t>.</w:t>
      </w:r>
    </w:p>
  </w:footnote>
  <w:footnote w:id="139">
    <w:p w:rsidR="003C5BB0" w:rsidRDefault="003C5BB0" w:rsidP="006C395C">
      <w:pPr>
        <w:pStyle w:val="FootnoteText"/>
        <w:contextualSpacing/>
      </w:pPr>
      <w:r w:rsidRPr="00C50E46">
        <w:rPr>
          <w:rStyle w:val="FootnoteReference"/>
          <w:rFonts w:ascii="Times New Roman" w:hAnsi="Times New Roman"/>
        </w:rPr>
        <w:footnoteRef/>
      </w:r>
      <w:r w:rsidRPr="00C50E46">
        <w:rPr>
          <w:rFonts w:ascii="Times New Roman" w:hAnsi="Times New Roman"/>
        </w:rPr>
        <w:t xml:space="preserve"> </w:t>
      </w:r>
      <w:r>
        <w:rPr>
          <w:rFonts w:ascii="Times New Roman" w:hAnsi="Times New Roman"/>
        </w:rPr>
        <w:t>Ibid., p.</w:t>
      </w:r>
      <w:r w:rsidRPr="00C50E46">
        <w:rPr>
          <w:rFonts w:ascii="Times New Roman" w:hAnsi="Times New Roman"/>
        </w:rPr>
        <w:t xml:space="preserve"> 9</w:t>
      </w:r>
      <w:r>
        <w:rPr>
          <w:rFonts w:ascii="Times New Roman" w:hAnsi="Times New Roman"/>
        </w:rPr>
        <w:t>.</w:t>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32776B"/>
    <w:multiLevelType w:val="hybridMultilevel"/>
    <w:tmpl w:val="27E6FEA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0CC50E09"/>
    <w:multiLevelType w:val="hybridMultilevel"/>
    <w:tmpl w:val="DAEE89B2"/>
    <w:lvl w:ilvl="0" w:tplc="0409000F">
      <w:start w:val="1"/>
      <w:numFmt w:val="decimal"/>
      <w:lvlText w:val="%1."/>
      <w:lvlJc w:val="left"/>
      <w:pPr>
        <w:ind w:left="720" w:hanging="360"/>
      </w:pPr>
      <w:rPr>
        <w:rFonts w:cs="Times New Roman"/>
      </w:rPr>
    </w:lvl>
    <w:lvl w:ilvl="1" w:tplc="07221DC4">
      <w:numFmt w:val="bullet"/>
      <w:lvlText w:val="-"/>
      <w:lvlJc w:val="left"/>
      <w:pPr>
        <w:ind w:left="1440" w:hanging="360"/>
      </w:pPr>
      <w:rPr>
        <w:rFonts w:ascii="Cambria" w:eastAsia="Times New Roman" w:hAnsi="Cambria" w:hint="default"/>
      </w:rPr>
    </w:lvl>
    <w:lvl w:ilvl="2" w:tplc="0409001B">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2">
    <w:nsid w:val="51AC7B7C"/>
    <w:multiLevelType w:val="hybridMultilevel"/>
    <w:tmpl w:val="2A3EEB3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74937F6B"/>
    <w:multiLevelType w:val="multilevel"/>
    <w:tmpl w:val="E622245C"/>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1"/>
  </w:num>
  <w:num w:numId="2">
    <w:abstractNumId w:val="3"/>
  </w:num>
  <w:num w:numId="3">
    <w:abstractNumId w:val="2"/>
  </w:num>
  <w:num w:numId="4">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defaultTabStop w:val="720"/>
  <w:displayHorizontalDrawingGridEvery w:val="0"/>
  <w:displayVerticalDrawingGridEvery w:val="0"/>
  <w:doNotUseMarginsForDrawingGridOrigin/>
  <w:noPunctuationKerning/>
  <w:characterSpacingControl w:val="doNotCompress"/>
  <w:doNotValidateAgainstSchema/>
  <w:doNotDemarcateInvalidXml/>
  <w:footnotePr>
    <w:footnote w:id="-1"/>
    <w:footnote w:id="0"/>
  </w:footnotePr>
  <w:endnotePr>
    <w:endnote w:id="-1"/>
    <w:endnote w:id="0"/>
  </w:endnotePr>
  <w:compat/>
  <w:rsids>
    <w:rsidRoot w:val="007D7396"/>
    <w:rsid w:val="000163DA"/>
    <w:rsid w:val="00017A59"/>
    <w:rsid w:val="000227F1"/>
    <w:rsid w:val="00030138"/>
    <w:rsid w:val="00030A9E"/>
    <w:rsid w:val="0003792A"/>
    <w:rsid w:val="00041421"/>
    <w:rsid w:val="00041490"/>
    <w:rsid w:val="000422EF"/>
    <w:rsid w:val="00045D72"/>
    <w:rsid w:val="0004699C"/>
    <w:rsid w:val="0005308D"/>
    <w:rsid w:val="000623CB"/>
    <w:rsid w:val="00075350"/>
    <w:rsid w:val="00075F7E"/>
    <w:rsid w:val="00084F1C"/>
    <w:rsid w:val="000856AD"/>
    <w:rsid w:val="00087B18"/>
    <w:rsid w:val="00093C28"/>
    <w:rsid w:val="00093DC6"/>
    <w:rsid w:val="00093F4E"/>
    <w:rsid w:val="000946F8"/>
    <w:rsid w:val="00096FAF"/>
    <w:rsid w:val="0009702C"/>
    <w:rsid w:val="000A4FD6"/>
    <w:rsid w:val="000B0918"/>
    <w:rsid w:val="000C360F"/>
    <w:rsid w:val="000C75D5"/>
    <w:rsid w:val="000D14E2"/>
    <w:rsid w:val="000E25CC"/>
    <w:rsid w:val="000E5002"/>
    <w:rsid w:val="000F36C7"/>
    <w:rsid w:val="000F36EB"/>
    <w:rsid w:val="000F59D2"/>
    <w:rsid w:val="001038DB"/>
    <w:rsid w:val="00104D92"/>
    <w:rsid w:val="00111539"/>
    <w:rsid w:val="00117EF2"/>
    <w:rsid w:val="00120AFA"/>
    <w:rsid w:val="00125856"/>
    <w:rsid w:val="00127367"/>
    <w:rsid w:val="00135BDA"/>
    <w:rsid w:val="00143EFB"/>
    <w:rsid w:val="00144807"/>
    <w:rsid w:val="00145413"/>
    <w:rsid w:val="00145F04"/>
    <w:rsid w:val="00152433"/>
    <w:rsid w:val="0015315F"/>
    <w:rsid w:val="001531A4"/>
    <w:rsid w:val="001540B5"/>
    <w:rsid w:val="00154F13"/>
    <w:rsid w:val="001614F9"/>
    <w:rsid w:val="001629F1"/>
    <w:rsid w:val="00163D8E"/>
    <w:rsid w:val="0017120F"/>
    <w:rsid w:val="00175629"/>
    <w:rsid w:val="001759DB"/>
    <w:rsid w:val="0018359D"/>
    <w:rsid w:val="00190E68"/>
    <w:rsid w:val="00191A57"/>
    <w:rsid w:val="001B0C72"/>
    <w:rsid w:val="001B70FD"/>
    <w:rsid w:val="001C5440"/>
    <w:rsid w:val="001D7AF2"/>
    <w:rsid w:val="001E00C8"/>
    <w:rsid w:val="001F084B"/>
    <w:rsid w:val="001F4C2E"/>
    <w:rsid w:val="001F5677"/>
    <w:rsid w:val="001F66EF"/>
    <w:rsid w:val="001F7AFD"/>
    <w:rsid w:val="00200C5B"/>
    <w:rsid w:val="002020FD"/>
    <w:rsid w:val="00206010"/>
    <w:rsid w:val="00206C57"/>
    <w:rsid w:val="002079FC"/>
    <w:rsid w:val="0021113F"/>
    <w:rsid w:val="00213EF9"/>
    <w:rsid w:val="00216D90"/>
    <w:rsid w:val="00216DFA"/>
    <w:rsid w:val="00225114"/>
    <w:rsid w:val="00226C91"/>
    <w:rsid w:val="00226DE2"/>
    <w:rsid w:val="00230AE5"/>
    <w:rsid w:val="00232625"/>
    <w:rsid w:val="002338CF"/>
    <w:rsid w:val="002422F8"/>
    <w:rsid w:val="00244071"/>
    <w:rsid w:val="0024450B"/>
    <w:rsid w:val="0025641B"/>
    <w:rsid w:val="002574BB"/>
    <w:rsid w:val="0026018D"/>
    <w:rsid w:val="00270672"/>
    <w:rsid w:val="00293B8D"/>
    <w:rsid w:val="00293F61"/>
    <w:rsid w:val="0029468D"/>
    <w:rsid w:val="002B771A"/>
    <w:rsid w:val="002C055A"/>
    <w:rsid w:val="002D149D"/>
    <w:rsid w:val="002D194B"/>
    <w:rsid w:val="002F1168"/>
    <w:rsid w:val="002F30D4"/>
    <w:rsid w:val="002F51BB"/>
    <w:rsid w:val="002F5709"/>
    <w:rsid w:val="0031616F"/>
    <w:rsid w:val="00316DEF"/>
    <w:rsid w:val="00317A81"/>
    <w:rsid w:val="00322D23"/>
    <w:rsid w:val="00326562"/>
    <w:rsid w:val="00337FAC"/>
    <w:rsid w:val="00342549"/>
    <w:rsid w:val="00355120"/>
    <w:rsid w:val="00355E92"/>
    <w:rsid w:val="00361139"/>
    <w:rsid w:val="00363006"/>
    <w:rsid w:val="0036566F"/>
    <w:rsid w:val="00370752"/>
    <w:rsid w:val="00374A68"/>
    <w:rsid w:val="00376314"/>
    <w:rsid w:val="003818BA"/>
    <w:rsid w:val="00382F7E"/>
    <w:rsid w:val="003851F5"/>
    <w:rsid w:val="00385ABD"/>
    <w:rsid w:val="00391883"/>
    <w:rsid w:val="00392588"/>
    <w:rsid w:val="003A7669"/>
    <w:rsid w:val="003B323F"/>
    <w:rsid w:val="003B40DF"/>
    <w:rsid w:val="003B5D56"/>
    <w:rsid w:val="003B69CB"/>
    <w:rsid w:val="003C5BB0"/>
    <w:rsid w:val="003D43C5"/>
    <w:rsid w:val="003D567C"/>
    <w:rsid w:val="003D74E6"/>
    <w:rsid w:val="003E054C"/>
    <w:rsid w:val="003E2974"/>
    <w:rsid w:val="003E53D3"/>
    <w:rsid w:val="003F4549"/>
    <w:rsid w:val="003F4B94"/>
    <w:rsid w:val="0040044D"/>
    <w:rsid w:val="00402D8B"/>
    <w:rsid w:val="00405108"/>
    <w:rsid w:val="0040616F"/>
    <w:rsid w:val="004106F4"/>
    <w:rsid w:val="0042164B"/>
    <w:rsid w:val="00436CB5"/>
    <w:rsid w:val="0043746A"/>
    <w:rsid w:val="00446161"/>
    <w:rsid w:val="00446521"/>
    <w:rsid w:val="00452CDA"/>
    <w:rsid w:val="0045376D"/>
    <w:rsid w:val="00454B7D"/>
    <w:rsid w:val="00463976"/>
    <w:rsid w:val="00463E42"/>
    <w:rsid w:val="00466325"/>
    <w:rsid w:val="00466E0B"/>
    <w:rsid w:val="00467776"/>
    <w:rsid w:val="00467BE6"/>
    <w:rsid w:val="00474E8F"/>
    <w:rsid w:val="00477C99"/>
    <w:rsid w:val="00477F83"/>
    <w:rsid w:val="00481CAD"/>
    <w:rsid w:val="00481DE5"/>
    <w:rsid w:val="004844EC"/>
    <w:rsid w:val="004965A0"/>
    <w:rsid w:val="00497CEB"/>
    <w:rsid w:val="00497D48"/>
    <w:rsid w:val="004A43B8"/>
    <w:rsid w:val="004A5A33"/>
    <w:rsid w:val="004B38E1"/>
    <w:rsid w:val="004B3D50"/>
    <w:rsid w:val="004B407D"/>
    <w:rsid w:val="004B460D"/>
    <w:rsid w:val="004C0588"/>
    <w:rsid w:val="004C27A4"/>
    <w:rsid w:val="004C6870"/>
    <w:rsid w:val="004C7122"/>
    <w:rsid w:val="004D5344"/>
    <w:rsid w:val="004E48F8"/>
    <w:rsid w:val="004E6102"/>
    <w:rsid w:val="004E61FB"/>
    <w:rsid w:val="004F2BC0"/>
    <w:rsid w:val="004F2C6D"/>
    <w:rsid w:val="004F5962"/>
    <w:rsid w:val="0050087D"/>
    <w:rsid w:val="00502791"/>
    <w:rsid w:val="00503429"/>
    <w:rsid w:val="00504526"/>
    <w:rsid w:val="00510503"/>
    <w:rsid w:val="00512399"/>
    <w:rsid w:val="00514F11"/>
    <w:rsid w:val="00525111"/>
    <w:rsid w:val="005253EB"/>
    <w:rsid w:val="00535020"/>
    <w:rsid w:val="005374D6"/>
    <w:rsid w:val="00543309"/>
    <w:rsid w:val="00543692"/>
    <w:rsid w:val="00550C0C"/>
    <w:rsid w:val="0055221C"/>
    <w:rsid w:val="00557F23"/>
    <w:rsid w:val="00567584"/>
    <w:rsid w:val="005716E5"/>
    <w:rsid w:val="00573878"/>
    <w:rsid w:val="00581CD1"/>
    <w:rsid w:val="0058601D"/>
    <w:rsid w:val="00586190"/>
    <w:rsid w:val="00587497"/>
    <w:rsid w:val="00587763"/>
    <w:rsid w:val="005957E2"/>
    <w:rsid w:val="00595F17"/>
    <w:rsid w:val="0059724F"/>
    <w:rsid w:val="005A005C"/>
    <w:rsid w:val="005A0B3F"/>
    <w:rsid w:val="005A2620"/>
    <w:rsid w:val="005A46EA"/>
    <w:rsid w:val="005C4438"/>
    <w:rsid w:val="005D2C72"/>
    <w:rsid w:val="005E339B"/>
    <w:rsid w:val="005E3818"/>
    <w:rsid w:val="005E3B92"/>
    <w:rsid w:val="005E4BEF"/>
    <w:rsid w:val="005E65D0"/>
    <w:rsid w:val="005F2205"/>
    <w:rsid w:val="005F4B89"/>
    <w:rsid w:val="005F7396"/>
    <w:rsid w:val="00611257"/>
    <w:rsid w:val="00612EF4"/>
    <w:rsid w:val="00621B24"/>
    <w:rsid w:val="00622C45"/>
    <w:rsid w:val="006240B9"/>
    <w:rsid w:val="00627DC3"/>
    <w:rsid w:val="00634CCB"/>
    <w:rsid w:val="00635890"/>
    <w:rsid w:val="006421EC"/>
    <w:rsid w:val="0067647F"/>
    <w:rsid w:val="0068030C"/>
    <w:rsid w:val="00684424"/>
    <w:rsid w:val="006844AC"/>
    <w:rsid w:val="006B13E4"/>
    <w:rsid w:val="006B2B83"/>
    <w:rsid w:val="006B7E84"/>
    <w:rsid w:val="006C0AB7"/>
    <w:rsid w:val="006C23C9"/>
    <w:rsid w:val="006C395C"/>
    <w:rsid w:val="006C7E2B"/>
    <w:rsid w:val="006D05E6"/>
    <w:rsid w:val="006D7DDC"/>
    <w:rsid w:val="006E04B9"/>
    <w:rsid w:val="006E5D79"/>
    <w:rsid w:val="00702C5E"/>
    <w:rsid w:val="007052DA"/>
    <w:rsid w:val="00705AC5"/>
    <w:rsid w:val="00710BC5"/>
    <w:rsid w:val="00717C20"/>
    <w:rsid w:val="007235A2"/>
    <w:rsid w:val="007265C8"/>
    <w:rsid w:val="007353CB"/>
    <w:rsid w:val="00742F9D"/>
    <w:rsid w:val="0074616E"/>
    <w:rsid w:val="00756FE9"/>
    <w:rsid w:val="0076731F"/>
    <w:rsid w:val="007677EE"/>
    <w:rsid w:val="0079005E"/>
    <w:rsid w:val="00791381"/>
    <w:rsid w:val="007A0353"/>
    <w:rsid w:val="007A2791"/>
    <w:rsid w:val="007A7D8C"/>
    <w:rsid w:val="007B6CB7"/>
    <w:rsid w:val="007C65A7"/>
    <w:rsid w:val="007D07DA"/>
    <w:rsid w:val="007D33B8"/>
    <w:rsid w:val="007D40FA"/>
    <w:rsid w:val="007D6110"/>
    <w:rsid w:val="007D6375"/>
    <w:rsid w:val="007D6F64"/>
    <w:rsid w:val="007D7396"/>
    <w:rsid w:val="007D7EF2"/>
    <w:rsid w:val="007E0037"/>
    <w:rsid w:val="007E0486"/>
    <w:rsid w:val="007E33B6"/>
    <w:rsid w:val="007F0EFE"/>
    <w:rsid w:val="007F3C3C"/>
    <w:rsid w:val="00803713"/>
    <w:rsid w:val="00810DA4"/>
    <w:rsid w:val="00821D88"/>
    <w:rsid w:val="0083076D"/>
    <w:rsid w:val="00831080"/>
    <w:rsid w:val="00833EE5"/>
    <w:rsid w:val="0083750A"/>
    <w:rsid w:val="00840091"/>
    <w:rsid w:val="00841642"/>
    <w:rsid w:val="00846297"/>
    <w:rsid w:val="00850AB9"/>
    <w:rsid w:val="008541E4"/>
    <w:rsid w:val="00872D58"/>
    <w:rsid w:val="00880F2E"/>
    <w:rsid w:val="008851C2"/>
    <w:rsid w:val="00887F82"/>
    <w:rsid w:val="008908AB"/>
    <w:rsid w:val="00891F9F"/>
    <w:rsid w:val="008A52AB"/>
    <w:rsid w:val="008A60B8"/>
    <w:rsid w:val="008A7E9F"/>
    <w:rsid w:val="008B0133"/>
    <w:rsid w:val="008C0A15"/>
    <w:rsid w:val="008C0D57"/>
    <w:rsid w:val="008C378C"/>
    <w:rsid w:val="008D19D0"/>
    <w:rsid w:val="008E00E4"/>
    <w:rsid w:val="008E55A5"/>
    <w:rsid w:val="008E7C5D"/>
    <w:rsid w:val="008F21FB"/>
    <w:rsid w:val="008F3645"/>
    <w:rsid w:val="008F4FF0"/>
    <w:rsid w:val="00901CE6"/>
    <w:rsid w:val="00913328"/>
    <w:rsid w:val="00917777"/>
    <w:rsid w:val="00921DB1"/>
    <w:rsid w:val="0092408C"/>
    <w:rsid w:val="009254C2"/>
    <w:rsid w:val="00926E1D"/>
    <w:rsid w:val="00927643"/>
    <w:rsid w:val="0093193D"/>
    <w:rsid w:val="0093195A"/>
    <w:rsid w:val="0093250E"/>
    <w:rsid w:val="0093309F"/>
    <w:rsid w:val="00935B8F"/>
    <w:rsid w:val="009463DF"/>
    <w:rsid w:val="009522E8"/>
    <w:rsid w:val="0096097F"/>
    <w:rsid w:val="00961169"/>
    <w:rsid w:val="00975373"/>
    <w:rsid w:val="00977372"/>
    <w:rsid w:val="00984265"/>
    <w:rsid w:val="009852C0"/>
    <w:rsid w:val="0098764C"/>
    <w:rsid w:val="0099444D"/>
    <w:rsid w:val="009A2F65"/>
    <w:rsid w:val="009A77A3"/>
    <w:rsid w:val="009B0728"/>
    <w:rsid w:val="009C1040"/>
    <w:rsid w:val="009C2D17"/>
    <w:rsid w:val="009C6D49"/>
    <w:rsid w:val="009D2A2F"/>
    <w:rsid w:val="009D378D"/>
    <w:rsid w:val="009D579B"/>
    <w:rsid w:val="009D5FE4"/>
    <w:rsid w:val="009D6DAA"/>
    <w:rsid w:val="009E4DB6"/>
    <w:rsid w:val="009E6B46"/>
    <w:rsid w:val="009F6493"/>
    <w:rsid w:val="009F6B8E"/>
    <w:rsid w:val="009F7FB1"/>
    <w:rsid w:val="00A01D19"/>
    <w:rsid w:val="00A03131"/>
    <w:rsid w:val="00A13D1B"/>
    <w:rsid w:val="00A21638"/>
    <w:rsid w:val="00A24E41"/>
    <w:rsid w:val="00A275CF"/>
    <w:rsid w:val="00A36110"/>
    <w:rsid w:val="00A36CCE"/>
    <w:rsid w:val="00A36FD6"/>
    <w:rsid w:val="00A41861"/>
    <w:rsid w:val="00A431DC"/>
    <w:rsid w:val="00A47283"/>
    <w:rsid w:val="00A570E7"/>
    <w:rsid w:val="00A607AB"/>
    <w:rsid w:val="00A630FC"/>
    <w:rsid w:val="00A63280"/>
    <w:rsid w:val="00A641B9"/>
    <w:rsid w:val="00A65E75"/>
    <w:rsid w:val="00A7163A"/>
    <w:rsid w:val="00A93A32"/>
    <w:rsid w:val="00A93AA0"/>
    <w:rsid w:val="00A954A4"/>
    <w:rsid w:val="00A95BCE"/>
    <w:rsid w:val="00A96EB5"/>
    <w:rsid w:val="00AA1496"/>
    <w:rsid w:val="00AA71B3"/>
    <w:rsid w:val="00AB06CD"/>
    <w:rsid w:val="00AB08C5"/>
    <w:rsid w:val="00AB11B9"/>
    <w:rsid w:val="00AB319B"/>
    <w:rsid w:val="00AB3EB1"/>
    <w:rsid w:val="00AB5E19"/>
    <w:rsid w:val="00AC04CB"/>
    <w:rsid w:val="00AC06BF"/>
    <w:rsid w:val="00AD0377"/>
    <w:rsid w:val="00AD108B"/>
    <w:rsid w:val="00AD4C77"/>
    <w:rsid w:val="00AE749A"/>
    <w:rsid w:val="00AF24B0"/>
    <w:rsid w:val="00B02EA7"/>
    <w:rsid w:val="00B1160B"/>
    <w:rsid w:val="00B13D79"/>
    <w:rsid w:val="00B141D1"/>
    <w:rsid w:val="00B15E26"/>
    <w:rsid w:val="00B21687"/>
    <w:rsid w:val="00B33AF4"/>
    <w:rsid w:val="00B362C0"/>
    <w:rsid w:val="00B4099C"/>
    <w:rsid w:val="00B466C3"/>
    <w:rsid w:val="00B467C0"/>
    <w:rsid w:val="00B52B7F"/>
    <w:rsid w:val="00B54AB1"/>
    <w:rsid w:val="00B56A8D"/>
    <w:rsid w:val="00B630E9"/>
    <w:rsid w:val="00B651F3"/>
    <w:rsid w:val="00B65F22"/>
    <w:rsid w:val="00B70C79"/>
    <w:rsid w:val="00B715DE"/>
    <w:rsid w:val="00B71A00"/>
    <w:rsid w:val="00B85CF5"/>
    <w:rsid w:val="00B95F26"/>
    <w:rsid w:val="00BA162E"/>
    <w:rsid w:val="00BA4FCA"/>
    <w:rsid w:val="00BA743F"/>
    <w:rsid w:val="00BC2FD7"/>
    <w:rsid w:val="00BD030C"/>
    <w:rsid w:val="00BD137C"/>
    <w:rsid w:val="00BE5807"/>
    <w:rsid w:val="00BF0C20"/>
    <w:rsid w:val="00BF30D3"/>
    <w:rsid w:val="00BF40C4"/>
    <w:rsid w:val="00C03D0C"/>
    <w:rsid w:val="00C04E32"/>
    <w:rsid w:val="00C051B2"/>
    <w:rsid w:val="00C139C1"/>
    <w:rsid w:val="00C23923"/>
    <w:rsid w:val="00C27EE7"/>
    <w:rsid w:val="00C44215"/>
    <w:rsid w:val="00C50E46"/>
    <w:rsid w:val="00C52036"/>
    <w:rsid w:val="00C56E05"/>
    <w:rsid w:val="00C60D3C"/>
    <w:rsid w:val="00C640FE"/>
    <w:rsid w:val="00C648DC"/>
    <w:rsid w:val="00C655DA"/>
    <w:rsid w:val="00C67BDF"/>
    <w:rsid w:val="00C701B9"/>
    <w:rsid w:val="00C73B85"/>
    <w:rsid w:val="00C7519A"/>
    <w:rsid w:val="00C76E8E"/>
    <w:rsid w:val="00C80D20"/>
    <w:rsid w:val="00C834AB"/>
    <w:rsid w:val="00C84586"/>
    <w:rsid w:val="00C86D2A"/>
    <w:rsid w:val="00C921BD"/>
    <w:rsid w:val="00C92AEE"/>
    <w:rsid w:val="00C93DE2"/>
    <w:rsid w:val="00C9757C"/>
    <w:rsid w:val="00CA2B05"/>
    <w:rsid w:val="00CB0720"/>
    <w:rsid w:val="00CB6DB5"/>
    <w:rsid w:val="00CB7213"/>
    <w:rsid w:val="00CC0772"/>
    <w:rsid w:val="00CD6423"/>
    <w:rsid w:val="00CE101E"/>
    <w:rsid w:val="00CE6966"/>
    <w:rsid w:val="00CE769B"/>
    <w:rsid w:val="00CF71FF"/>
    <w:rsid w:val="00D0473D"/>
    <w:rsid w:val="00D05F71"/>
    <w:rsid w:val="00D13295"/>
    <w:rsid w:val="00D156DA"/>
    <w:rsid w:val="00D16FC4"/>
    <w:rsid w:val="00D17EC7"/>
    <w:rsid w:val="00D2006F"/>
    <w:rsid w:val="00D23D49"/>
    <w:rsid w:val="00D30500"/>
    <w:rsid w:val="00D31D0B"/>
    <w:rsid w:val="00D3728E"/>
    <w:rsid w:val="00D47738"/>
    <w:rsid w:val="00D56D6E"/>
    <w:rsid w:val="00D57029"/>
    <w:rsid w:val="00D60C7A"/>
    <w:rsid w:val="00D62C75"/>
    <w:rsid w:val="00D6332B"/>
    <w:rsid w:val="00D64AA0"/>
    <w:rsid w:val="00D64EB4"/>
    <w:rsid w:val="00D86C2C"/>
    <w:rsid w:val="00D927D2"/>
    <w:rsid w:val="00D954D5"/>
    <w:rsid w:val="00D964C6"/>
    <w:rsid w:val="00DA2372"/>
    <w:rsid w:val="00DA4249"/>
    <w:rsid w:val="00DA45D8"/>
    <w:rsid w:val="00DA5788"/>
    <w:rsid w:val="00DC0F57"/>
    <w:rsid w:val="00DD18B7"/>
    <w:rsid w:val="00DD1DF5"/>
    <w:rsid w:val="00DD2650"/>
    <w:rsid w:val="00DF21DE"/>
    <w:rsid w:val="00DF60B0"/>
    <w:rsid w:val="00DF7EB9"/>
    <w:rsid w:val="00E0181C"/>
    <w:rsid w:val="00E03FE4"/>
    <w:rsid w:val="00E057EF"/>
    <w:rsid w:val="00E11880"/>
    <w:rsid w:val="00E15B1C"/>
    <w:rsid w:val="00E24DB8"/>
    <w:rsid w:val="00E24E75"/>
    <w:rsid w:val="00E36BC6"/>
    <w:rsid w:val="00E37155"/>
    <w:rsid w:val="00E41091"/>
    <w:rsid w:val="00E41716"/>
    <w:rsid w:val="00E45CE5"/>
    <w:rsid w:val="00E51AD3"/>
    <w:rsid w:val="00E53597"/>
    <w:rsid w:val="00E54D5F"/>
    <w:rsid w:val="00E570D7"/>
    <w:rsid w:val="00E5773E"/>
    <w:rsid w:val="00E628F5"/>
    <w:rsid w:val="00E636D2"/>
    <w:rsid w:val="00E650D4"/>
    <w:rsid w:val="00E857A4"/>
    <w:rsid w:val="00E96BAA"/>
    <w:rsid w:val="00EA1D04"/>
    <w:rsid w:val="00EA7E3E"/>
    <w:rsid w:val="00EB34D9"/>
    <w:rsid w:val="00EB3AB5"/>
    <w:rsid w:val="00EB4BE0"/>
    <w:rsid w:val="00EC6917"/>
    <w:rsid w:val="00EC7541"/>
    <w:rsid w:val="00EC7B8A"/>
    <w:rsid w:val="00ED1510"/>
    <w:rsid w:val="00ED2CCC"/>
    <w:rsid w:val="00EF1E18"/>
    <w:rsid w:val="00EF5359"/>
    <w:rsid w:val="00EF6392"/>
    <w:rsid w:val="00EF75B9"/>
    <w:rsid w:val="00F0092D"/>
    <w:rsid w:val="00F01E33"/>
    <w:rsid w:val="00F020DD"/>
    <w:rsid w:val="00F03DCF"/>
    <w:rsid w:val="00F11294"/>
    <w:rsid w:val="00F14345"/>
    <w:rsid w:val="00F15002"/>
    <w:rsid w:val="00F15BAA"/>
    <w:rsid w:val="00F1621C"/>
    <w:rsid w:val="00F16EAA"/>
    <w:rsid w:val="00F170FD"/>
    <w:rsid w:val="00F17663"/>
    <w:rsid w:val="00F333AD"/>
    <w:rsid w:val="00F341BF"/>
    <w:rsid w:val="00F36813"/>
    <w:rsid w:val="00F50031"/>
    <w:rsid w:val="00F64EDF"/>
    <w:rsid w:val="00F66902"/>
    <w:rsid w:val="00F6753D"/>
    <w:rsid w:val="00F76B91"/>
    <w:rsid w:val="00F7780D"/>
    <w:rsid w:val="00F8065C"/>
    <w:rsid w:val="00F86761"/>
    <w:rsid w:val="00F9476E"/>
    <w:rsid w:val="00F95B6B"/>
    <w:rsid w:val="00F963F2"/>
    <w:rsid w:val="00FA68C6"/>
    <w:rsid w:val="00FB2522"/>
    <w:rsid w:val="00FC26CE"/>
    <w:rsid w:val="00FC5DC1"/>
    <w:rsid w:val="00FD1141"/>
    <w:rsid w:val="00FD3545"/>
    <w:rsid w:val="00FD5E28"/>
    <w:rsid w:val="00FD6A71"/>
    <w:rsid w:val="00FF05CE"/>
    <w:rsid w:val="00FF4660"/>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mbria" w:eastAsia="Cambria" w:hAnsi="Cambria" w:cs="Times New Roman"/>
        <w:sz w:val="22"/>
        <w:szCs w:val="22"/>
        <w:lang w:val="en-US" w:eastAsia="en-US"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574BB"/>
    <w:pPr>
      <w:spacing w:after="200"/>
    </w:pPr>
    <w:rPr>
      <w:sz w:val="24"/>
      <w:szCs w:val="24"/>
    </w:rPr>
  </w:style>
  <w:style w:type="paragraph" w:styleId="Heading1">
    <w:name w:val="heading 1"/>
    <w:basedOn w:val="Normal"/>
    <w:link w:val="Heading1Char"/>
    <w:uiPriority w:val="99"/>
    <w:qFormat/>
    <w:rsid w:val="00A954A4"/>
    <w:pPr>
      <w:spacing w:beforeLines="1" w:afterLines="1"/>
      <w:outlineLvl w:val="0"/>
    </w:pPr>
    <w:rPr>
      <w:rFonts w:ascii="Times" w:hAnsi="Times"/>
      <w:b/>
      <w:kern w:val="36"/>
      <w:sz w:val="48"/>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1"/>
    <w:uiPriority w:val="99"/>
    <w:rsid w:val="00E41716"/>
    <w:pPr>
      <w:spacing w:after="0"/>
    </w:pPr>
    <w:rPr>
      <w:rFonts w:ascii="Lucida Grande" w:hAnsi="Lucida Grande"/>
      <w:sz w:val="18"/>
      <w:szCs w:val="18"/>
    </w:rPr>
  </w:style>
  <w:style w:type="character" w:customStyle="1" w:styleId="BalloonTextChar">
    <w:name w:val="Balloon Text Char"/>
    <w:basedOn w:val="DefaultParagraphFont"/>
    <w:link w:val="BalloonText"/>
    <w:uiPriority w:val="99"/>
    <w:semiHidden/>
    <w:rsid w:val="00CF29A7"/>
    <w:rPr>
      <w:rFonts w:ascii="Lucida Grande" w:hAnsi="Lucida Grande"/>
      <w:sz w:val="18"/>
      <w:szCs w:val="18"/>
    </w:rPr>
  </w:style>
  <w:style w:type="character" w:customStyle="1" w:styleId="Heading1Char">
    <w:name w:val="Heading 1 Char"/>
    <w:basedOn w:val="DefaultParagraphFont"/>
    <w:link w:val="Heading1"/>
    <w:uiPriority w:val="99"/>
    <w:locked/>
    <w:rsid w:val="00A954A4"/>
    <w:rPr>
      <w:rFonts w:ascii="Times" w:hAnsi="Times" w:cs="Times New Roman"/>
      <w:b/>
      <w:kern w:val="36"/>
      <w:sz w:val="48"/>
    </w:rPr>
  </w:style>
  <w:style w:type="character" w:customStyle="1" w:styleId="BalloonTextChar0">
    <w:name w:val="Balloon Text Char"/>
    <w:basedOn w:val="DefaultParagraphFont"/>
    <w:link w:val="BalloonText"/>
    <w:uiPriority w:val="99"/>
    <w:semiHidden/>
    <w:locked/>
    <w:rsid w:val="002574BB"/>
    <w:rPr>
      <w:rFonts w:ascii="Lucida Grande" w:hAnsi="Lucida Grande" w:cs="Times New Roman"/>
      <w:sz w:val="18"/>
      <w:szCs w:val="18"/>
    </w:rPr>
  </w:style>
  <w:style w:type="paragraph" w:styleId="ListParagraph">
    <w:name w:val="List Paragraph"/>
    <w:basedOn w:val="Normal"/>
    <w:uiPriority w:val="99"/>
    <w:qFormat/>
    <w:rsid w:val="007D7396"/>
    <w:pPr>
      <w:ind w:left="720"/>
      <w:contextualSpacing/>
    </w:pPr>
  </w:style>
  <w:style w:type="paragraph" w:styleId="FootnoteText">
    <w:name w:val="footnote text"/>
    <w:basedOn w:val="Normal"/>
    <w:link w:val="FootnoteTextChar"/>
    <w:uiPriority w:val="99"/>
    <w:semiHidden/>
    <w:rsid w:val="007D7396"/>
    <w:pPr>
      <w:spacing w:after="0"/>
    </w:pPr>
  </w:style>
  <w:style w:type="character" w:customStyle="1" w:styleId="FootnoteTextChar">
    <w:name w:val="Footnote Text Char"/>
    <w:basedOn w:val="DefaultParagraphFont"/>
    <w:link w:val="FootnoteText"/>
    <w:uiPriority w:val="99"/>
    <w:semiHidden/>
    <w:locked/>
    <w:rsid w:val="007D7396"/>
    <w:rPr>
      <w:rFonts w:cs="Times New Roman"/>
      <w:sz w:val="24"/>
      <w:szCs w:val="24"/>
    </w:rPr>
  </w:style>
  <w:style w:type="character" w:styleId="FootnoteReference">
    <w:name w:val="footnote reference"/>
    <w:basedOn w:val="DefaultParagraphFont"/>
    <w:uiPriority w:val="99"/>
    <w:semiHidden/>
    <w:rsid w:val="007D7396"/>
    <w:rPr>
      <w:rFonts w:cs="Times New Roman"/>
      <w:vertAlign w:val="superscript"/>
    </w:rPr>
  </w:style>
  <w:style w:type="paragraph" w:styleId="Footer">
    <w:name w:val="footer"/>
    <w:basedOn w:val="Normal"/>
    <w:link w:val="FooterChar"/>
    <w:uiPriority w:val="99"/>
    <w:semiHidden/>
    <w:rsid w:val="00376314"/>
    <w:pPr>
      <w:tabs>
        <w:tab w:val="center" w:pos="4320"/>
        <w:tab w:val="right" w:pos="8640"/>
      </w:tabs>
      <w:spacing w:after="0"/>
    </w:pPr>
  </w:style>
  <w:style w:type="character" w:customStyle="1" w:styleId="FooterChar">
    <w:name w:val="Footer Char"/>
    <w:basedOn w:val="DefaultParagraphFont"/>
    <w:link w:val="Footer"/>
    <w:uiPriority w:val="99"/>
    <w:semiHidden/>
    <w:locked/>
    <w:rsid w:val="00376314"/>
    <w:rPr>
      <w:rFonts w:cs="Times New Roman"/>
      <w:sz w:val="24"/>
      <w:szCs w:val="24"/>
    </w:rPr>
  </w:style>
  <w:style w:type="character" w:styleId="PageNumber">
    <w:name w:val="page number"/>
    <w:basedOn w:val="DefaultParagraphFont"/>
    <w:uiPriority w:val="99"/>
    <w:semiHidden/>
    <w:rsid w:val="00376314"/>
    <w:rPr>
      <w:rFonts w:cs="Times New Roman"/>
    </w:rPr>
  </w:style>
  <w:style w:type="character" w:customStyle="1" w:styleId="apple-converted-space">
    <w:name w:val="apple-converted-space"/>
    <w:basedOn w:val="DefaultParagraphFont"/>
    <w:uiPriority w:val="99"/>
    <w:rsid w:val="00B33AF4"/>
    <w:rPr>
      <w:rFonts w:cs="Times New Roman"/>
    </w:rPr>
  </w:style>
  <w:style w:type="character" w:customStyle="1" w:styleId="apple-style-span">
    <w:name w:val="apple-style-span"/>
    <w:basedOn w:val="DefaultParagraphFont"/>
    <w:uiPriority w:val="99"/>
    <w:rsid w:val="00405108"/>
    <w:rPr>
      <w:rFonts w:cs="Times New Roman"/>
    </w:rPr>
  </w:style>
  <w:style w:type="character" w:styleId="Emphasis">
    <w:name w:val="Emphasis"/>
    <w:basedOn w:val="DefaultParagraphFont"/>
    <w:uiPriority w:val="99"/>
    <w:qFormat/>
    <w:rsid w:val="00A954A4"/>
    <w:rPr>
      <w:rFonts w:cs="Times New Roman"/>
      <w:i/>
    </w:rPr>
  </w:style>
  <w:style w:type="character" w:customStyle="1" w:styleId="addmd">
    <w:name w:val="addmd"/>
    <w:basedOn w:val="DefaultParagraphFont"/>
    <w:uiPriority w:val="99"/>
    <w:rsid w:val="00A954A4"/>
    <w:rPr>
      <w:rFonts w:cs="Times New Roman"/>
    </w:rPr>
  </w:style>
  <w:style w:type="character" w:customStyle="1" w:styleId="BalloonTextChar1">
    <w:name w:val="Balloon Text Char1"/>
    <w:basedOn w:val="DefaultParagraphFont"/>
    <w:link w:val="BalloonText"/>
    <w:uiPriority w:val="99"/>
    <w:locked/>
    <w:rsid w:val="00E41716"/>
    <w:rPr>
      <w:rFonts w:ascii="Lucida Grande" w:hAnsi="Lucida Grande" w:cs="Times New Roman"/>
      <w:sz w:val="18"/>
      <w:szCs w:val="18"/>
    </w:rPr>
  </w:style>
  <w:style w:type="paragraph" w:styleId="Header">
    <w:name w:val="header"/>
    <w:basedOn w:val="Normal"/>
    <w:link w:val="HeaderChar"/>
    <w:uiPriority w:val="99"/>
    <w:semiHidden/>
    <w:unhideWhenUsed/>
    <w:rsid w:val="00CB0720"/>
    <w:pPr>
      <w:tabs>
        <w:tab w:val="center" w:pos="4320"/>
        <w:tab w:val="right" w:pos="8640"/>
      </w:tabs>
      <w:spacing w:after="0"/>
    </w:pPr>
  </w:style>
  <w:style w:type="character" w:customStyle="1" w:styleId="HeaderChar">
    <w:name w:val="Header Char"/>
    <w:basedOn w:val="DefaultParagraphFont"/>
    <w:link w:val="Header"/>
    <w:uiPriority w:val="99"/>
    <w:semiHidden/>
    <w:rsid w:val="00CB0720"/>
    <w:rPr>
      <w:sz w:val="24"/>
      <w:szCs w:val="24"/>
    </w:rPr>
  </w:style>
</w:styles>
</file>

<file path=word/webSettings.xml><?xml version="1.0" encoding="utf-8"?>
<w:webSettings xmlns:r="http://schemas.openxmlformats.org/officeDocument/2006/relationships" xmlns:w="http://schemas.openxmlformats.org/wordprocessingml/2006/main">
  <w:divs>
    <w:div w:id="172957511">
      <w:marLeft w:val="0"/>
      <w:marRight w:val="0"/>
      <w:marTop w:val="0"/>
      <w:marBottom w:val="0"/>
      <w:divBdr>
        <w:top w:val="none" w:sz="0" w:space="0" w:color="auto"/>
        <w:left w:val="none" w:sz="0" w:space="0" w:color="auto"/>
        <w:bottom w:val="none" w:sz="0" w:space="0" w:color="auto"/>
        <w:right w:val="none" w:sz="0" w:space="0" w:color="auto"/>
      </w:divBdr>
    </w:div>
    <w:div w:id="172957512">
      <w:marLeft w:val="0"/>
      <w:marRight w:val="0"/>
      <w:marTop w:val="0"/>
      <w:marBottom w:val="0"/>
      <w:divBdr>
        <w:top w:val="none" w:sz="0" w:space="0" w:color="auto"/>
        <w:left w:val="none" w:sz="0" w:space="0" w:color="auto"/>
        <w:bottom w:val="none" w:sz="0" w:space="0" w:color="auto"/>
        <w:right w:val="none" w:sz="0" w:space="0" w:color="auto"/>
      </w:divBdr>
    </w:div>
    <w:div w:id="172957513">
      <w:marLeft w:val="0"/>
      <w:marRight w:val="0"/>
      <w:marTop w:val="0"/>
      <w:marBottom w:val="0"/>
      <w:divBdr>
        <w:top w:val="none" w:sz="0" w:space="0" w:color="auto"/>
        <w:left w:val="none" w:sz="0" w:space="0" w:color="auto"/>
        <w:bottom w:val="none" w:sz="0" w:space="0" w:color="auto"/>
        <w:right w:val="none" w:sz="0" w:space="0" w:color="auto"/>
      </w:divBdr>
    </w:div>
    <w:div w:id="172957514">
      <w:marLeft w:val="0"/>
      <w:marRight w:val="0"/>
      <w:marTop w:val="0"/>
      <w:marBottom w:val="0"/>
      <w:divBdr>
        <w:top w:val="none" w:sz="0" w:space="0" w:color="auto"/>
        <w:left w:val="none" w:sz="0" w:space="0" w:color="auto"/>
        <w:bottom w:val="none" w:sz="0" w:space="0" w:color="auto"/>
        <w:right w:val="none" w:sz="0" w:space="0" w:color="auto"/>
      </w:divBdr>
    </w:div>
    <w:div w:id="172957515">
      <w:marLeft w:val="0"/>
      <w:marRight w:val="0"/>
      <w:marTop w:val="0"/>
      <w:marBottom w:val="0"/>
      <w:divBdr>
        <w:top w:val="none" w:sz="0" w:space="0" w:color="auto"/>
        <w:left w:val="none" w:sz="0" w:space="0" w:color="auto"/>
        <w:bottom w:val="none" w:sz="0" w:space="0" w:color="auto"/>
        <w:right w:val="none" w:sz="0" w:space="0" w:color="auto"/>
      </w:divBdr>
    </w:div>
    <w:div w:id="172957516">
      <w:marLeft w:val="0"/>
      <w:marRight w:val="0"/>
      <w:marTop w:val="0"/>
      <w:marBottom w:val="0"/>
      <w:divBdr>
        <w:top w:val="none" w:sz="0" w:space="0" w:color="auto"/>
        <w:left w:val="none" w:sz="0" w:space="0" w:color="auto"/>
        <w:bottom w:val="none" w:sz="0" w:space="0" w:color="auto"/>
        <w:right w:val="none" w:sz="0" w:space="0" w:color="auto"/>
      </w:divBdr>
    </w:div>
    <w:div w:id="172957517">
      <w:marLeft w:val="0"/>
      <w:marRight w:val="0"/>
      <w:marTop w:val="0"/>
      <w:marBottom w:val="0"/>
      <w:divBdr>
        <w:top w:val="none" w:sz="0" w:space="0" w:color="auto"/>
        <w:left w:val="none" w:sz="0" w:space="0" w:color="auto"/>
        <w:bottom w:val="none" w:sz="0" w:space="0" w:color="auto"/>
        <w:right w:val="none" w:sz="0" w:space="0" w:color="auto"/>
      </w:divBdr>
    </w:div>
  </w:divs>
  <w:optimizeForBrowser/>
  <w:doNotSaveAsSingleFile/>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63</Pages>
  <Words>14940</Words>
  <Characters>85164</Characters>
  <Application>Microsoft Office Word</Application>
  <DocSecurity>4</DocSecurity>
  <Lines>709</Lines>
  <Paragraphs>199</Paragraphs>
  <ScaleCrop>false</ScaleCrop>
  <Company>UW-Madison</Company>
  <LinksUpToDate>false</LinksUpToDate>
  <CharactersWithSpaces>99905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The Thesis to End all Theses: A Robin Bates Production, co produced by the French Revolution and the Memorial Library Dungeon</dc:title>
  <dc:creator>Robin Bates</dc:creator>
  <cp:lastModifiedBy>Amy Schultz</cp:lastModifiedBy>
  <cp:revision>2</cp:revision>
  <dcterms:created xsi:type="dcterms:W3CDTF">2010-12-22T16:29:00Z</dcterms:created>
  <dcterms:modified xsi:type="dcterms:W3CDTF">2010-12-22T16:29:00Z</dcterms:modified>
</cp:coreProperties>
</file>