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11F5B4" w14:textId="77777777" w:rsidR="00162FA4" w:rsidRDefault="00162FA4" w:rsidP="00E03133">
      <w:pPr>
        <w:spacing w:line="480" w:lineRule="auto"/>
        <w:rPr>
          <w:rFonts w:ascii="Times New Roman" w:hAnsi="Times New Roman" w:cs="Times New Roman"/>
        </w:rPr>
      </w:pPr>
    </w:p>
    <w:p w14:paraId="1D0BB510" w14:textId="77777777" w:rsidR="00162FA4" w:rsidRDefault="00162FA4" w:rsidP="00E03133">
      <w:pPr>
        <w:spacing w:line="480" w:lineRule="auto"/>
        <w:rPr>
          <w:rFonts w:ascii="Times New Roman" w:hAnsi="Times New Roman" w:cs="Times New Roman"/>
        </w:rPr>
      </w:pPr>
    </w:p>
    <w:p w14:paraId="375997C7" w14:textId="1051510C" w:rsidR="00D57B73" w:rsidRPr="00162FA4" w:rsidRDefault="00162FA4" w:rsidP="00162FA4">
      <w:pPr>
        <w:spacing w:line="480" w:lineRule="auto"/>
        <w:jc w:val="center"/>
        <w:rPr>
          <w:rFonts w:ascii="Times New Roman" w:hAnsi="Times New Roman" w:cs="Times New Roman"/>
          <w:sz w:val="26"/>
          <w:szCs w:val="26"/>
        </w:rPr>
      </w:pPr>
      <w:r w:rsidRPr="00162FA4">
        <w:rPr>
          <w:rFonts w:ascii="Times" w:hAnsi="Times"/>
          <w:sz w:val="26"/>
          <w:szCs w:val="26"/>
        </w:rPr>
        <w:t>Tituba of Salem: The Racial, Gendered, and Encultured Dimensions of a Confessed Witch</w:t>
      </w:r>
    </w:p>
    <w:p w14:paraId="0A95F93F" w14:textId="77777777" w:rsidR="00D0104D" w:rsidRDefault="00D0104D" w:rsidP="00162FA4">
      <w:pPr>
        <w:spacing w:line="480" w:lineRule="auto"/>
        <w:jc w:val="center"/>
        <w:rPr>
          <w:rFonts w:ascii="Times New Roman" w:hAnsi="Times New Roman" w:cs="Times New Roman"/>
          <w:sz w:val="26"/>
          <w:szCs w:val="26"/>
        </w:rPr>
      </w:pPr>
    </w:p>
    <w:p w14:paraId="3C186E6E" w14:textId="77777777" w:rsidR="00162FA4" w:rsidRPr="00162FA4" w:rsidRDefault="00162FA4" w:rsidP="00162FA4">
      <w:pPr>
        <w:spacing w:line="480" w:lineRule="auto"/>
        <w:jc w:val="center"/>
        <w:rPr>
          <w:rFonts w:ascii="Times New Roman" w:hAnsi="Times New Roman" w:cs="Times New Roman"/>
          <w:sz w:val="26"/>
          <w:szCs w:val="26"/>
        </w:rPr>
      </w:pPr>
      <w:r w:rsidRPr="00162FA4">
        <w:rPr>
          <w:rFonts w:ascii="Times New Roman" w:hAnsi="Times New Roman" w:cs="Times New Roman"/>
          <w:sz w:val="26"/>
          <w:szCs w:val="26"/>
        </w:rPr>
        <w:t xml:space="preserve">Sarah </w:t>
      </w:r>
      <w:bookmarkStart w:id="0" w:name="_GoBack"/>
      <w:r w:rsidRPr="00162FA4">
        <w:rPr>
          <w:rFonts w:ascii="Times New Roman" w:hAnsi="Times New Roman" w:cs="Times New Roman"/>
          <w:sz w:val="26"/>
          <w:szCs w:val="26"/>
        </w:rPr>
        <w:t>Curley</w:t>
      </w:r>
      <w:bookmarkEnd w:id="0"/>
    </w:p>
    <w:p w14:paraId="0320906D" w14:textId="2C93FEEB" w:rsidR="00D57B73" w:rsidRDefault="00307235" w:rsidP="00162FA4">
      <w:pPr>
        <w:spacing w:line="480" w:lineRule="auto"/>
        <w:jc w:val="center"/>
        <w:rPr>
          <w:rFonts w:ascii="Times New Roman" w:hAnsi="Times New Roman" w:cs="Times New Roman"/>
          <w:sz w:val="26"/>
          <w:szCs w:val="26"/>
        </w:rPr>
      </w:pPr>
      <w:r w:rsidRPr="00307235">
        <w:rPr>
          <w:rFonts w:ascii="Times New Roman" w:hAnsi="Times New Roman" w:cs="Times New Roman"/>
          <w:sz w:val="26"/>
          <w:szCs w:val="26"/>
        </w:rPr>
        <w:t>Dr. Katherine Lang</w:t>
      </w:r>
    </w:p>
    <w:p w14:paraId="3CE852CF" w14:textId="37BD98C8" w:rsidR="00F942BE" w:rsidRDefault="00F942BE" w:rsidP="00162FA4">
      <w:pPr>
        <w:spacing w:line="480" w:lineRule="auto"/>
        <w:jc w:val="center"/>
        <w:rPr>
          <w:rFonts w:ascii="Times New Roman" w:hAnsi="Times New Roman" w:cs="Times New Roman"/>
          <w:sz w:val="26"/>
          <w:szCs w:val="26"/>
        </w:rPr>
      </w:pPr>
      <w:r>
        <w:rPr>
          <w:rFonts w:ascii="Times New Roman" w:hAnsi="Times New Roman" w:cs="Times New Roman"/>
          <w:sz w:val="26"/>
          <w:szCs w:val="26"/>
        </w:rPr>
        <w:t>Dr. James Oberly</w:t>
      </w:r>
    </w:p>
    <w:p w14:paraId="44A73B30" w14:textId="77777777" w:rsidR="00307235" w:rsidRDefault="00307235" w:rsidP="00307235">
      <w:pPr>
        <w:spacing w:line="480" w:lineRule="auto"/>
        <w:rPr>
          <w:rFonts w:ascii="Times New Roman" w:hAnsi="Times New Roman" w:cs="Times New Roman"/>
          <w:sz w:val="26"/>
          <w:szCs w:val="26"/>
        </w:rPr>
      </w:pPr>
    </w:p>
    <w:p w14:paraId="68527E5A" w14:textId="51381AC7" w:rsidR="00A15DC3" w:rsidRDefault="00307235" w:rsidP="00307235">
      <w:pPr>
        <w:spacing w:line="480" w:lineRule="auto"/>
        <w:rPr>
          <w:rFonts w:ascii="Times New Roman" w:hAnsi="Times New Roman" w:cs="Times New Roman"/>
          <w:sz w:val="26"/>
          <w:szCs w:val="26"/>
        </w:rPr>
      </w:pPr>
      <w:r>
        <w:rPr>
          <w:rFonts w:ascii="Times New Roman" w:hAnsi="Times New Roman" w:cs="Times New Roman"/>
          <w:sz w:val="26"/>
          <w:szCs w:val="26"/>
        </w:rPr>
        <w:t xml:space="preserve">Abstract: </w:t>
      </w:r>
      <w:r w:rsidR="00A15DC3" w:rsidRPr="00A15DC3">
        <w:rPr>
          <w:rFonts w:ascii="Times New Roman" w:hAnsi="Times New Roman" w:cs="Times New Roman"/>
          <w:sz w:val="26"/>
          <w:szCs w:val="26"/>
        </w:rPr>
        <w:t>This paper examines the involvement of the slave-woman Tituba in the Salem Witch Trials, observing how her race</w:t>
      </w:r>
      <w:r w:rsidR="00A15DC3">
        <w:rPr>
          <w:rFonts w:ascii="Times New Roman" w:hAnsi="Times New Roman" w:cs="Times New Roman"/>
          <w:sz w:val="26"/>
          <w:szCs w:val="26"/>
        </w:rPr>
        <w:t>, gender and culture predisposed</w:t>
      </w:r>
      <w:r w:rsidR="00A15DC3" w:rsidRPr="00A15DC3">
        <w:rPr>
          <w:rFonts w:ascii="Times New Roman" w:hAnsi="Times New Roman" w:cs="Times New Roman"/>
          <w:sz w:val="26"/>
          <w:szCs w:val="26"/>
        </w:rPr>
        <w:t xml:space="preserve"> Titub</w:t>
      </w:r>
      <w:r w:rsidR="00A15DC3">
        <w:rPr>
          <w:rFonts w:ascii="Times New Roman" w:hAnsi="Times New Roman" w:cs="Times New Roman"/>
          <w:sz w:val="26"/>
          <w:szCs w:val="26"/>
        </w:rPr>
        <w:t xml:space="preserve">a as a safe and logical choice for witchcraft accusation. </w:t>
      </w:r>
      <w:r w:rsidR="00A15DC3" w:rsidRPr="00A15DC3">
        <w:rPr>
          <w:rFonts w:ascii="Times New Roman" w:hAnsi="Times New Roman" w:cs="Times New Roman"/>
          <w:sz w:val="26"/>
          <w:szCs w:val="26"/>
        </w:rPr>
        <w:t>The study finds that</w:t>
      </w:r>
      <w:r w:rsidR="00A15DC3">
        <w:rPr>
          <w:rFonts w:ascii="Times New Roman" w:hAnsi="Times New Roman" w:cs="Times New Roman"/>
          <w:sz w:val="26"/>
          <w:szCs w:val="26"/>
        </w:rPr>
        <w:t xml:space="preserve"> the very factors which contributed to her accusation provided Tituba with the opportunity to confess. The primary argument offers that Tituba’s confession was significant given that it was the first</w:t>
      </w:r>
      <w:r w:rsidR="00653597">
        <w:rPr>
          <w:rFonts w:ascii="Times New Roman" w:hAnsi="Times New Roman" w:cs="Times New Roman"/>
          <w:sz w:val="26"/>
          <w:szCs w:val="26"/>
        </w:rPr>
        <w:t xml:space="preserve"> in the trials to be offered. Her gender and race and cultural practices, while submitting her to accusation, are also the factors that led to her confession. </w:t>
      </w:r>
      <w:r w:rsidR="00A15DC3">
        <w:rPr>
          <w:rFonts w:ascii="Times New Roman" w:hAnsi="Times New Roman" w:cs="Times New Roman"/>
          <w:sz w:val="26"/>
          <w:szCs w:val="26"/>
        </w:rPr>
        <w:t xml:space="preserve"> </w:t>
      </w:r>
    </w:p>
    <w:p w14:paraId="78FFB43F" w14:textId="77777777" w:rsidR="00162FA4" w:rsidRDefault="00162FA4" w:rsidP="003B66FE">
      <w:pPr>
        <w:spacing w:line="480" w:lineRule="auto"/>
        <w:rPr>
          <w:rFonts w:ascii="Times New Roman" w:hAnsi="Times New Roman" w:cs="Times New Roman"/>
        </w:rPr>
      </w:pPr>
    </w:p>
    <w:p w14:paraId="349C0B04" w14:textId="77777777" w:rsidR="00D57B73" w:rsidRDefault="00D57B73" w:rsidP="003B66FE">
      <w:pPr>
        <w:spacing w:line="480" w:lineRule="auto"/>
        <w:rPr>
          <w:rFonts w:ascii="Times New Roman" w:hAnsi="Times New Roman" w:cs="Times New Roman"/>
        </w:rPr>
      </w:pPr>
    </w:p>
    <w:p w14:paraId="3AEA7570" w14:textId="77777777" w:rsidR="00DE1DF3" w:rsidRDefault="00DE1DF3" w:rsidP="003B66FE">
      <w:pPr>
        <w:spacing w:line="480" w:lineRule="auto"/>
        <w:rPr>
          <w:rFonts w:ascii="Times New Roman" w:hAnsi="Times New Roman" w:cs="Times New Roman"/>
        </w:rPr>
      </w:pPr>
    </w:p>
    <w:p w14:paraId="67AD46F7" w14:textId="31DD5457" w:rsidR="00162FA4" w:rsidRPr="00162FA4" w:rsidRDefault="00162FA4" w:rsidP="00162FA4">
      <w:pPr>
        <w:spacing w:line="360" w:lineRule="auto"/>
        <w:jc w:val="center"/>
        <w:rPr>
          <w:rFonts w:ascii="Times New Roman" w:hAnsi="Times New Roman" w:cs="Times New Roman"/>
        </w:rPr>
      </w:pPr>
      <w:r w:rsidRPr="00162FA4">
        <w:rPr>
          <w:rFonts w:ascii="Times New Roman" w:hAnsi="Times New Roman" w:cs="Times New Roman"/>
        </w:rPr>
        <w:t>Copyright for this work is owned by the author. This digital version is published by McIntyre Library, University of Wisconsin Eau Claire</w:t>
      </w:r>
      <w:r>
        <w:rPr>
          <w:rFonts w:ascii="Times New Roman" w:hAnsi="Times New Roman" w:cs="Times New Roman"/>
        </w:rPr>
        <w:t xml:space="preserve"> </w:t>
      </w:r>
      <w:r w:rsidRPr="00162FA4">
        <w:rPr>
          <w:rFonts w:ascii="Times New Roman" w:hAnsi="Times New Roman" w:cs="Times New Roman"/>
        </w:rPr>
        <w:t>with the consent of the author.</w:t>
      </w:r>
    </w:p>
    <w:p w14:paraId="3174B321" w14:textId="77777777" w:rsidR="00D57B73" w:rsidRDefault="00D57B73" w:rsidP="003B66FE">
      <w:pPr>
        <w:spacing w:line="480" w:lineRule="auto"/>
        <w:rPr>
          <w:rFonts w:ascii="Times New Roman" w:hAnsi="Times New Roman" w:cs="Times New Roman"/>
        </w:rPr>
      </w:pPr>
    </w:p>
    <w:p w14:paraId="4C0F3B9D" w14:textId="0DFA4FAC" w:rsidR="003B66FE" w:rsidRDefault="00B00916" w:rsidP="00D57B73">
      <w:pPr>
        <w:spacing w:line="480" w:lineRule="auto"/>
        <w:ind w:firstLine="720"/>
        <w:rPr>
          <w:rFonts w:ascii="Times New Roman" w:hAnsi="Times New Roman" w:cs="Times New Roman"/>
        </w:rPr>
      </w:pPr>
      <w:r>
        <w:rPr>
          <w:rFonts w:ascii="Times New Roman" w:hAnsi="Times New Roman" w:cs="Times New Roman"/>
        </w:rPr>
        <w:lastRenderedPageBreak/>
        <w:t>On March 1</w:t>
      </w:r>
      <w:r w:rsidRPr="00584CED">
        <w:rPr>
          <w:rFonts w:ascii="Times New Roman" w:hAnsi="Times New Roman" w:cs="Times New Roman"/>
          <w:vertAlign w:val="superscript"/>
        </w:rPr>
        <w:t>st</w:t>
      </w:r>
      <w:r>
        <w:rPr>
          <w:rFonts w:ascii="Times New Roman" w:hAnsi="Times New Roman" w:cs="Times New Roman"/>
        </w:rPr>
        <w:t>, 1692, a large crowd gathered at the Salem meeting house to witness the questioning of three women accused of witchcraft.</w:t>
      </w:r>
      <w:r>
        <w:rPr>
          <w:rStyle w:val="FootnoteReference"/>
          <w:rFonts w:ascii="Times New Roman" w:hAnsi="Times New Roman" w:cs="Times New Roman"/>
        </w:rPr>
        <w:footnoteReference w:id="1"/>
      </w:r>
      <w:r>
        <w:rPr>
          <w:rFonts w:ascii="Times New Roman" w:hAnsi="Times New Roman" w:cs="Times New Roman"/>
        </w:rPr>
        <w:t xml:space="preserve"> The women, including a beggar, a social outcast</w:t>
      </w:r>
      <w:r w:rsidR="00206010">
        <w:rPr>
          <w:rFonts w:ascii="Times New Roman" w:hAnsi="Times New Roman" w:cs="Times New Roman"/>
        </w:rPr>
        <w:t>,</w:t>
      </w:r>
      <w:r>
        <w:rPr>
          <w:rFonts w:ascii="Times New Roman" w:hAnsi="Times New Roman" w:cs="Times New Roman"/>
        </w:rPr>
        <w:t xml:space="preserve"> and a slave, were questioned individually as the townspeople listened eagerly. Perhaps most unnerving about the interview proceedings was the presence of the women’s accusers: a collection of frantic young gir</w:t>
      </w:r>
      <w:r w:rsidR="00024988">
        <w:rPr>
          <w:rFonts w:ascii="Times New Roman" w:hAnsi="Times New Roman" w:cs="Times New Roman"/>
        </w:rPr>
        <w:t>ls claiming to have been harm</w:t>
      </w:r>
      <w:r>
        <w:rPr>
          <w:rFonts w:ascii="Times New Roman" w:hAnsi="Times New Roman" w:cs="Times New Roman"/>
        </w:rPr>
        <w:t xml:space="preserve">ed by the supposed witches’ dark exploits. One by one </w:t>
      </w:r>
      <w:r w:rsidR="00024988">
        <w:rPr>
          <w:rFonts w:ascii="Times New Roman" w:hAnsi="Times New Roman" w:cs="Times New Roman"/>
        </w:rPr>
        <w:t>the women denied their charges. T</w:t>
      </w:r>
      <w:r>
        <w:rPr>
          <w:rFonts w:ascii="Times New Roman" w:hAnsi="Times New Roman" w:cs="Times New Roman"/>
        </w:rPr>
        <w:t xml:space="preserve">heir explanations met with hysterical outbursts and shrieks of pain from the girls. This pattern of denial and condemnation was challenged when, with a mere ten words, the </w:t>
      </w:r>
      <w:r w:rsidR="00DD1D8F">
        <w:rPr>
          <w:rFonts w:ascii="Times New Roman" w:hAnsi="Times New Roman" w:cs="Times New Roman"/>
        </w:rPr>
        <w:t>slave woman</w:t>
      </w:r>
      <w:r>
        <w:rPr>
          <w:rFonts w:ascii="Times New Roman" w:hAnsi="Times New Roman" w:cs="Times New Roman"/>
        </w:rPr>
        <w:t xml:space="preserve"> Tituba confessed to witchcraft: “‘The Devil came to me and bid me serve him,’” she admitted.</w:t>
      </w:r>
      <w:r>
        <w:rPr>
          <w:rStyle w:val="FootnoteReference"/>
          <w:rFonts w:ascii="Times New Roman" w:hAnsi="Times New Roman" w:cs="Times New Roman"/>
        </w:rPr>
        <w:footnoteReference w:id="2"/>
      </w:r>
      <w:r>
        <w:rPr>
          <w:rFonts w:ascii="Times New Roman" w:hAnsi="Times New Roman" w:cs="Times New Roman"/>
        </w:rPr>
        <w:t xml:space="preserve"> With her confession, the stage of the Salem witch trials was set. The infamous events would lead to the execution of twenty persons and the imprisonment of over one hundred others.</w:t>
      </w:r>
      <w:r>
        <w:rPr>
          <w:rStyle w:val="FootnoteReference"/>
          <w:rFonts w:ascii="Times New Roman" w:hAnsi="Times New Roman" w:cs="Times New Roman"/>
        </w:rPr>
        <w:footnoteReference w:id="3"/>
      </w:r>
      <w:r>
        <w:rPr>
          <w:rFonts w:ascii="Times New Roman" w:hAnsi="Times New Roman" w:cs="Times New Roman"/>
        </w:rPr>
        <w:t xml:space="preserve"> Among the survivors was Tituba, who after being released from jail through an anonymous bailout in 1693, disappeared from recorded history.</w:t>
      </w:r>
      <w:r>
        <w:rPr>
          <w:rStyle w:val="FootnoteReference"/>
          <w:rFonts w:ascii="Times New Roman" w:hAnsi="Times New Roman" w:cs="Times New Roman"/>
        </w:rPr>
        <w:footnoteReference w:id="4"/>
      </w:r>
      <w:r>
        <w:rPr>
          <w:rFonts w:ascii="Times New Roman" w:hAnsi="Times New Roman" w:cs="Times New Roman"/>
        </w:rPr>
        <w:t xml:space="preserve"> </w:t>
      </w:r>
    </w:p>
    <w:p w14:paraId="14B2ABD7" w14:textId="32CFBCEB" w:rsidR="003A75CA" w:rsidRDefault="003A75CA" w:rsidP="00CA7FD9">
      <w:pPr>
        <w:spacing w:line="480" w:lineRule="auto"/>
        <w:ind w:firstLine="720"/>
        <w:rPr>
          <w:rFonts w:ascii="Times New Roman" w:hAnsi="Times New Roman" w:cs="Times New Roman"/>
        </w:rPr>
      </w:pPr>
      <w:r w:rsidRPr="001750D4">
        <w:rPr>
          <w:rFonts w:ascii="Times New Roman" w:hAnsi="Times New Roman" w:cs="Times New Roman"/>
        </w:rPr>
        <w:t xml:space="preserve">A slave in the household of the Reverend Samuel Parris, Tituba was accused of witchcraft by Parris’ daughter Betty and his niece Abigail Williams, in January 1692. </w:t>
      </w:r>
      <w:r w:rsidRPr="001750D4">
        <w:rPr>
          <w:rFonts w:ascii="Times New Roman" w:hAnsi="Times New Roman" w:cs="Times New Roman"/>
        </w:rPr>
        <w:lastRenderedPageBreak/>
        <w:t>Following the girls’ display of bizarre and hysteric behavior, deemed the source of demonic forces by local physician William Griggs, three women were named as the girls’ agitators.</w:t>
      </w:r>
      <w:r w:rsidRPr="001750D4">
        <w:rPr>
          <w:rStyle w:val="FootnoteReference"/>
          <w:rFonts w:ascii="Times New Roman" w:hAnsi="Times New Roman" w:cs="Times New Roman"/>
        </w:rPr>
        <w:t xml:space="preserve"> </w:t>
      </w:r>
      <w:r w:rsidRPr="001750D4">
        <w:rPr>
          <w:rStyle w:val="FootnoteReference"/>
          <w:rFonts w:ascii="Times New Roman" w:hAnsi="Times New Roman" w:cs="Times New Roman"/>
        </w:rPr>
        <w:footnoteReference w:id="5"/>
      </w:r>
      <w:r w:rsidRPr="001750D4">
        <w:rPr>
          <w:rFonts w:ascii="Times New Roman" w:hAnsi="Times New Roman" w:cs="Times New Roman"/>
        </w:rPr>
        <w:t xml:space="preserve"> Alongside Tituba, two other local Salem women, Sarah Osborne and Sarah Good, were </w:t>
      </w:r>
      <w:r>
        <w:rPr>
          <w:rFonts w:ascii="Times New Roman" w:hAnsi="Times New Roman" w:cs="Times New Roman"/>
        </w:rPr>
        <w:t xml:space="preserve">initially </w:t>
      </w:r>
      <w:r w:rsidRPr="001750D4">
        <w:rPr>
          <w:rFonts w:ascii="Times New Roman" w:hAnsi="Times New Roman" w:cs="Times New Roman"/>
        </w:rPr>
        <w:t>accused and put on trial.</w:t>
      </w:r>
      <w:r w:rsidR="00206010">
        <w:rPr>
          <w:rFonts w:ascii="Times New Roman" w:hAnsi="Times New Roman" w:cs="Times New Roman"/>
        </w:rPr>
        <w:t xml:space="preserve"> </w:t>
      </w:r>
      <w:r w:rsidR="00CA7FD9">
        <w:rPr>
          <w:rFonts w:ascii="Times New Roman" w:hAnsi="Times New Roman" w:cs="Times New Roman"/>
        </w:rPr>
        <w:t xml:space="preserve">Tituba was a complex and unique resident of Salem. An intricate </w:t>
      </w:r>
      <w:r w:rsidR="00CA7FD9" w:rsidRPr="001750D4">
        <w:rPr>
          <w:rFonts w:ascii="Times New Roman" w:hAnsi="Times New Roman" w:cs="Times New Roman"/>
        </w:rPr>
        <w:t>collection of diverse social exp</w:t>
      </w:r>
      <w:r w:rsidR="00CA7FD9">
        <w:rPr>
          <w:rFonts w:ascii="Times New Roman" w:hAnsi="Times New Roman" w:cs="Times New Roman"/>
        </w:rPr>
        <w:t>ectations, prescribed</w:t>
      </w:r>
      <w:r w:rsidR="00CA7FD9" w:rsidRPr="001750D4">
        <w:rPr>
          <w:rFonts w:ascii="Times New Roman" w:hAnsi="Times New Roman" w:cs="Times New Roman"/>
        </w:rPr>
        <w:t xml:space="preserve"> by </w:t>
      </w:r>
      <w:r w:rsidR="00CA7FD9">
        <w:rPr>
          <w:rFonts w:ascii="Times New Roman" w:hAnsi="Times New Roman" w:cs="Times New Roman"/>
        </w:rPr>
        <w:t xml:space="preserve">both </w:t>
      </w:r>
      <w:r w:rsidR="00CA7FD9" w:rsidRPr="001750D4">
        <w:rPr>
          <w:rFonts w:ascii="Times New Roman" w:hAnsi="Times New Roman" w:cs="Times New Roman"/>
        </w:rPr>
        <w:t>her gender and race</w:t>
      </w:r>
      <w:r w:rsidR="00CA7FD9">
        <w:rPr>
          <w:rFonts w:ascii="Times New Roman" w:hAnsi="Times New Roman" w:cs="Times New Roman"/>
        </w:rPr>
        <w:t xml:space="preserve">, bound her role within the village. </w:t>
      </w:r>
      <w:r w:rsidR="00206010" w:rsidRPr="001750D4">
        <w:rPr>
          <w:rFonts w:ascii="Times New Roman" w:hAnsi="Times New Roman" w:cs="Times New Roman"/>
        </w:rPr>
        <w:t xml:space="preserve">The expectations of Puritan women shaped the perception of Tituba, as well as constrained her to specific behaviors. Her racial makeup also subjected her to specific Puritan conceptions, in addition to impacting her expected actions and obligations as a slave. </w:t>
      </w:r>
      <w:r w:rsidR="00206010">
        <w:rPr>
          <w:rFonts w:ascii="Times New Roman" w:hAnsi="Times New Roman" w:cs="Times New Roman"/>
        </w:rPr>
        <w:t>Both of these components—gender and race—proved significant in the events that would lead to the witch trials and Tituba’s particular involvement.</w:t>
      </w:r>
    </w:p>
    <w:p w14:paraId="23EA75C6" w14:textId="7B81DE6F" w:rsidR="008C4724" w:rsidRPr="001750D4" w:rsidRDefault="003A75CA" w:rsidP="00E83E01">
      <w:pPr>
        <w:spacing w:line="480" w:lineRule="auto"/>
        <w:ind w:firstLine="720"/>
        <w:rPr>
          <w:rFonts w:ascii="Times New Roman" w:hAnsi="Times New Roman" w:cs="Times New Roman"/>
        </w:rPr>
      </w:pPr>
      <w:r>
        <w:rPr>
          <w:rFonts w:ascii="Times New Roman" w:hAnsi="Times New Roman" w:cs="Times New Roman"/>
        </w:rPr>
        <w:t>While the</w:t>
      </w:r>
      <w:r w:rsidR="00623F83">
        <w:rPr>
          <w:rFonts w:ascii="Times New Roman" w:hAnsi="Times New Roman" w:cs="Times New Roman"/>
        </w:rPr>
        <w:t xml:space="preserve"> components of gender and race are intricately interconnected in Tituba, it is important to understand them</w:t>
      </w:r>
      <w:r w:rsidR="008A19B4">
        <w:rPr>
          <w:rFonts w:ascii="Times New Roman" w:hAnsi="Times New Roman" w:cs="Times New Roman"/>
        </w:rPr>
        <w:t xml:space="preserve"> thoroughly and</w:t>
      </w:r>
      <w:r w:rsidR="00623F83">
        <w:rPr>
          <w:rFonts w:ascii="Times New Roman" w:hAnsi="Times New Roman" w:cs="Times New Roman"/>
        </w:rPr>
        <w:t xml:space="preserve"> individually before considering the inters</w:t>
      </w:r>
      <w:r w:rsidR="00CA7FD9">
        <w:rPr>
          <w:rFonts w:ascii="Times New Roman" w:hAnsi="Times New Roman" w:cs="Times New Roman"/>
        </w:rPr>
        <w:t>ection her personhood presents. I</w:t>
      </w:r>
      <w:r w:rsidR="00DB55A0">
        <w:rPr>
          <w:rFonts w:ascii="Times New Roman" w:hAnsi="Times New Roman" w:cs="Times New Roman"/>
        </w:rPr>
        <w:t>t</w:t>
      </w:r>
      <w:r w:rsidR="008A19B4">
        <w:rPr>
          <w:rFonts w:ascii="Times New Roman" w:hAnsi="Times New Roman" w:cs="Times New Roman"/>
        </w:rPr>
        <w:t xml:space="preserve"> was</w:t>
      </w:r>
      <w:r w:rsidR="005E611E" w:rsidRPr="001750D4">
        <w:rPr>
          <w:rFonts w:ascii="Times New Roman" w:hAnsi="Times New Roman" w:cs="Times New Roman"/>
        </w:rPr>
        <w:t xml:space="preserve"> these aspects that comprised her character—her race and gender—that </w:t>
      </w:r>
      <w:r w:rsidR="00CA7FD9">
        <w:rPr>
          <w:rFonts w:ascii="Times New Roman" w:hAnsi="Times New Roman" w:cs="Times New Roman"/>
        </w:rPr>
        <w:t xml:space="preserve">together </w:t>
      </w:r>
      <w:r w:rsidR="005E611E" w:rsidRPr="001750D4">
        <w:rPr>
          <w:rFonts w:ascii="Times New Roman" w:hAnsi="Times New Roman" w:cs="Times New Roman"/>
        </w:rPr>
        <w:t>determined Tituba’s r</w:t>
      </w:r>
      <w:r w:rsidR="00587F8E" w:rsidRPr="001750D4">
        <w:rPr>
          <w:rFonts w:ascii="Times New Roman" w:hAnsi="Times New Roman" w:cs="Times New Roman"/>
        </w:rPr>
        <w:t>ole</w:t>
      </w:r>
      <w:r w:rsidR="00E81C1B">
        <w:rPr>
          <w:rFonts w:ascii="Times New Roman" w:hAnsi="Times New Roman" w:cs="Times New Roman"/>
        </w:rPr>
        <w:t xml:space="preserve">, and most significantly, the inevitability of her confession, </w:t>
      </w:r>
      <w:r w:rsidR="00587F8E" w:rsidRPr="001750D4">
        <w:rPr>
          <w:rFonts w:ascii="Times New Roman" w:hAnsi="Times New Roman" w:cs="Times New Roman"/>
        </w:rPr>
        <w:t xml:space="preserve">in the Salem witch trials.  </w:t>
      </w:r>
    </w:p>
    <w:p w14:paraId="1D6F9EE4" w14:textId="591D5CCC" w:rsidR="005E611E" w:rsidRPr="00FB6C71" w:rsidRDefault="003931FC" w:rsidP="005A301D">
      <w:pPr>
        <w:spacing w:line="480" w:lineRule="auto"/>
        <w:ind w:left="720" w:firstLine="720"/>
        <w:rPr>
          <w:rFonts w:ascii="Times New Roman" w:hAnsi="Times New Roman" w:cs="Times New Roman"/>
          <w:b/>
        </w:rPr>
      </w:pPr>
      <w:r w:rsidRPr="00FB6C71">
        <w:rPr>
          <w:rFonts w:ascii="Times New Roman" w:hAnsi="Times New Roman" w:cs="Times New Roman"/>
          <w:b/>
        </w:rPr>
        <w:t xml:space="preserve">I. </w:t>
      </w:r>
      <w:r w:rsidR="005A301D" w:rsidRPr="00FB6C71">
        <w:rPr>
          <w:rFonts w:ascii="Times New Roman" w:hAnsi="Times New Roman" w:cs="Times New Roman"/>
          <w:b/>
        </w:rPr>
        <w:t>Fear of a Devilish Woman: Gender in Puritan Doctrine</w:t>
      </w:r>
    </w:p>
    <w:p w14:paraId="0E92C8A2" w14:textId="6351BFB0" w:rsidR="005E611E" w:rsidRPr="001750D4" w:rsidRDefault="00551F23" w:rsidP="00640A68">
      <w:pPr>
        <w:spacing w:line="480" w:lineRule="auto"/>
        <w:ind w:firstLine="720"/>
        <w:rPr>
          <w:rFonts w:ascii="Times New Roman" w:hAnsi="Times New Roman" w:cs="Times New Roman"/>
        </w:rPr>
      </w:pPr>
      <w:r w:rsidRPr="001750D4">
        <w:rPr>
          <w:rFonts w:ascii="Times New Roman" w:hAnsi="Times New Roman" w:cs="Times New Roman"/>
        </w:rPr>
        <w:t xml:space="preserve">Puritan doctrine </w:t>
      </w:r>
      <w:r w:rsidR="005002E5" w:rsidRPr="001750D4">
        <w:rPr>
          <w:rFonts w:ascii="Times New Roman" w:hAnsi="Times New Roman" w:cs="Times New Roman"/>
        </w:rPr>
        <w:t xml:space="preserve">dictated strict gender roles for both men and women. </w:t>
      </w:r>
      <w:r w:rsidR="00926EBE" w:rsidRPr="001750D4">
        <w:rPr>
          <w:rFonts w:ascii="Times New Roman" w:hAnsi="Times New Roman" w:cs="Times New Roman"/>
        </w:rPr>
        <w:t xml:space="preserve">As the head of the household, men supplied the labor necessary to maintain the land and provide for their family. </w:t>
      </w:r>
      <w:r w:rsidR="00E8142F" w:rsidRPr="001750D4">
        <w:rPr>
          <w:rFonts w:ascii="Times New Roman" w:hAnsi="Times New Roman" w:cs="Times New Roman"/>
        </w:rPr>
        <w:t xml:space="preserve">They occupied public positions of power, with legal, political, and religious status; men could also vote and own property. Contrastingly, women </w:t>
      </w:r>
      <w:r w:rsidR="00E8142F" w:rsidRPr="001750D4">
        <w:rPr>
          <w:rFonts w:ascii="Times New Roman" w:hAnsi="Times New Roman" w:cs="Times New Roman"/>
        </w:rPr>
        <w:lastRenderedPageBreak/>
        <w:t xml:space="preserve">managed the domestic work of a Puritan household, particularly the </w:t>
      </w:r>
      <w:r w:rsidR="00C55E67" w:rsidRPr="001750D4">
        <w:rPr>
          <w:rFonts w:ascii="Times New Roman" w:hAnsi="Times New Roman" w:cs="Times New Roman"/>
        </w:rPr>
        <w:t xml:space="preserve">rearing of </w:t>
      </w:r>
      <w:r w:rsidR="00E8142F" w:rsidRPr="001750D4">
        <w:rPr>
          <w:rFonts w:ascii="Times New Roman" w:hAnsi="Times New Roman" w:cs="Times New Roman"/>
        </w:rPr>
        <w:t>children. Women could not vote or own property, and held little presence or recognition outside the home. Both men and women were boun</w:t>
      </w:r>
      <w:r w:rsidR="00C55E67" w:rsidRPr="001750D4">
        <w:rPr>
          <w:rFonts w:ascii="Times New Roman" w:hAnsi="Times New Roman" w:cs="Times New Roman"/>
        </w:rPr>
        <w:t xml:space="preserve">d </w:t>
      </w:r>
      <w:r w:rsidR="007101AB" w:rsidRPr="001750D4">
        <w:rPr>
          <w:rFonts w:ascii="Times New Roman" w:hAnsi="Times New Roman" w:cs="Times New Roman"/>
        </w:rPr>
        <w:t>to strict religious expectations</w:t>
      </w:r>
      <w:r w:rsidR="00E8142F" w:rsidRPr="001750D4">
        <w:rPr>
          <w:rFonts w:ascii="Times New Roman" w:hAnsi="Times New Roman" w:cs="Times New Roman"/>
        </w:rPr>
        <w:t xml:space="preserve"> that demanded </w:t>
      </w:r>
      <w:r w:rsidR="00C55E67" w:rsidRPr="001750D4">
        <w:rPr>
          <w:rFonts w:ascii="Times New Roman" w:hAnsi="Times New Roman" w:cs="Times New Roman"/>
        </w:rPr>
        <w:t xml:space="preserve">devout faith and adherence to God’s will. </w:t>
      </w:r>
      <w:r w:rsidR="007C0C09" w:rsidRPr="001750D4">
        <w:rPr>
          <w:rFonts w:ascii="Times New Roman" w:hAnsi="Times New Roman" w:cs="Times New Roman"/>
        </w:rPr>
        <w:t xml:space="preserve">From their faith, men and women also </w:t>
      </w:r>
      <w:r w:rsidR="00B31F39" w:rsidRPr="001750D4">
        <w:rPr>
          <w:rFonts w:ascii="Times New Roman" w:hAnsi="Times New Roman" w:cs="Times New Roman"/>
        </w:rPr>
        <w:t xml:space="preserve">were informed of a gender hierarchy. </w:t>
      </w:r>
      <w:r w:rsidR="004F6819" w:rsidRPr="001750D4">
        <w:rPr>
          <w:rFonts w:ascii="Times New Roman" w:hAnsi="Times New Roman" w:cs="Times New Roman"/>
        </w:rPr>
        <w:t xml:space="preserve">Historian Paul </w:t>
      </w:r>
      <w:proofErr w:type="spellStart"/>
      <w:r w:rsidR="004F6819" w:rsidRPr="001750D4">
        <w:rPr>
          <w:rFonts w:ascii="Times New Roman" w:hAnsi="Times New Roman" w:cs="Times New Roman"/>
        </w:rPr>
        <w:t>Lindholt</w:t>
      </w:r>
      <w:proofErr w:type="spellEnd"/>
      <w:r w:rsidR="004F6819" w:rsidRPr="001750D4">
        <w:rPr>
          <w:rFonts w:ascii="Times New Roman" w:hAnsi="Times New Roman" w:cs="Times New Roman"/>
        </w:rPr>
        <w:t xml:space="preserve"> </w:t>
      </w:r>
      <w:r w:rsidR="00A54DE4" w:rsidRPr="001750D4">
        <w:rPr>
          <w:rFonts w:ascii="Times New Roman" w:hAnsi="Times New Roman" w:cs="Times New Roman"/>
        </w:rPr>
        <w:t xml:space="preserve">concedes to this notion, offering, “Puritan gender beliefs </w:t>
      </w:r>
      <w:r w:rsidR="00576254" w:rsidRPr="001750D4">
        <w:rPr>
          <w:rFonts w:ascii="Times New Roman" w:hAnsi="Times New Roman" w:cs="Times New Roman"/>
        </w:rPr>
        <w:t>held to Corinthians, in that ‘t</w:t>
      </w:r>
      <w:r w:rsidR="00A54DE4" w:rsidRPr="001750D4">
        <w:rPr>
          <w:rFonts w:ascii="Times New Roman" w:hAnsi="Times New Roman" w:cs="Times New Roman"/>
        </w:rPr>
        <w:t xml:space="preserve">he head of </w:t>
      </w:r>
      <w:r w:rsidR="007101AB" w:rsidRPr="001750D4">
        <w:rPr>
          <w:rFonts w:ascii="Times New Roman" w:hAnsi="Times New Roman" w:cs="Times New Roman"/>
        </w:rPr>
        <w:t>every man</w:t>
      </w:r>
      <w:r w:rsidR="00A54DE4" w:rsidRPr="001750D4">
        <w:rPr>
          <w:rFonts w:ascii="Times New Roman" w:hAnsi="Times New Roman" w:cs="Times New Roman"/>
        </w:rPr>
        <w:t xml:space="preserve"> is Christ; the head of the woman is the man; and the head of Christ is God.’ In the Great Chain of Being, women occupied a slot just above the beast of field.”</w:t>
      </w:r>
      <w:r w:rsidR="00A54DE4" w:rsidRPr="001750D4">
        <w:rPr>
          <w:rStyle w:val="FootnoteReference"/>
          <w:rFonts w:ascii="Times New Roman" w:hAnsi="Times New Roman" w:cs="Times New Roman"/>
        </w:rPr>
        <w:footnoteReference w:id="6"/>
      </w:r>
      <w:r w:rsidR="008455C7" w:rsidRPr="001750D4">
        <w:rPr>
          <w:rFonts w:ascii="Times New Roman" w:hAnsi="Times New Roman" w:cs="Times New Roman"/>
        </w:rPr>
        <w:t xml:space="preserve"> </w:t>
      </w:r>
      <w:proofErr w:type="spellStart"/>
      <w:r w:rsidR="008455C7" w:rsidRPr="001750D4">
        <w:rPr>
          <w:rFonts w:ascii="Times New Roman" w:hAnsi="Times New Roman" w:cs="Times New Roman"/>
        </w:rPr>
        <w:t>Lindholt</w:t>
      </w:r>
      <w:proofErr w:type="spellEnd"/>
      <w:r w:rsidR="008455C7" w:rsidRPr="001750D4">
        <w:rPr>
          <w:rFonts w:ascii="Times New Roman" w:hAnsi="Times New Roman" w:cs="Times New Roman"/>
        </w:rPr>
        <w:t xml:space="preserve"> is accurate in this assessment of Puritan gender roles. Women were lar</w:t>
      </w:r>
      <w:r w:rsidR="00593E85">
        <w:rPr>
          <w:rFonts w:ascii="Times New Roman" w:hAnsi="Times New Roman" w:cs="Times New Roman"/>
        </w:rPr>
        <w:t>gely regarded as weaker, more frail</w:t>
      </w:r>
      <w:r w:rsidR="008455C7" w:rsidRPr="001750D4">
        <w:rPr>
          <w:rFonts w:ascii="Times New Roman" w:hAnsi="Times New Roman" w:cs="Times New Roman"/>
        </w:rPr>
        <w:t xml:space="preserve">, and inferior </w:t>
      </w:r>
      <w:r w:rsidR="008B3869" w:rsidRPr="001750D4">
        <w:rPr>
          <w:rFonts w:ascii="Times New Roman" w:hAnsi="Times New Roman" w:cs="Times New Roman"/>
        </w:rPr>
        <w:t xml:space="preserve">to the abilities and righteousness of men. </w:t>
      </w:r>
      <w:r w:rsidR="00750DAD" w:rsidRPr="001750D4">
        <w:rPr>
          <w:rFonts w:ascii="Times New Roman" w:hAnsi="Times New Roman" w:cs="Times New Roman"/>
        </w:rPr>
        <w:t>This assumption placed a significant expectation on Puritan women to be subordinate and subm</w:t>
      </w:r>
      <w:r w:rsidR="00BC3AC5" w:rsidRPr="001750D4">
        <w:rPr>
          <w:rFonts w:ascii="Times New Roman" w:hAnsi="Times New Roman" w:cs="Times New Roman"/>
        </w:rPr>
        <w:t>issive to the will of the men within</w:t>
      </w:r>
      <w:r w:rsidR="00750DAD" w:rsidRPr="001750D4">
        <w:rPr>
          <w:rFonts w:ascii="Times New Roman" w:hAnsi="Times New Roman" w:cs="Times New Roman"/>
        </w:rPr>
        <w:t xml:space="preserve"> their households. </w:t>
      </w:r>
      <w:r w:rsidR="003B6266" w:rsidRPr="001750D4">
        <w:rPr>
          <w:rFonts w:ascii="Times New Roman" w:hAnsi="Times New Roman" w:cs="Times New Roman"/>
        </w:rPr>
        <w:t xml:space="preserve">Thus, </w:t>
      </w:r>
      <w:r w:rsidR="00BC3AC5" w:rsidRPr="001750D4">
        <w:rPr>
          <w:rFonts w:ascii="Times New Roman" w:hAnsi="Times New Roman" w:cs="Times New Roman"/>
        </w:rPr>
        <w:t xml:space="preserve">Puritan women were to behave </w:t>
      </w:r>
      <w:r w:rsidR="00576254" w:rsidRPr="001750D4">
        <w:rPr>
          <w:rFonts w:ascii="Times New Roman" w:hAnsi="Times New Roman" w:cs="Times New Roman"/>
        </w:rPr>
        <w:t xml:space="preserve">piously and obediently. </w:t>
      </w:r>
      <w:r w:rsidR="00640A68" w:rsidRPr="001750D4">
        <w:rPr>
          <w:rFonts w:ascii="Times New Roman" w:hAnsi="Times New Roman" w:cs="Times New Roman"/>
        </w:rPr>
        <w:t>While</w:t>
      </w:r>
      <w:r w:rsidR="003B6266" w:rsidRPr="001750D4">
        <w:rPr>
          <w:rFonts w:ascii="Times New Roman" w:hAnsi="Times New Roman" w:cs="Times New Roman"/>
        </w:rPr>
        <w:t xml:space="preserve"> it would be easy to dismiss Puritan doctrine as one of misogynistic </w:t>
      </w:r>
      <w:r w:rsidR="00C16CB9" w:rsidRPr="001750D4">
        <w:rPr>
          <w:rFonts w:ascii="Times New Roman" w:hAnsi="Times New Roman" w:cs="Times New Roman"/>
        </w:rPr>
        <w:t xml:space="preserve">and oppressive patriarchal standards, Elizabeth Reis </w:t>
      </w:r>
      <w:r w:rsidR="00E33DFB" w:rsidRPr="001750D4">
        <w:rPr>
          <w:rFonts w:ascii="Times New Roman" w:hAnsi="Times New Roman" w:cs="Times New Roman"/>
        </w:rPr>
        <w:t>emphasizes</w:t>
      </w:r>
      <w:r w:rsidR="00DC733D" w:rsidRPr="001750D4">
        <w:rPr>
          <w:rFonts w:ascii="Times New Roman" w:hAnsi="Times New Roman" w:cs="Times New Roman"/>
        </w:rPr>
        <w:t xml:space="preserve"> “Puritan New Englanders considered themselves to be rather more enlightened than others when it came to women’s place in society and in their cosmology.”</w:t>
      </w:r>
      <w:r w:rsidR="00DC733D" w:rsidRPr="001750D4">
        <w:rPr>
          <w:rStyle w:val="FootnoteReference"/>
          <w:rFonts w:ascii="Times New Roman" w:hAnsi="Times New Roman" w:cs="Times New Roman"/>
        </w:rPr>
        <w:footnoteReference w:id="7"/>
      </w:r>
      <w:r w:rsidR="00DC733D" w:rsidRPr="001750D4">
        <w:rPr>
          <w:rFonts w:ascii="Times New Roman" w:hAnsi="Times New Roman" w:cs="Times New Roman"/>
        </w:rPr>
        <w:t xml:space="preserve"> If the Puritans regarded men and women </w:t>
      </w:r>
      <w:r w:rsidR="00593E85">
        <w:rPr>
          <w:rFonts w:ascii="Times New Roman" w:hAnsi="Times New Roman" w:cs="Times New Roman"/>
        </w:rPr>
        <w:t xml:space="preserve">as </w:t>
      </w:r>
      <w:r w:rsidR="00DC733D" w:rsidRPr="001750D4">
        <w:rPr>
          <w:rFonts w:ascii="Times New Roman" w:hAnsi="Times New Roman" w:cs="Times New Roman"/>
        </w:rPr>
        <w:t xml:space="preserve">equal in terms of their respective expectations to Godly adherence, </w:t>
      </w:r>
      <w:r w:rsidR="007364AB" w:rsidRPr="001750D4">
        <w:rPr>
          <w:rFonts w:ascii="Times New Roman" w:hAnsi="Times New Roman" w:cs="Times New Roman"/>
        </w:rPr>
        <w:t xml:space="preserve">from </w:t>
      </w:r>
      <w:r w:rsidR="00DC733D" w:rsidRPr="001750D4">
        <w:rPr>
          <w:rFonts w:ascii="Times New Roman" w:hAnsi="Times New Roman" w:cs="Times New Roman"/>
        </w:rPr>
        <w:t xml:space="preserve">where did the desire for female </w:t>
      </w:r>
      <w:r w:rsidR="007364AB" w:rsidRPr="001750D4">
        <w:rPr>
          <w:rFonts w:ascii="Times New Roman" w:hAnsi="Times New Roman" w:cs="Times New Roman"/>
        </w:rPr>
        <w:t>submission come</w:t>
      </w:r>
      <w:r w:rsidR="00DC733D" w:rsidRPr="001750D4">
        <w:rPr>
          <w:rFonts w:ascii="Times New Roman" w:hAnsi="Times New Roman" w:cs="Times New Roman"/>
        </w:rPr>
        <w:t>?</w:t>
      </w:r>
    </w:p>
    <w:p w14:paraId="6EC56BA4" w14:textId="6789A160" w:rsidR="002432DB" w:rsidRPr="001750D4" w:rsidRDefault="00B705F3" w:rsidP="00FB24A3">
      <w:pPr>
        <w:spacing w:line="480" w:lineRule="auto"/>
        <w:ind w:firstLine="720"/>
        <w:rPr>
          <w:rFonts w:ascii="Times New Roman" w:hAnsi="Times New Roman" w:cs="Times New Roman"/>
        </w:rPr>
      </w:pPr>
      <w:r w:rsidRPr="001750D4">
        <w:rPr>
          <w:rFonts w:ascii="Times New Roman" w:hAnsi="Times New Roman" w:cs="Times New Roman"/>
        </w:rPr>
        <w:t>The emphasis on the necessity of female subordinat</w:t>
      </w:r>
      <w:r w:rsidR="002B15A7" w:rsidRPr="001750D4">
        <w:rPr>
          <w:rFonts w:ascii="Times New Roman" w:hAnsi="Times New Roman" w:cs="Times New Roman"/>
        </w:rPr>
        <w:t>ion m</w:t>
      </w:r>
      <w:r w:rsidR="001A68AB" w:rsidRPr="001750D4">
        <w:rPr>
          <w:rFonts w:ascii="Times New Roman" w:hAnsi="Times New Roman" w:cs="Times New Roman"/>
        </w:rPr>
        <w:t xml:space="preserve">ay have stemmed from </w:t>
      </w:r>
      <w:r w:rsidR="005B6833" w:rsidRPr="001750D4">
        <w:rPr>
          <w:rFonts w:ascii="Times New Roman" w:hAnsi="Times New Roman" w:cs="Times New Roman"/>
        </w:rPr>
        <w:t>fear</w:t>
      </w:r>
      <w:r w:rsidR="002B15A7" w:rsidRPr="001750D4">
        <w:rPr>
          <w:rFonts w:ascii="Times New Roman" w:hAnsi="Times New Roman" w:cs="Times New Roman"/>
        </w:rPr>
        <w:t xml:space="preserve">. </w:t>
      </w:r>
      <w:r w:rsidR="009E6D57" w:rsidRPr="001750D4">
        <w:rPr>
          <w:rFonts w:ascii="Times New Roman" w:hAnsi="Times New Roman" w:cs="Times New Roman"/>
        </w:rPr>
        <w:t xml:space="preserve">According to Puritan doctrine, the soul of a human being </w:t>
      </w:r>
      <w:r w:rsidR="004921E5" w:rsidRPr="001750D4">
        <w:rPr>
          <w:rFonts w:ascii="Times New Roman" w:hAnsi="Times New Roman" w:cs="Times New Roman"/>
        </w:rPr>
        <w:t xml:space="preserve">was feminine, and like </w:t>
      </w:r>
      <w:r w:rsidR="004921E5" w:rsidRPr="001750D4">
        <w:rPr>
          <w:rFonts w:ascii="Times New Roman" w:hAnsi="Times New Roman" w:cs="Times New Roman"/>
        </w:rPr>
        <w:lastRenderedPageBreak/>
        <w:t>the nature of women, insatiable and unappeasable.</w:t>
      </w:r>
      <w:r w:rsidR="004921E5" w:rsidRPr="001750D4">
        <w:rPr>
          <w:rStyle w:val="FootnoteReference"/>
          <w:rFonts w:ascii="Times New Roman" w:hAnsi="Times New Roman" w:cs="Times New Roman"/>
        </w:rPr>
        <w:footnoteReference w:id="8"/>
      </w:r>
      <w:r w:rsidR="00CC708E" w:rsidRPr="001750D4">
        <w:rPr>
          <w:rFonts w:ascii="Times New Roman" w:hAnsi="Times New Roman" w:cs="Times New Roman"/>
        </w:rPr>
        <w:t xml:space="preserve"> If the soul was feminine, and therefore vulnerable, the soul of any human was subject to great temptation and sin. </w:t>
      </w:r>
      <w:r w:rsidR="001A68AB" w:rsidRPr="001750D4">
        <w:rPr>
          <w:rFonts w:ascii="Times New Roman" w:hAnsi="Times New Roman" w:cs="Times New Roman"/>
        </w:rPr>
        <w:t>For fear of committing great sin, it was thus absolutely essential for all Puritans to “marry” their souls to Christ, which would result in a benevolent un</w:t>
      </w:r>
      <w:r w:rsidR="00027F5C">
        <w:rPr>
          <w:rFonts w:ascii="Times New Roman" w:hAnsi="Times New Roman" w:cs="Times New Roman"/>
        </w:rPr>
        <w:t>ion that would ensure salvation, protection</w:t>
      </w:r>
      <w:r w:rsidR="001A68AB" w:rsidRPr="001750D4">
        <w:rPr>
          <w:rFonts w:ascii="Times New Roman" w:hAnsi="Times New Roman" w:cs="Times New Roman"/>
        </w:rPr>
        <w:t xml:space="preserve"> and a fulfilli</w:t>
      </w:r>
      <w:r w:rsidR="00D6381E" w:rsidRPr="001750D4">
        <w:rPr>
          <w:rFonts w:ascii="Times New Roman" w:hAnsi="Times New Roman" w:cs="Times New Roman"/>
        </w:rPr>
        <w:t xml:space="preserve">ng, Christian life. Almost as </w:t>
      </w:r>
      <w:r w:rsidR="001A68AB" w:rsidRPr="001750D4">
        <w:rPr>
          <w:rFonts w:ascii="Times New Roman" w:hAnsi="Times New Roman" w:cs="Times New Roman"/>
        </w:rPr>
        <w:t xml:space="preserve">significant to the soul was the body, </w:t>
      </w:r>
      <w:r w:rsidR="00D6381E" w:rsidRPr="001750D4">
        <w:rPr>
          <w:rFonts w:ascii="Times New Roman" w:hAnsi="Times New Roman" w:cs="Times New Roman"/>
        </w:rPr>
        <w:t>which was “the primary battleground in the struggle between the devil and individual souls. Puritan sermons asserted that the body and the soul were both essential to human beings; each had its specific purpose, though the soul reigned supreme.”</w:t>
      </w:r>
      <w:r w:rsidR="00D6381E" w:rsidRPr="001750D4">
        <w:rPr>
          <w:rStyle w:val="FootnoteReference"/>
          <w:rFonts w:ascii="Times New Roman" w:hAnsi="Times New Roman" w:cs="Times New Roman"/>
        </w:rPr>
        <w:footnoteReference w:id="9"/>
      </w:r>
      <w:r w:rsidR="00F5407A" w:rsidRPr="001750D4">
        <w:rPr>
          <w:rFonts w:ascii="Times New Roman" w:hAnsi="Times New Roman" w:cs="Times New Roman"/>
        </w:rPr>
        <w:t xml:space="preserve"> A strong body would protect the vulnerable feminine soul, which was constantly susceptible to the temptation of sin. </w:t>
      </w:r>
      <w:r w:rsidR="002432DB" w:rsidRPr="001750D4">
        <w:rPr>
          <w:rFonts w:ascii="Times New Roman" w:hAnsi="Times New Roman" w:cs="Times New Roman"/>
        </w:rPr>
        <w:t>However</w:t>
      </w:r>
      <w:r w:rsidR="00D37094">
        <w:rPr>
          <w:rFonts w:ascii="Times New Roman" w:hAnsi="Times New Roman" w:cs="Times New Roman"/>
        </w:rPr>
        <w:t xml:space="preserve">, </w:t>
      </w:r>
      <w:r w:rsidR="002432DB" w:rsidRPr="001750D4">
        <w:rPr>
          <w:rFonts w:ascii="Times New Roman" w:hAnsi="Times New Roman" w:cs="Times New Roman"/>
        </w:rPr>
        <w:t>female souls within female bo</w:t>
      </w:r>
      <w:r w:rsidR="007101AB">
        <w:rPr>
          <w:rFonts w:ascii="Times New Roman" w:hAnsi="Times New Roman" w:cs="Times New Roman"/>
        </w:rPr>
        <w:t>dies were doubly vulnerable</w:t>
      </w:r>
      <w:r w:rsidR="002432DB" w:rsidRPr="001750D4">
        <w:rPr>
          <w:rFonts w:ascii="Times New Roman" w:hAnsi="Times New Roman" w:cs="Times New Roman"/>
        </w:rPr>
        <w:t>—and thus doubly to be feared.</w:t>
      </w:r>
    </w:p>
    <w:p w14:paraId="27C75D2F" w14:textId="2600C6C1" w:rsidR="00D01982" w:rsidRPr="001750D4" w:rsidRDefault="002432DB" w:rsidP="00D01982">
      <w:pPr>
        <w:spacing w:line="480" w:lineRule="auto"/>
        <w:ind w:firstLine="720"/>
        <w:rPr>
          <w:rFonts w:ascii="Times New Roman" w:hAnsi="Times New Roman" w:cs="Times New Roman"/>
        </w:rPr>
      </w:pPr>
      <w:r w:rsidRPr="001750D4">
        <w:rPr>
          <w:rFonts w:ascii="Times New Roman" w:hAnsi="Times New Roman" w:cs="Times New Roman"/>
        </w:rPr>
        <w:t>According to Puritan doctrine, women were of particular</w:t>
      </w:r>
      <w:r w:rsidR="00F5407A" w:rsidRPr="001750D4">
        <w:rPr>
          <w:rFonts w:ascii="Times New Roman" w:hAnsi="Times New Roman" w:cs="Times New Roman"/>
        </w:rPr>
        <w:t xml:space="preserve"> </w:t>
      </w:r>
      <w:r w:rsidR="001A68AB" w:rsidRPr="001750D4">
        <w:rPr>
          <w:rFonts w:ascii="Times New Roman" w:hAnsi="Times New Roman" w:cs="Times New Roman"/>
        </w:rPr>
        <w:t xml:space="preserve">vulnerability to </w:t>
      </w:r>
      <w:r w:rsidR="007101AB" w:rsidRPr="001750D4">
        <w:rPr>
          <w:rFonts w:ascii="Times New Roman" w:hAnsi="Times New Roman" w:cs="Times New Roman"/>
        </w:rPr>
        <w:t>sin,</w:t>
      </w:r>
      <w:r w:rsidR="001A68AB" w:rsidRPr="001750D4">
        <w:rPr>
          <w:rFonts w:ascii="Times New Roman" w:hAnsi="Times New Roman" w:cs="Times New Roman"/>
        </w:rPr>
        <w:t xml:space="preserve"> as they possessed a feminine soul within a femini</w:t>
      </w:r>
      <w:r w:rsidR="00D01982" w:rsidRPr="001750D4">
        <w:rPr>
          <w:rFonts w:ascii="Times New Roman" w:hAnsi="Times New Roman" w:cs="Times New Roman"/>
        </w:rPr>
        <w:t>ne body. Reis explains this</w:t>
      </w:r>
      <w:r w:rsidR="00D37094">
        <w:rPr>
          <w:rFonts w:ascii="Times New Roman" w:hAnsi="Times New Roman" w:cs="Times New Roman"/>
        </w:rPr>
        <w:t>,</w:t>
      </w:r>
      <w:r w:rsidR="00D01982" w:rsidRPr="001750D4">
        <w:rPr>
          <w:rFonts w:ascii="Times New Roman" w:hAnsi="Times New Roman" w:cs="Times New Roman"/>
        </w:rPr>
        <w:t xml:space="preserve"> offering the following:</w:t>
      </w:r>
      <w:r w:rsidR="001A68AB" w:rsidRPr="001750D4">
        <w:rPr>
          <w:rFonts w:ascii="Times New Roman" w:hAnsi="Times New Roman" w:cs="Times New Roman"/>
        </w:rPr>
        <w:t xml:space="preserve"> </w:t>
      </w:r>
    </w:p>
    <w:p w14:paraId="5976BC16" w14:textId="4BE77188" w:rsidR="00B705F3" w:rsidRPr="001750D4" w:rsidRDefault="002432DB" w:rsidP="00D01982">
      <w:pPr>
        <w:ind w:left="810"/>
        <w:rPr>
          <w:rFonts w:ascii="Times New Roman" w:hAnsi="Times New Roman" w:cs="Times New Roman"/>
        </w:rPr>
      </w:pPr>
      <w:r w:rsidRPr="001750D4">
        <w:rPr>
          <w:rFonts w:ascii="Times New Roman" w:hAnsi="Times New Roman" w:cs="Times New Roman"/>
        </w:rPr>
        <w:t>A woman’s feminine soul, jeopardized in a woman’s feminine body, was frail, submissive, and passive—qualities that most New Englanders thought would allow her to become either a wife to Christ or a drudge to Satan</w:t>
      </w:r>
      <w:r w:rsidR="009C5016">
        <w:rPr>
          <w:rFonts w:ascii="Times New Roman" w:hAnsi="Times New Roman" w:cs="Times New Roman"/>
        </w:rPr>
        <w:t>...</w:t>
      </w:r>
      <w:r w:rsidR="00B162CF" w:rsidRPr="001750D4">
        <w:rPr>
          <w:rFonts w:ascii="Times New Roman" w:hAnsi="Times New Roman" w:cs="Times New Roman"/>
        </w:rPr>
        <w:t xml:space="preserve"> Puritans believed that Satan attacked the soul by assaulting the body, and that because women’s bodies were weaker, the devil could reach women’s souls more easily.</w:t>
      </w:r>
      <w:r w:rsidRPr="001750D4">
        <w:rPr>
          <w:rStyle w:val="FootnoteReference"/>
          <w:rFonts w:ascii="Times New Roman" w:hAnsi="Times New Roman" w:cs="Times New Roman"/>
        </w:rPr>
        <w:footnoteReference w:id="10"/>
      </w:r>
      <w:r w:rsidR="00B162CF" w:rsidRPr="001750D4">
        <w:rPr>
          <w:rFonts w:ascii="Times New Roman" w:hAnsi="Times New Roman" w:cs="Times New Roman"/>
        </w:rPr>
        <w:t xml:space="preserve"> </w:t>
      </w:r>
    </w:p>
    <w:p w14:paraId="723B2022" w14:textId="77777777" w:rsidR="00D01982" w:rsidRDefault="00D01982" w:rsidP="00D01982">
      <w:pPr>
        <w:rPr>
          <w:rFonts w:ascii="Times New Roman" w:hAnsi="Times New Roman" w:cs="Times New Roman"/>
        </w:rPr>
      </w:pPr>
    </w:p>
    <w:p w14:paraId="614CB09C" w14:textId="689FA3D8" w:rsidR="00D01982" w:rsidRDefault="00D01982" w:rsidP="00D01982">
      <w:pPr>
        <w:spacing w:line="480" w:lineRule="auto"/>
        <w:rPr>
          <w:rFonts w:ascii="Times New Roman" w:hAnsi="Times New Roman" w:cs="Times New Roman"/>
        </w:rPr>
      </w:pPr>
      <w:r>
        <w:rPr>
          <w:rFonts w:ascii="Times New Roman" w:hAnsi="Times New Roman" w:cs="Times New Roman"/>
        </w:rPr>
        <w:tab/>
      </w:r>
      <w:r w:rsidR="009C5016">
        <w:rPr>
          <w:rFonts w:ascii="Times New Roman" w:hAnsi="Times New Roman" w:cs="Times New Roman"/>
        </w:rPr>
        <w:t>Men with feminine souls had s</w:t>
      </w:r>
      <w:r w:rsidR="00C64E94">
        <w:rPr>
          <w:rFonts w:ascii="Times New Roman" w:hAnsi="Times New Roman" w:cs="Times New Roman"/>
        </w:rPr>
        <w:t xml:space="preserve">tronger and greater bodies </w:t>
      </w:r>
      <w:r w:rsidR="009C5016">
        <w:rPr>
          <w:rFonts w:ascii="Times New Roman" w:hAnsi="Times New Roman" w:cs="Times New Roman"/>
        </w:rPr>
        <w:t xml:space="preserve">to fend off the attacks and temptations of sin and the devil. However women, with both feminine souls and </w:t>
      </w:r>
      <w:r w:rsidR="009C5016">
        <w:rPr>
          <w:rFonts w:ascii="Times New Roman" w:hAnsi="Times New Roman" w:cs="Times New Roman"/>
        </w:rPr>
        <w:lastRenderedPageBreak/>
        <w:t>feminine bodies, were at greater risk of succumbing to sin a</w:t>
      </w:r>
      <w:r w:rsidR="00D37094">
        <w:rPr>
          <w:rFonts w:ascii="Times New Roman" w:hAnsi="Times New Roman" w:cs="Times New Roman"/>
        </w:rPr>
        <w:t>nd being vulnerable to great sin</w:t>
      </w:r>
      <w:r w:rsidR="009C5016">
        <w:rPr>
          <w:rFonts w:ascii="Times New Roman" w:hAnsi="Times New Roman" w:cs="Times New Roman"/>
        </w:rPr>
        <w:t xml:space="preserve">. </w:t>
      </w:r>
      <w:r w:rsidR="007A12BC">
        <w:rPr>
          <w:rFonts w:ascii="Times New Roman" w:hAnsi="Times New Roman" w:cs="Times New Roman"/>
        </w:rPr>
        <w:t>As women stood a be</w:t>
      </w:r>
      <w:r w:rsidR="00AA5840">
        <w:rPr>
          <w:rFonts w:ascii="Times New Roman" w:hAnsi="Times New Roman" w:cs="Times New Roman"/>
        </w:rPr>
        <w:t>tter chance of falling into a pact with the d</w:t>
      </w:r>
      <w:r w:rsidR="00D37094">
        <w:rPr>
          <w:rFonts w:ascii="Times New Roman" w:hAnsi="Times New Roman" w:cs="Times New Roman"/>
        </w:rPr>
        <w:t>evil</w:t>
      </w:r>
      <w:r w:rsidR="0033086A">
        <w:rPr>
          <w:rFonts w:ascii="Times New Roman" w:hAnsi="Times New Roman" w:cs="Times New Roman"/>
        </w:rPr>
        <w:t>, emphasis on female submission</w:t>
      </w:r>
      <w:r w:rsidR="00593E85">
        <w:rPr>
          <w:rFonts w:ascii="Times New Roman" w:hAnsi="Times New Roman" w:cs="Times New Roman"/>
        </w:rPr>
        <w:t xml:space="preserve"> was </w:t>
      </w:r>
      <w:r w:rsidR="00963807">
        <w:rPr>
          <w:rFonts w:ascii="Times New Roman" w:hAnsi="Times New Roman" w:cs="Times New Roman"/>
        </w:rPr>
        <w:t xml:space="preserve">paramount. </w:t>
      </w:r>
      <w:r w:rsidR="00E95186">
        <w:rPr>
          <w:rFonts w:ascii="Times New Roman" w:hAnsi="Times New Roman" w:cs="Times New Roman"/>
        </w:rPr>
        <w:t>Women were potential</w:t>
      </w:r>
      <w:r w:rsidR="004D0CC7">
        <w:rPr>
          <w:rFonts w:ascii="Times New Roman" w:hAnsi="Times New Roman" w:cs="Times New Roman"/>
        </w:rPr>
        <w:t>ly dangerous vessels, vulnerable</w:t>
      </w:r>
      <w:r w:rsidR="00E95186">
        <w:rPr>
          <w:rFonts w:ascii="Times New Roman" w:hAnsi="Times New Roman" w:cs="Times New Roman"/>
        </w:rPr>
        <w:t xml:space="preserve"> to the malicious intentions of Satan. </w:t>
      </w:r>
      <w:r w:rsidR="00641008">
        <w:rPr>
          <w:rFonts w:ascii="Times New Roman" w:hAnsi="Times New Roman" w:cs="Times New Roman"/>
        </w:rPr>
        <w:t xml:space="preserve">This created </w:t>
      </w:r>
      <w:r w:rsidR="00AA140E">
        <w:rPr>
          <w:rFonts w:ascii="Times New Roman" w:hAnsi="Times New Roman" w:cs="Times New Roman"/>
        </w:rPr>
        <w:t xml:space="preserve">a substantial pressure on women to adhere to their places of pious obedience. Those who dared to assert themselves beyond the confines expected of Puritan </w:t>
      </w:r>
      <w:r w:rsidR="00874F58">
        <w:rPr>
          <w:rFonts w:ascii="Times New Roman" w:hAnsi="Times New Roman" w:cs="Times New Roman"/>
        </w:rPr>
        <w:t>womanhood</w:t>
      </w:r>
      <w:r w:rsidR="00AA140E">
        <w:rPr>
          <w:rFonts w:ascii="Times New Roman" w:hAnsi="Times New Roman" w:cs="Times New Roman"/>
        </w:rPr>
        <w:t xml:space="preserve"> were threats, abnormal,</w:t>
      </w:r>
      <w:r w:rsidR="004D0CC7">
        <w:rPr>
          <w:rFonts w:ascii="Times New Roman" w:hAnsi="Times New Roman" w:cs="Times New Roman"/>
        </w:rPr>
        <w:t xml:space="preserve"> to be feared and ridiculed. Both literature and ministers regularly promoted the importance of women’s subordination.</w:t>
      </w:r>
      <w:r w:rsidR="00AA140E">
        <w:rPr>
          <w:rStyle w:val="FootnoteReference"/>
          <w:rFonts w:ascii="Times New Roman" w:hAnsi="Times New Roman" w:cs="Times New Roman"/>
        </w:rPr>
        <w:footnoteReference w:id="11"/>
      </w:r>
      <w:r w:rsidR="004D0CC7">
        <w:rPr>
          <w:rFonts w:ascii="Times New Roman" w:hAnsi="Times New Roman" w:cs="Times New Roman"/>
        </w:rPr>
        <w:t xml:space="preserve"> D</w:t>
      </w:r>
      <w:r w:rsidR="00B23E0B">
        <w:rPr>
          <w:rFonts w:ascii="Times New Roman" w:hAnsi="Times New Roman" w:cs="Times New Roman"/>
        </w:rPr>
        <w:t>aily actions</w:t>
      </w:r>
      <w:r w:rsidR="004D0CC7">
        <w:rPr>
          <w:rFonts w:ascii="Times New Roman" w:hAnsi="Times New Roman" w:cs="Times New Roman"/>
        </w:rPr>
        <w:t xml:space="preserve"> and societal rituals</w:t>
      </w:r>
      <w:r w:rsidR="00B23E0B">
        <w:rPr>
          <w:rFonts w:ascii="Times New Roman" w:hAnsi="Times New Roman" w:cs="Times New Roman"/>
        </w:rPr>
        <w:t xml:space="preserve"> of each gender reinforced this emphasis. </w:t>
      </w:r>
      <w:r w:rsidR="007337C4">
        <w:rPr>
          <w:rFonts w:ascii="Times New Roman" w:hAnsi="Times New Roman" w:cs="Times New Roman"/>
        </w:rPr>
        <w:t xml:space="preserve">Weak women were to be submissive, for fear of the potential danger their feminine and vulnerable souls were subject to. </w:t>
      </w:r>
    </w:p>
    <w:p w14:paraId="69D22C30" w14:textId="3155E450" w:rsidR="005A60AD" w:rsidRDefault="00172712" w:rsidP="005A60AD">
      <w:pPr>
        <w:spacing w:line="480" w:lineRule="auto"/>
        <w:rPr>
          <w:rFonts w:ascii="Times New Roman" w:hAnsi="Times New Roman" w:cs="Times New Roman"/>
        </w:rPr>
      </w:pPr>
      <w:r>
        <w:rPr>
          <w:rFonts w:ascii="Times New Roman" w:hAnsi="Times New Roman" w:cs="Times New Roman"/>
        </w:rPr>
        <w:tab/>
      </w:r>
      <w:r w:rsidR="004D0CC7">
        <w:rPr>
          <w:rFonts w:ascii="Times New Roman" w:hAnsi="Times New Roman" w:cs="Times New Roman"/>
        </w:rPr>
        <w:t>B</w:t>
      </w:r>
      <w:r w:rsidR="005A60AD">
        <w:rPr>
          <w:rFonts w:ascii="Times New Roman" w:hAnsi="Times New Roman" w:cs="Times New Roman"/>
        </w:rPr>
        <w:t>oth men and women possessed feminine souls at risk of being battled for between the masculin</w:t>
      </w:r>
      <w:r w:rsidR="004D0CC7">
        <w:rPr>
          <w:rFonts w:ascii="Times New Roman" w:hAnsi="Times New Roman" w:cs="Times New Roman"/>
        </w:rPr>
        <w:t>e forces of the devil or Christ. As such,</w:t>
      </w:r>
      <w:r w:rsidR="005A60AD">
        <w:rPr>
          <w:rFonts w:ascii="Times New Roman" w:hAnsi="Times New Roman" w:cs="Times New Roman"/>
        </w:rPr>
        <w:t xml:space="preserve"> all Puritans were to </w:t>
      </w:r>
      <w:r w:rsidR="000A1741">
        <w:rPr>
          <w:rFonts w:ascii="Times New Roman" w:hAnsi="Times New Roman" w:cs="Times New Roman"/>
        </w:rPr>
        <w:t xml:space="preserve">wait passively for the grace of God in contracting their souls to Christ. </w:t>
      </w:r>
      <w:r w:rsidR="00784C29">
        <w:rPr>
          <w:rFonts w:ascii="Times New Roman" w:hAnsi="Times New Roman" w:cs="Times New Roman"/>
        </w:rPr>
        <w:t xml:space="preserve">Those who did sin could still submit their souls passively to Christ, despite their fall from grace. Of the two sexes, women were believed to be more likely to sin. The greatest sin of all, however, required intentional action on the part of the </w:t>
      </w:r>
      <w:r w:rsidR="00E552D0" w:rsidRPr="00E552D0">
        <w:rPr>
          <w:rFonts w:ascii="Times New Roman" w:hAnsi="Times New Roman" w:cs="Times New Roman"/>
        </w:rPr>
        <w:t>offender</w:t>
      </w:r>
      <w:r w:rsidR="00E552D0">
        <w:rPr>
          <w:rFonts w:ascii="Times New Roman" w:hAnsi="Times New Roman" w:cs="Times New Roman"/>
        </w:rPr>
        <w:t>, and was therefore of substantial offense within Puritan doctrine</w:t>
      </w:r>
      <w:r w:rsidR="00784C29">
        <w:rPr>
          <w:rFonts w:ascii="Times New Roman" w:hAnsi="Times New Roman" w:cs="Times New Roman"/>
        </w:rPr>
        <w:t xml:space="preserve">. To contract one’s soul to Satan, rather than to passively await the grace of Christ, was </w:t>
      </w:r>
      <w:r w:rsidR="00E552D0">
        <w:rPr>
          <w:rFonts w:ascii="Times New Roman" w:hAnsi="Times New Roman" w:cs="Times New Roman"/>
        </w:rPr>
        <w:t xml:space="preserve">the ultimate </w:t>
      </w:r>
      <w:r w:rsidR="005A60AD">
        <w:rPr>
          <w:rFonts w:ascii="Times New Roman" w:hAnsi="Times New Roman" w:cs="Times New Roman"/>
        </w:rPr>
        <w:t xml:space="preserve">defiance of Puritanism. Women, possessing weaker, more vulnerable souls than men, were believed to be at greater risk of committing this.  On this fearful but possible reality, Reis </w:t>
      </w:r>
      <w:r w:rsidR="005A60AD" w:rsidRPr="00027F5C">
        <w:rPr>
          <w:rFonts w:ascii="Times New Roman" w:hAnsi="Times New Roman" w:cs="Times New Roman"/>
        </w:rPr>
        <w:t>communicates</w:t>
      </w:r>
      <w:r w:rsidR="005A60AD">
        <w:rPr>
          <w:rFonts w:ascii="Times New Roman" w:hAnsi="Times New Roman" w:cs="Times New Roman"/>
        </w:rPr>
        <w:t xml:space="preserve"> the following: “</w:t>
      </w:r>
      <w:r w:rsidR="005A60AD" w:rsidRPr="0094139D">
        <w:rPr>
          <w:rFonts w:ascii="Times New Roman" w:hAnsi="Times New Roman" w:cs="Times New Roman"/>
        </w:rPr>
        <w:t>Because women’s bodies lacked the strength and vitality of men’s</w:t>
      </w:r>
      <w:r w:rsidR="005A60AD">
        <w:rPr>
          <w:rFonts w:ascii="Times New Roman" w:hAnsi="Times New Roman" w:cs="Times New Roman"/>
        </w:rPr>
        <w:t>, according to popular thought,</w:t>
      </w:r>
      <w:r w:rsidR="005A60AD" w:rsidRPr="0094139D">
        <w:rPr>
          <w:rFonts w:ascii="Times New Roman" w:hAnsi="Times New Roman" w:cs="Times New Roman"/>
        </w:rPr>
        <w:t xml:space="preserve"> the devil could more frequently and successfully enter </w:t>
      </w:r>
      <w:r w:rsidR="005A60AD" w:rsidRPr="0094139D">
        <w:rPr>
          <w:rFonts w:ascii="Times New Roman" w:hAnsi="Times New Roman" w:cs="Times New Roman"/>
        </w:rPr>
        <w:lastRenderedPageBreak/>
        <w:t>and possess women’s souls…”</w:t>
      </w:r>
      <w:r w:rsidR="005A60AD">
        <w:rPr>
          <w:rStyle w:val="FootnoteReference"/>
          <w:rFonts w:ascii="Times New Roman" w:hAnsi="Times New Roman" w:cs="Times New Roman"/>
        </w:rPr>
        <w:footnoteReference w:id="12"/>
      </w:r>
      <w:r w:rsidR="005A60AD">
        <w:rPr>
          <w:rFonts w:ascii="Times New Roman" w:hAnsi="Times New Roman" w:cs="Times New Roman"/>
        </w:rPr>
        <w:t xml:space="preserve"> Women, therefore were perceived to be easier targets for Satan’s contact, and as such came to be intimately associated with potential acts of evil—in a way, indicative to Eve’s legacy.</w:t>
      </w:r>
      <w:r w:rsidR="005A60AD">
        <w:rPr>
          <w:rStyle w:val="FootnoteReference"/>
          <w:rFonts w:ascii="Times New Roman" w:hAnsi="Times New Roman" w:cs="Times New Roman"/>
        </w:rPr>
        <w:footnoteReference w:id="13"/>
      </w:r>
      <w:r w:rsidR="005A60AD">
        <w:rPr>
          <w:rFonts w:ascii="Times New Roman" w:hAnsi="Times New Roman" w:cs="Times New Roman"/>
        </w:rPr>
        <w:t xml:space="preserve"> Contracting one’s soul to Satan became equated with witchcraft and thus, Puritan women grew to be closely linked to the possibility of partaking in witchcraft. </w:t>
      </w:r>
    </w:p>
    <w:p w14:paraId="3E47B346" w14:textId="7472DD3B" w:rsidR="004B0090" w:rsidRDefault="00623F83" w:rsidP="00DC6E30">
      <w:pPr>
        <w:spacing w:line="480" w:lineRule="auto"/>
        <w:ind w:firstLine="720"/>
        <w:rPr>
          <w:rFonts w:ascii="Times New Roman" w:hAnsi="Times New Roman" w:cs="Times New Roman"/>
        </w:rPr>
      </w:pPr>
      <w:r>
        <w:rPr>
          <w:rFonts w:ascii="Times New Roman" w:hAnsi="Times New Roman" w:cs="Times New Roman"/>
        </w:rPr>
        <w:t xml:space="preserve">Practice in witchcraft </w:t>
      </w:r>
      <w:r w:rsidR="00143E88">
        <w:rPr>
          <w:rFonts w:ascii="Times New Roman" w:hAnsi="Times New Roman" w:cs="Times New Roman"/>
        </w:rPr>
        <w:t>was considered the greatest form of Puritan defiance due to its requirement of intentional contract with the devil. According to Reis, “</w:t>
      </w:r>
      <w:r w:rsidR="00143E88" w:rsidRPr="00143E88">
        <w:rPr>
          <w:rFonts w:ascii="Times New Roman" w:hAnsi="Times New Roman" w:cs="Times New Roman"/>
        </w:rPr>
        <w:t>The witch acted aggressively. Her soul specifically chose the devil, rather than passively waiting for Christ, and she purposefully allowed the devil to use her body. Thus, the witch acted assertively, while the sinner, after falling, suffered passively.”</w:t>
      </w:r>
      <w:r w:rsidR="00143E88">
        <w:rPr>
          <w:rStyle w:val="FootnoteReference"/>
          <w:rFonts w:ascii="Times New Roman" w:hAnsi="Times New Roman" w:cs="Times New Roman"/>
        </w:rPr>
        <w:footnoteReference w:id="14"/>
      </w:r>
      <w:r w:rsidR="000031DA">
        <w:rPr>
          <w:rFonts w:ascii="Times New Roman" w:hAnsi="Times New Roman" w:cs="Times New Roman"/>
        </w:rPr>
        <w:t xml:space="preserve"> </w:t>
      </w:r>
      <w:r w:rsidR="000403D3">
        <w:rPr>
          <w:rFonts w:ascii="Times New Roman" w:hAnsi="Times New Roman" w:cs="Times New Roman"/>
        </w:rPr>
        <w:t xml:space="preserve">Puritan doctrine specifically demanded that the feminine soul wait passively for the grace of God. Therefore, to instead purposefully seek a contract with Satan was regarded as </w:t>
      </w:r>
      <w:r w:rsidR="00DC6E30">
        <w:rPr>
          <w:rFonts w:ascii="Times New Roman" w:hAnsi="Times New Roman" w:cs="Times New Roman"/>
        </w:rPr>
        <w:t xml:space="preserve">the greatest sin one could commit. As already noted, women were thought to be at greater risk of seeking such a contract, as their souls and bodies were more vulnerable to </w:t>
      </w:r>
      <w:r w:rsidR="00710588">
        <w:rPr>
          <w:rFonts w:ascii="Times New Roman" w:hAnsi="Times New Roman" w:cs="Times New Roman"/>
        </w:rPr>
        <w:t xml:space="preserve">the reach of Satan. </w:t>
      </w:r>
      <w:r w:rsidR="004B0090">
        <w:rPr>
          <w:rFonts w:ascii="Times New Roman" w:hAnsi="Times New Roman" w:cs="Times New Roman"/>
        </w:rPr>
        <w:t xml:space="preserve">Preoccupation with the threat of a woman’s potential danger lent itself to the rigidness of Puritan gender doctrine. Since witchcraft was the ultimate sin, and </w:t>
      </w:r>
      <w:r w:rsidR="004D0CC7">
        <w:rPr>
          <w:rFonts w:ascii="Times New Roman" w:hAnsi="Times New Roman" w:cs="Times New Roman"/>
        </w:rPr>
        <w:t xml:space="preserve">was </w:t>
      </w:r>
      <w:r w:rsidR="004B0090">
        <w:rPr>
          <w:rFonts w:ascii="Times New Roman" w:hAnsi="Times New Roman" w:cs="Times New Roman"/>
        </w:rPr>
        <w:t>gendered by Puri</w:t>
      </w:r>
      <w:r w:rsidR="00EC70B5">
        <w:rPr>
          <w:rFonts w:ascii="Times New Roman" w:hAnsi="Times New Roman" w:cs="Times New Roman"/>
        </w:rPr>
        <w:t xml:space="preserve">tans, social pressures </w:t>
      </w:r>
      <w:r w:rsidR="004B0090">
        <w:rPr>
          <w:rFonts w:ascii="Times New Roman" w:hAnsi="Times New Roman" w:cs="Times New Roman"/>
        </w:rPr>
        <w:t xml:space="preserve">placed on women grew from fear and manifested into stifling, nearly impossibly difficult </w:t>
      </w:r>
      <w:r w:rsidR="00EC70B5">
        <w:rPr>
          <w:rFonts w:ascii="Times New Roman" w:hAnsi="Times New Roman" w:cs="Times New Roman"/>
        </w:rPr>
        <w:t xml:space="preserve">expectations. </w:t>
      </w:r>
    </w:p>
    <w:p w14:paraId="748D1504" w14:textId="6AF1B889" w:rsidR="00691541" w:rsidRDefault="00EC70B5" w:rsidP="00203157">
      <w:pPr>
        <w:spacing w:line="480" w:lineRule="auto"/>
        <w:ind w:firstLine="720"/>
        <w:rPr>
          <w:rFonts w:ascii="Times New Roman" w:hAnsi="Times New Roman" w:cs="Times New Roman"/>
        </w:rPr>
      </w:pPr>
      <w:r>
        <w:rPr>
          <w:rFonts w:ascii="Times New Roman" w:hAnsi="Times New Roman" w:cs="Times New Roman"/>
        </w:rPr>
        <w:t>As a woman within Sa</w:t>
      </w:r>
      <w:r w:rsidR="004D0CC7">
        <w:rPr>
          <w:rFonts w:ascii="Times New Roman" w:hAnsi="Times New Roman" w:cs="Times New Roman"/>
        </w:rPr>
        <w:t xml:space="preserve">lem, Tituba was subject to </w:t>
      </w:r>
      <w:r>
        <w:rPr>
          <w:rFonts w:ascii="Times New Roman" w:hAnsi="Times New Roman" w:cs="Times New Roman"/>
        </w:rPr>
        <w:t xml:space="preserve">rigid expectations and gendered tensions.  </w:t>
      </w:r>
      <w:r w:rsidR="000935F1">
        <w:rPr>
          <w:rFonts w:ascii="Times New Roman" w:hAnsi="Times New Roman" w:cs="Times New Roman"/>
        </w:rPr>
        <w:t xml:space="preserve">Ordinary Puritan doctrine </w:t>
      </w:r>
      <w:r w:rsidR="0003036C">
        <w:rPr>
          <w:rFonts w:ascii="Times New Roman" w:hAnsi="Times New Roman" w:cs="Times New Roman"/>
        </w:rPr>
        <w:t xml:space="preserve">placed severe </w:t>
      </w:r>
      <w:r w:rsidR="004D0CC7">
        <w:rPr>
          <w:rFonts w:ascii="Times New Roman" w:hAnsi="Times New Roman" w:cs="Times New Roman"/>
        </w:rPr>
        <w:t>expectations</w:t>
      </w:r>
      <w:r w:rsidR="009217DC">
        <w:rPr>
          <w:rFonts w:ascii="Times New Roman" w:hAnsi="Times New Roman" w:cs="Times New Roman"/>
        </w:rPr>
        <w:t xml:space="preserve"> on women to </w:t>
      </w:r>
      <w:r w:rsidR="009217DC">
        <w:rPr>
          <w:rFonts w:ascii="Times New Roman" w:hAnsi="Times New Roman" w:cs="Times New Roman"/>
        </w:rPr>
        <w:lastRenderedPageBreak/>
        <w:t>be submissive</w:t>
      </w:r>
      <w:r w:rsidR="004621BB">
        <w:rPr>
          <w:rFonts w:ascii="Times New Roman" w:hAnsi="Times New Roman" w:cs="Times New Roman"/>
        </w:rPr>
        <w:t xml:space="preserve"> and pious; for Tituba, an </w:t>
      </w:r>
      <w:r w:rsidR="009217DC">
        <w:rPr>
          <w:rFonts w:ascii="Times New Roman" w:hAnsi="Times New Roman" w:cs="Times New Roman"/>
        </w:rPr>
        <w:t>enslaved</w:t>
      </w:r>
      <w:r w:rsidR="004621BB">
        <w:rPr>
          <w:rFonts w:ascii="Times New Roman" w:hAnsi="Times New Roman" w:cs="Times New Roman"/>
        </w:rPr>
        <w:t xml:space="preserve"> Indian</w:t>
      </w:r>
      <w:r w:rsidR="009217DC">
        <w:rPr>
          <w:rFonts w:ascii="Times New Roman" w:hAnsi="Times New Roman" w:cs="Times New Roman"/>
        </w:rPr>
        <w:t xml:space="preserve"> woman, social expectations of subordination and Godly submission were all the more intense. </w:t>
      </w:r>
      <w:r w:rsidR="00FA17E0">
        <w:rPr>
          <w:rFonts w:ascii="Times New Roman" w:hAnsi="Times New Roman" w:cs="Times New Roman"/>
        </w:rPr>
        <w:t>While her place as a slave allotted Tituba certain “freedoms”—insofar as certain behaviors that did not meet Puritan expectation could be dismissed</w:t>
      </w:r>
      <w:r w:rsidR="00426621">
        <w:rPr>
          <w:rFonts w:ascii="Times New Roman" w:hAnsi="Times New Roman" w:cs="Times New Roman"/>
        </w:rPr>
        <w:t xml:space="preserve"> or excused</w:t>
      </w:r>
      <w:r w:rsidR="004621BB">
        <w:rPr>
          <w:rFonts w:ascii="Times New Roman" w:hAnsi="Times New Roman" w:cs="Times New Roman"/>
        </w:rPr>
        <w:t xml:space="preserve"> as a fault of her Indian origins</w:t>
      </w:r>
      <w:r w:rsidR="00FA17E0">
        <w:rPr>
          <w:rFonts w:ascii="Times New Roman" w:hAnsi="Times New Roman" w:cs="Times New Roman"/>
        </w:rPr>
        <w:t xml:space="preserve">—tension surrounding her existence within Salem was more considerable. </w:t>
      </w:r>
      <w:r w:rsidR="003931FC">
        <w:rPr>
          <w:rFonts w:ascii="Times New Roman" w:hAnsi="Times New Roman" w:cs="Times New Roman"/>
        </w:rPr>
        <w:t xml:space="preserve">The predisposition for women to partake in witchcraft </w:t>
      </w:r>
      <w:r w:rsidR="00691541">
        <w:rPr>
          <w:rFonts w:ascii="Times New Roman" w:hAnsi="Times New Roman" w:cs="Times New Roman"/>
        </w:rPr>
        <w:t xml:space="preserve">proved significant for Tituba. </w:t>
      </w:r>
      <w:r w:rsidR="00B13EB5">
        <w:rPr>
          <w:rFonts w:ascii="Times New Roman" w:hAnsi="Times New Roman" w:cs="Times New Roman"/>
        </w:rPr>
        <w:t>Like all women within Salem who were feared for their potential danger in submitting to the devil, b</w:t>
      </w:r>
      <w:r w:rsidR="00691541">
        <w:rPr>
          <w:rFonts w:ascii="Times New Roman" w:hAnsi="Times New Roman" w:cs="Times New Roman"/>
        </w:rPr>
        <w:t>eing a</w:t>
      </w:r>
      <w:r w:rsidR="004621BB">
        <w:rPr>
          <w:rFonts w:ascii="Times New Roman" w:hAnsi="Times New Roman" w:cs="Times New Roman"/>
        </w:rPr>
        <w:t xml:space="preserve">n </w:t>
      </w:r>
      <w:r w:rsidR="00691541">
        <w:rPr>
          <w:rFonts w:ascii="Times New Roman" w:hAnsi="Times New Roman" w:cs="Times New Roman"/>
        </w:rPr>
        <w:t>enslaved</w:t>
      </w:r>
      <w:r w:rsidR="004621BB">
        <w:rPr>
          <w:rFonts w:ascii="Times New Roman" w:hAnsi="Times New Roman" w:cs="Times New Roman"/>
        </w:rPr>
        <w:t xml:space="preserve"> Indian</w:t>
      </w:r>
      <w:r w:rsidR="00691541">
        <w:rPr>
          <w:rFonts w:ascii="Times New Roman" w:hAnsi="Times New Roman" w:cs="Times New Roman"/>
        </w:rPr>
        <w:t xml:space="preserve"> woman, </w:t>
      </w:r>
      <w:r w:rsidR="00FA17E0">
        <w:rPr>
          <w:rFonts w:ascii="Times New Roman" w:hAnsi="Times New Roman" w:cs="Times New Roman"/>
        </w:rPr>
        <w:t>Titub</w:t>
      </w:r>
      <w:r w:rsidR="00691541">
        <w:rPr>
          <w:rFonts w:ascii="Times New Roman" w:hAnsi="Times New Roman" w:cs="Times New Roman"/>
        </w:rPr>
        <w:t>a was all the more feared as a potential sinner and witch; her likelihood of being accused was thus substantial.</w:t>
      </w:r>
      <w:r w:rsidR="00B13EB5">
        <w:rPr>
          <w:rFonts w:ascii="Times New Roman" w:hAnsi="Times New Roman" w:cs="Times New Roman"/>
        </w:rPr>
        <w:t xml:space="preserve"> </w:t>
      </w:r>
      <w:r w:rsidR="00691541">
        <w:rPr>
          <w:rFonts w:ascii="Times New Roman" w:hAnsi="Times New Roman" w:cs="Times New Roman"/>
        </w:rPr>
        <w:t xml:space="preserve">When an accusation did come to fruition, </w:t>
      </w:r>
      <w:r w:rsidR="00E113CA">
        <w:rPr>
          <w:rFonts w:ascii="Times New Roman" w:hAnsi="Times New Roman" w:cs="Times New Roman"/>
        </w:rPr>
        <w:t xml:space="preserve">Tituba </w:t>
      </w:r>
      <w:r w:rsidR="00942834">
        <w:rPr>
          <w:rFonts w:ascii="Times New Roman" w:hAnsi="Times New Roman" w:cs="Times New Roman"/>
        </w:rPr>
        <w:t>was faced with choice of denying the charges or admitting to guilt</w:t>
      </w:r>
      <w:r w:rsidR="000E2072">
        <w:rPr>
          <w:rFonts w:ascii="Times New Roman" w:hAnsi="Times New Roman" w:cs="Times New Roman"/>
        </w:rPr>
        <w:t xml:space="preserve">. Faced by her accusers and judges who maintained a rigidly </w:t>
      </w:r>
      <w:r w:rsidR="004D0CC7">
        <w:rPr>
          <w:rFonts w:ascii="Times New Roman" w:hAnsi="Times New Roman" w:cs="Times New Roman"/>
        </w:rPr>
        <w:t>i</w:t>
      </w:r>
      <w:r w:rsidR="00942834">
        <w:rPr>
          <w:rFonts w:ascii="Times New Roman" w:hAnsi="Times New Roman" w:cs="Times New Roman"/>
        </w:rPr>
        <w:t>ngrained gendered conception of witchcraft</w:t>
      </w:r>
      <w:r w:rsidR="000E2072">
        <w:rPr>
          <w:rFonts w:ascii="Times New Roman" w:hAnsi="Times New Roman" w:cs="Times New Roman"/>
        </w:rPr>
        <w:t>,</w:t>
      </w:r>
      <w:r w:rsidR="00942834">
        <w:rPr>
          <w:rFonts w:ascii="Times New Roman" w:hAnsi="Times New Roman" w:cs="Times New Roman"/>
        </w:rPr>
        <w:t xml:space="preserve"> Tituba, as a woman residing within Puritan Salem, confessed. </w:t>
      </w:r>
    </w:p>
    <w:p w14:paraId="5AA96E01" w14:textId="2766FBEA" w:rsidR="000F4435" w:rsidRPr="00FB6C71" w:rsidRDefault="000F4435" w:rsidP="00296BC6">
      <w:pPr>
        <w:spacing w:line="480" w:lineRule="auto"/>
        <w:ind w:left="2160" w:firstLine="720"/>
        <w:rPr>
          <w:rFonts w:ascii="Times New Roman" w:hAnsi="Times New Roman" w:cs="Times New Roman"/>
          <w:b/>
        </w:rPr>
      </w:pPr>
      <w:r w:rsidRPr="00FB6C71">
        <w:rPr>
          <w:rFonts w:ascii="Times New Roman" w:hAnsi="Times New Roman" w:cs="Times New Roman"/>
          <w:b/>
        </w:rPr>
        <w:t xml:space="preserve">II. </w:t>
      </w:r>
      <w:r w:rsidR="004A3EB3">
        <w:rPr>
          <w:rFonts w:ascii="Times New Roman" w:hAnsi="Times New Roman" w:cs="Times New Roman"/>
          <w:b/>
        </w:rPr>
        <w:t>One Woman’s Admission</w:t>
      </w:r>
    </w:p>
    <w:p w14:paraId="79CAF709" w14:textId="3EA77476" w:rsidR="006113A7" w:rsidRDefault="00EE51A4" w:rsidP="00AC6231">
      <w:pPr>
        <w:spacing w:line="480" w:lineRule="auto"/>
        <w:ind w:firstLine="720"/>
        <w:rPr>
          <w:rFonts w:ascii="Times New Roman" w:hAnsi="Times New Roman" w:cs="Times New Roman"/>
        </w:rPr>
      </w:pPr>
      <w:r>
        <w:rPr>
          <w:rFonts w:ascii="Times New Roman" w:hAnsi="Times New Roman" w:cs="Times New Roman"/>
        </w:rPr>
        <w:t xml:space="preserve">What </w:t>
      </w:r>
      <w:r w:rsidR="00EC050E">
        <w:rPr>
          <w:rFonts w:ascii="Times New Roman" w:hAnsi="Times New Roman" w:cs="Times New Roman"/>
        </w:rPr>
        <w:t>p</w:t>
      </w:r>
      <w:r w:rsidR="00A619DC">
        <w:rPr>
          <w:rFonts w:ascii="Times New Roman" w:hAnsi="Times New Roman" w:cs="Times New Roman"/>
        </w:rPr>
        <w:t>rompted Tituba to confess, when</w:t>
      </w:r>
      <w:r w:rsidR="00EC050E">
        <w:rPr>
          <w:rFonts w:ascii="Times New Roman" w:hAnsi="Times New Roman" w:cs="Times New Roman"/>
        </w:rPr>
        <w:t xml:space="preserve"> the women interrogated before her, Sarah Good and Sarah Osborne, </w:t>
      </w:r>
      <w:r w:rsidR="00A619DC">
        <w:rPr>
          <w:rFonts w:ascii="Times New Roman" w:hAnsi="Times New Roman" w:cs="Times New Roman"/>
        </w:rPr>
        <w:t xml:space="preserve">staunchly refuted their accusations? </w:t>
      </w:r>
      <w:r>
        <w:rPr>
          <w:rFonts w:ascii="Times New Roman" w:hAnsi="Times New Roman" w:cs="Times New Roman"/>
        </w:rPr>
        <w:t xml:space="preserve">The motive for Tituba’s confession is far from surprising </w:t>
      </w:r>
      <w:r w:rsidR="00CA3950">
        <w:rPr>
          <w:rFonts w:ascii="Times New Roman" w:hAnsi="Times New Roman" w:cs="Times New Roman"/>
        </w:rPr>
        <w:t xml:space="preserve">given the court’s decision </w:t>
      </w:r>
      <w:r>
        <w:rPr>
          <w:rFonts w:ascii="Times New Roman" w:hAnsi="Times New Roman" w:cs="Times New Roman"/>
        </w:rPr>
        <w:t>not</w:t>
      </w:r>
      <w:r w:rsidR="00CA3950">
        <w:rPr>
          <w:rFonts w:ascii="Times New Roman" w:hAnsi="Times New Roman" w:cs="Times New Roman"/>
        </w:rPr>
        <w:t xml:space="preserve"> to</w:t>
      </w:r>
      <w:r>
        <w:rPr>
          <w:rFonts w:ascii="Times New Roman" w:hAnsi="Times New Roman" w:cs="Times New Roman"/>
        </w:rPr>
        <w:t xml:space="preserve"> hang anyone who confessed; though Tituba’s confession is of particular significance since she was the first a</w:t>
      </w:r>
      <w:r w:rsidR="00CA3950">
        <w:rPr>
          <w:rFonts w:ascii="Times New Roman" w:hAnsi="Times New Roman" w:cs="Times New Roman"/>
        </w:rPr>
        <w:t>mong those accused to concede to</w:t>
      </w:r>
      <w:r>
        <w:rPr>
          <w:rFonts w:ascii="Times New Roman" w:hAnsi="Times New Roman" w:cs="Times New Roman"/>
        </w:rPr>
        <w:t xml:space="preserve"> practicing witchcraft.</w:t>
      </w:r>
      <w:r>
        <w:rPr>
          <w:rStyle w:val="FootnoteReference"/>
          <w:rFonts w:ascii="Times New Roman" w:hAnsi="Times New Roman" w:cs="Times New Roman"/>
        </w:rPr>
        <w:footnoteReference w:id="15"/>
      </w:r>
      <w:r>
        <w:rPr>
          <w:rFonts w:ascii="Times New Roman" w:hAnsi="Times New Roman" w:cs="Times New Roman"/>
        </w:rPr>
        <w:t xml:space="preserve">  </w:t>
      </w:r>
      <w:r w:rsidR="00767192">
        <w:rPr>
          <w:rFonts w:ascii="Times New Roman" w:hAnsi="Times New Roman" w:cs="Times New Roman"/>
        </w:rPr>
        <w:t xml:space="preserve">Witchcraft—the crime and sin in question—was a gendered concept to Puritans, which is what accounted for Tituba’s accusation. Her confession therefore followed suit, adhering to her female predisposition to partake in witchcraft. </w:t>
      </w:r>
      <w:r>
        <w:rPr>
          <w:rFonts w:ascii="Times New Roman" w:hAnsi="Times New Roman" w:cs="Times New Roman"/>
        </w:rPr>
        <w:t xml:space="preserve">In accordance to Puritan doctrine, </w:t>
      </w:r>
      <w:r>
        <w:rPr>
          <w:rFonts w:ascii="Times New Roman" w:hAnsi="Times New Roman" w:cs="Times New Roman"/>
        </w:rPr>
        <w:lastRenderedPageBreak/>
        <w:t>women, as the weaker sex more likely to sin and to stray from God’s grace, were also “</w:t>
      </w:r>
      <w:r w:rsidRPr="00EE51A4">
        <w:rPr>
          <w:rFonts w:ascii="Times New Roman" w:hAnsi="Times New Roman" w:cs="Times New Roman"/>
        </w:rPr>
        <w:t>more likely to interpret their own sin, no matter how ordinary, as a tacit covenant with Satan, a spiritual renunciation of God… In essence, women were more convinced that their sinful natures had bonded with the devil</w:t>
      </w:r>
      <w:r>
        <w:rPr>
          <w:rFonts w:ascii="Times New Roman" w:hAnsi="Times New Roman" w:cs="Times New Roman"/>
        </w:rPr>
        <w:t>.”</w:t>
      </w:r>
      <w:r>
        <w:rPr>
          <w:rStyle w:val="FootnoteReference"/>
          <w:rFonts w:ascii="Times New Roman" w:hAnsi="Times New Roman" w:cs="Times New Roman"/>
        </w:rPr>
        <w:footnoteReference w:id="16"/>
      </w:r>
      <w:r w:rsidR="00AC6230">
        <w:rPr>
          <w:rFonts w:ascii="Times New Roman" w:hAnsi="Times New Roman" w:cs="Times New Roman"/>
        </w:rPr>
        <w:t xml:space="preserve"> Puritan women’s conception of themselves as the more vulnerable and potentially sinful sex</w:t>
      </w:r>
      <w:r w:rsidR="00CA142F">
        <w:rPr>
          <w:rFonts w:ascii="Times New Roman" w:hAnsi="Times New Roman" w:cs="Times New Roman"/>
        </w:rPr>
        <w:t xml:space="preserve"> </w:t>
      </w:r>
      <w:r w:rsidR="00D42A50">
        <w:rPr>
          <w:rFonts w:ascii="Times New Roman" w:hAnsi="Times New Roman" w:cs="Times New Roman"/>
        </w:rPr>
        <w:t xml:space="preserve">also led them to perceive any of their sinful misdeeds as significant betrayals of their faith. </w:t>
      </w:r>
      <w:r w:rsidR="00D94D5F">
        <w:rPr>
          <w:rFonts w:ascii="Times New Roman" w:hAnsi="Times New Roman" w:cs="Times New Roman"/>
        </w:rPr>
        <w:t>As a woman living within Salem, Tituba was well versed on the gendering of sin according to Puritan theology. Tituba was an active participant in, as well as a close o</w:t>
      </w:r>
      <w:r w:rsidR="00E54240">
        <w:rPr>
          <w:rFonts w:ascii="Times New Roman" w:hAnsi="Times New Roman" w:cs="Times New Roman"/>
        </w:rPr>
        <w:t>bserver of such gender dynamics. Her confession embodies</w:t>
      </w:r>
      <w:r w:rsidR="00D94D5F">
        <w:rPr>
          <w:rFonts w:ascii="Times New Roman" w:hAnsi="Times New Roman" w:cs="Times New Roman"/>
        </w:rPr>
        <w:t xml:space="preserve"> her understanding and place as a woman within Puritan doctrine. </w:t>
      </w:r>
      <w:r w:rsidR="00D42A50">
        <w:rPr>
          <w:rFonts w:ascii="Times New Roman" w:hAnsi="Times New Roman" w:cs="Times New Roman"/>
        </w:rPr>
        <w:t>Therefore, as gender was a contributing factor to Tituba’</w:t>
      </w:r>
      <w:r w:rsidR="00D94D5F">
        <w:rPr>
          <w:rFonts w:ascii="Times New Roman" w:hAnsi="Times New Roman" w:cs="Times New Roman"/>
        </w:rPr>
        <w:t xml:space="preserve">s accusation, </w:t>
      </w:r>
      <w:r w:rsidR="00D42A50">
        <w:rPr>
          <w:rFonts w:ascii="Times New Roman" w:hAnsi="Times New Roman" w:cs="Times New Roman"/>
        </w:rPr>
        <w:t>it was also a significant factor of her confession.</w:t>
      </w:r>
    </w:p>
    <w:p w14:paraId="7F39B6D6" w14:textId="2148634A" w:rsidR="00876063" w:rsidRDefault="007F54D3" w:rsidP="00AC6231">
      <w:pPr>
        <w:spacing w:line="480" w:lineRule="auto"/>
        <w:ind w:firstLine="720"/>
        <w:rPr>
          <w:rFonts w:ascii="Times New Roman" w:hAnsi="Times New Roman" w:cs="Times New Roman"/>
        </w:rPr>
      </w:pPr>
      <w:r>
        <w:rPr>
          <w:rFonts w:ascii="Times New Roman" w:hAnsi="Times New Roman" w:cs="Times New Roman"/>
        </w:rPr>
        <w:t xml:space="preserve">To understand the context of Tituba’s confession, it is necessary to first consider the testimony of those who came before her and did not confess. A close look at the examination of </w:t>
      </w:r>
      <w:r w:rsidR="00D60A4B">
        <w:rPr>
          <w:rFonts w:ascii="Times New Roman" w:hAnsi="Times New Roman" w:cs="Times New Roman"/>
        </w:rPr>
        <w:t>Sarah Good and</w:t>
      </w:r>
      <w:r w:rsidR="00B65454">
        <w:rPr>
          <w:rFonts w:ascii="Times New Roman" w:hAnsi="Times New Roman" w:cs="Times New Roman"/>
        </w:rPr>
        <w:t xml:space="preserve"> Sarah Osborne allows for this. </w:t>
      </w:r>
      <w:r w:rsidR="008B5C99">
        <w:rPr>
          <w:rFonts w:ascii="Times New Roman" w:hAnsi="Times New Roman" w:cs="Times New Roman"/>
        </w:rPr>
        <w:t xml:space="preserve">The testimony of Sarah Good began the proceedings for </w:t>
      </w:r>
      <w:r w:rsidR="00E54240">
        <w:rPr>
          <w:rFonts w:ascii="Times New Roman" w:hAnsi="Times New Roman" w:cs="Times New Roman"/>
        </w:rPr>
        <w:t xml:space="preserve">the </w:t>
      </w:r>
      <w:r w:rsidR="008B5C99">
        <w:rPr>
          <w:rFonts w:ascii="Times New Roman" w:hAnsi="Times New Roman" w:cs="Times New Roman"/>
        </w:rPr>
        <w:t>day of the three women’s trial</w:t>
      </w:r>
      <w:r w:rsidR="00E54240">
        <w:rPr>
          <w:rFonts w:ascii="Times New Roman" w:hAnsi="Times New Roman" w:cs="Times New Roman"/>
        </w:rPr>
        <w:t>s</w:t>
      </w:r>
      <w:r w:rsidR="008B5C99">
        <w:rPr>
          <w:rFonts w:ascii="Times New Roman" w:hAnsi="Times New Roman" w:cs="Times New Roman"/>
        </w:rPr>
        <w:t>. In the examination, John Hathorne, whose r</w:t>
      </w:r>
      <w:r w:rsidR="0006601E">
        <w:rPr>
          <w:rFonts w:ascii="Times New Roman" w:hAnsi="Times New Roman" w:cs="Times New Roman"/>
        </w:rPr>
        <w:t>hetoric reveals an assumption of</w:t>
      </w:r>
      <w:r w:rsidR="008B5C99">
        <w:rPr>
          <w:rFonts w:ascii="Times New Roman" w:hAnsi="Times New Roman" w:cs="Times New Roman"/>
        </w:rPr>
        <w:t xml:space="preserve"> Good’s guilt, questions Good. He asks of her, “Sarah Good, what evil spirit have you familiarity with…Why doe you hurt these children?” Good denies the allegations vehemently, offering, “I doe not hurt them. I scorn it...I am falsely accused, I doe not torment them.”</w:t>
      </w:r>
      <w:r w:rsidR="008B5C99">
        <w:rPr>
          <w:rStyle w:val="FootnoteReference"/>
          <w:rFonts w:ascii="Times New Roman" w:hAnsi="Times New Roman" w:cs="Times New Roman"/>
        </w:rPr>
        <w:footnoteReference w:id="17"/>
      </w:r>
      <w:r w:rsidR="008B5C99">
        <w:rPr>
          <w:rFonts w:ascii="Times New Roman" w:hAnsi="Times New Roman" w:cs="Times New Roman"/>
        </w:rPr>
        <w:t xml:space="preserve"> </w:t>
      </w:r>
      <w:r w:rsidR="00985444">
        <w:rPr>
          <w:rFonts w:ascii="Times New Roman" w:hAnsi="Times New Roman" w:cs="Times New Roman"/>
        </w:rPr>
        <w:t>At one point Good goes on to suggest others are guilty of the to</w:t>
      </w:r>
      <w:r w:rsidR="00EB4B5F">
        <w:rPr>
          <w:rFonts w:ascii="Times New Roman" w:hAnsi="Times New Roman" w:cs="Times New Roman"/>
        </w:rPr>
        <w:t>rment of the children, implying the</w:t>
      </w:r>
      <w:r w:rsidR="00802C90">
        <w:rPr>
          <w:rFonts w:ascii="Times New Roman" w:hAnsi="Times New Roman" w:cs="Times New Roman"/>
        </w:rPr>
        <w:t xml:space="preserve">re is in </w:t>
      </w:r>
      <w:r w:rsidR="00802C90">
        <w:rPr>
          <w:rFonts w:ascii="Times New Roman" w:hAnsi="Times New Roman" w:cs="Times New Roman"/>
        </w:rPr>
        <w:lastRenderedPageBreak/>
        <w:t>fact a demonic force</w:t>
      </w:r>
      <w:r w:rsidR="00EB4B5F">
        <w:rPr>
          <w:rFonts w:ascii="Times New Roman" w:hAnsi="Times New Roman" w:cs="Times New Roman"/>
        </w:rPr>
        <w:t xml:space="preserve"> behind the girls’ affliction, though she has no part in it. Good tells Hathorne, “</w:t>
      </w:r>
      <w:r w:rsidR="00802C90">
        <w:rPr>
          <w:rFonts w:ascii="Times New Roman" w:hAnsi="Times New Roman" w:cs="Times New Roman"/>
        </w:rPr>
        <w:t>I doe not know [who for certain was guilty] but it was some you brought into the meeting house with you.” With</w:t>
      </w:r>
      <w:r w:rsidR="002555CA">
        <w:rPr>
          <w:rFonts w:ascii="Times New Roman" w:hAnsi="Times New Roman" w:cs="Times New Roman"/>
        </w:rPr>
        <w:t xml:space="preserve"> this, Good condemns herself by</w:t>
      </w:r>
      <w:r w:rsidR="00802C90">
        <w:rPr>
          <w:rFonts w:ascii="Times New Roman" w:hAnsi="Times New Roman" w:cs="Times New Roman"/>
        </w:rPr>
        <w:t xml:space="preserve"> acknowledging there was a commitment of sin and practice of witchcraft. While she denies her own involvement in the tormenting of the young accusers, Good still </w:t>
      </w:r>
      <w:r w:rsidR="0023529B">
        <w:rPr>
          <w:rFonts w:ascii="Times New Roman" w:hAnsi="Times New Roman" w:cs="Times New Roman"/>
        </w:rPr>
        <w:t>validates the supposed sin of witchcraft. Reis offers insight on the rhetoric of such deniers, observing that, “</w:t>
      </w:r>
      <w:r w:rsidR="0023529B" w:rsidRPr="0023529B">
        <w:rPr>
          <w:rFonts w:ascii="Times New Roman" w:hAnsi="Times New Roman" w:cs="Times New Roman"/>
        </w:rPr>
        <w:t>women who insisted on their innocence often implicated themselves unwit</w:t>
      </w:r>
      <w:r w:rsidR="0023529B">
        <w:rPr>
          <w:rFonts w:ascii="Times New Roman" w:hAnsi="Times New Roman" w:cs="Times New Roman"/>
        </w:rPr>
        <w:t>tingly</w:t>
      </w:r>
      <w:r w:rsidR="0023529B" w:rsidRPr="0023529B">
        <w:rPr>
          <w:rFonts w:ascii="Times New Roman" w:hAnsi="Times New Roman" w:cs="Times New Roman"/>
        </w:rPr>
        <w:t>…they could not wholeheartedly deny a pact with Satan when an implicit bond with him through common sin was undeniable</w:t>
      </w:r>
      <w:r w:rsidR="0023529B">
        <w:rPr>
          <w:rFonts w:ascii="Times New Roman" w:hAnsi="Times New Roman" w:cs="Times New Roman"/>
        </w:rPr>
        <w:t>.”</w:t>
      </w:r>
      <w:r w:rsidR="0023529B">
        <w:rPr>
          <w:rStyle w:val="FootnoteReference"/>
          <w:rFonts w:ascii="Times New Roman" w:hAnsi="Times New Roman" w:cs="Times New Roman"/>
        </w:rPr>
        <w:footnoteReference w:id="18"/>
      </w:r>
      <w:r w:rsidR="00612EB3">
        <w:rPr>
          <w:rFonts w:ascii="Times New Roman" w:hAnsi="Times New Roman" w:cs="Times New Roman"/>
        </w:rPr>
        <w:t xml:space="preserve"> </w:t>
      </w:r>
      <w:r w:rsidR="0006601E">
        <w:rPr>
          <w:rFonts w:ascii="Times New Roman" w:hAnsi="Times New Roman" w:cs="Times New Roman"/>
        </w:rPr>
        <w:t>The consequences for such denial was</w:t>
      </w:r>
      <w:r w:rsidR="00612EB3">
        <w:rPr>
          <w:rFonts w:ascii="Times New Roman" w:hAnsi="Times New Roman" w:cs="Times New Roman"/>
        </w:rPr>
        <w:t xml:space="preserve"> determinedly execution</w:t>
      </w:r>
      <w:r w:rsidR="0023529B">
        <w:rPr>
          <w:rFonts w:ascii="Times New Roman" w:hAnsi="Times New Roman" w:cs="Times New Roman"/>
        </w:rPr>
        <w:t>. T</w:t>
      </w:r>
      <w:r w:rsidR="00463CE2">
        <w:rPr>
          <w:rFonts w:ascii="Times New Roman" w:hAnsi="Times New Roman" w:cs="Times New Roman"/>
        </w:rPr>
        <w:t xml:space="preserve">his is evident in the case of Good, </w:t>
      </w:r>
      <w:r w:rsidR="00E0551D">
        <w:rPr>
          <w:rFonts w:ascii="Times New Roman" w:hAnsi="Times New Roman" w:cs="Times New Roman"/>
        </w:rPr>
        <w:t>who went</w:t>
      </w:r>
      <w:r w:rsidR="008755FB">
        <w:rPr>
          <w:rFonts w:ascii="Times New Roman" w:hAnsi="Times New Roman" w:cs="Times New Roman"/>
        </w:rPr>
        <w:t xml:space="preserve"> on to be hanged on account of being found</w:t>
      </w:r>
      <w:r w:rsidR="00E0551D">
        <w:rPr>
          <w:rFonts w:ascii="Times New Roman" w:hAnsi="Times New Roman" w:cs="Times New Roman"/>
        </w:rPr>
        <w:t xml:space="preserve"> guilty “</w:t>
      </w:r>
      <w:r w:rsidR="00E0551D" w:rsidRPr="00E0551D">
        <w:rPr>
          <w:rFonts w:ascii="Times New Roman" w:hAnsi="Times New Roman" w:cs="Times New Roman"/>
        </w:rPr>
        <w:t>for the horri</w:t>
      </w:r>
      <w:r w:rsidR="00E0551D">
        <w:rPr>
          <w:rFonts w:ascii="Times New Roman" w:hAnsi="Times New Roman" w:cs="Times New Roman"/>
        </w:rPr>
        <w:t xml:space="preserve">ble Crime of Witchcraft </w:t>
      </w:r>
      <w:proofErr w:type="spellStart"/>
      <w:r w:rsidR="00E0551D" w:rsidRPr="00E0551D">
        <w:rPr>
          <w:rFonts w:ascii="Times New Roman" w:hAnsi="Times New Roman" w:cs="Times New Roman"/>
        </w:rPr>
        <w:t>practised</w:t>
      </w:r>
      <w:proofErr w:type="spellEnd"/>
      <w:r w:rsidR="00E0551D" w:rsidRPr="00E0551D">
        <w:rPr>
          <w:rFonts w:ascii="Times New Roman" w:hAnsi="Times New Roman" w:cs="Times New Roman"/>
        </w:rPr>
        <w:t xml:space="preserve"> &amp; Committed On </w:t>
      </w:r>
      <w:proofErr w:type="spellStart"/>
      <w:r w:rsidR="00E0551D" w:rsidRPr="00E0551D">
        <w:rPr>
          <w:rFonts w:ascii="Times New Roman" w:hAnsi="Times New Roman" w:cs="Times New Roman"/>
        </w:rPr>
        <w:t>Severall</w:t>
      </w:r>
      <w:proofErr w:type="spellEnd"/>
      <w:r w:rsidR="00E0551D" w:rsidRPr="00E0551D">
        <w:rPr>
          <w:rFonts w:ascii="Times New Roman" w:hAnsi="Times New Roman" w:cs="Times New Roman"/>
        </w:rPr>
        <w:t xml:space="preserve"> persons</w:t>
      </w:r>
      <w:r w:rsidR="00612EB3">
        <w:rPr>
          <w:rFonts w:ascii="Times New Roman" w:hAnsi="Times New Roman" w:cs="Times New Roman"/>
        </w:rPr>
        <w:t>.</w:t>
      </w:r>
      <w:r w:rsidR="00E0551D">
        <w:rPr>
          <w:rFonts w:ascii="Times New Roman" w:hAnsi="Times New Roman" w:cs="Times New Roman"/>
        </w:rPr>
        <w:t>”</w:t>
      </w:r>
      <w:r w:rsidR="00E0551D">
        <w:rPr>
          <w:rStyle w:val="FootnoteReference"/>
          <w:rFonts w:ascii="Times New Roman" w:hAnsi="Times New Roman" w:cs="Times New Roman"/>
        </w:rPr>
        <w:footnoteReference w:id="19"/>
      </w:r>
      <w:r w:rsidR="00E0551D" w:rsidRPr="00E0551D">
        <w:rPr>
          <w:rFonts w:ascii="Times New Roman" w:hAnsi="Times New Roman" w:cs="Times New Roman"/>
        </w:rPr>
        <w:t xml:space="preserve"> </w:t>
      </w:r>
      <w:r w:rsidR="004E5E2E">
        <w:rPr>
          <w:rFonts w:ascii="Times New Roman" w:hAnsi="Times New Roman" w:cs="Times New Roman"/>
        </w:rPr>
        <w:t>Good denied her guilt, instead insisting on her innocence. It was because of her refusal to admit to partaking in witchcraft that she was condemned as guilty and put to death.</w:t>
      </w:r>
    </w:p>
    <w:p w14:paraId="3E189506" w14:textId="7115CFE4" w:rsidR="004E5E2E" w:rsidRDefault="004E5E2E" w:rsidP="00AC6231">
      <w:pPr>
        <w:spacing w:line="480" w:lineRule="auto"/>
        <w:ind w:firstLine="720"/>
        <w:rPr>
          <w:rFonts w:ascii="Times New Roman" w:hAnsi="Times New Roman" w:cs="Times New Roman"/>
        </w:rPr>
      </w:pPr>
      <w:r>
        <w:rPr>
          <w:rFonts w:ascii="Times New Roman" w:hAnsi="Times New Roman" w:cs="Times New Roman"/>
        </w:rPr>
        <w:t>The examination of Osborne proves strikingly similar to Good’s testimony</w:t>
      </w:r>
      <w:r w:rsidR="003C585F">
        <w:rPr>
          <w:rFonts w:ascii="Times New Roman" w:hAnsi="Times New Roman" w:cs="Times New Roman"/>
        </w:rPr>
        <w:t xml:space="preserve">. Like </w:t>
      </w:r>
      <w:r w:rsidR="009729DE">
        <w:rPr>
          <w:rFonts w:ascii="Times New Roman" w:hAnsi="Times New Roman" w:cs="Times New Roman"/>
        </w:rPr>
        <w:t xml:space="preserve">in the instance of Good, Hathorne </w:t>
      </w:r>
      <w:r>
        <w:rPr>
          <w:rFonts w:ascii="Times New Roman" w:hAnsi="Times New Roman" w:cs="Times New Roman"/>
        </w:rPr>
        <w:t>assumes her guilt and frames his questions as such</w:t>
      </w:r>
      <w:r w:rsidR="009729DE">
        <w:rPr>
          <w:rFonts w:ascii="Times New Roman" w:hAnsi="Times New Roman" w:cs="Times New Roman"/>
        </w:rPr>
        <w:t xml:space="preserve"> in his examination</w:t>
      </w:r>
      <w:r>
        <w:rPr>
          <w:rFonts w:ascii="Times New Roman" w:hAnsi="Times New Roman" w:cs="Times New Roman"/>
        </w:rPr>
        <w:t>.</w:t>
      </w:r>
      <w:r w:rsidR="003C585F">
        <w:rPr>
          <w:rFonts w:ascii="Times New Roman" w:hAnsi="Times New Roman" w:cs="Times New Roman"/>
        </w:rPr>
        <w:t xml:space="preserve"> The significant difference in Osborne’s examination is the questioning of her relationship with Good. As Good suggested Osborne’s guilt in her</w:t>
      </w:r>
      <w:r w:rsidR="00D979BA">
        <w:rPr>
          <w:rFonts w:ascii="Times New Roman" w:hAnsi="Times New Roman" w:cs="Times New Roman"/>
        </w:rPr>
        <w:t xml:space="preserve"> own testimony, Osborne is </w:t>
      </w:r>
      <w:r w:rsidR="003C585F">
        <w:rPr>
          <w:rFonts w:ascii="Times New Roman" w:hAnsi="Times New Roman" w:cs="Times New Roman"/>
        </w:rPr>
        <w:t>specifically interrogated on her</w:t>
      </w:r>
      <w:r w:rsidR="00D979BA">
        <w:rPr>
          <w:rFonts w:ascii="Times New Roman" w:hAnsi="Times New Roman" w:cs="Times New Roman"/>
        </w:rPr>
        <w:t xml:space="preserve"> relations with Good. Hathorne </w:t>
      </w:r>
      <w:r w:rsidR="00D979BA">
        <w:rPr>
          <w:rFonts w:ascii="Times New Roman" w:hAnsi="Times New Roman" w:cs="Times New Roman"/>
        </w:rPr>
        <w:lastRenderedPageBreak/>
        <w:t>asks, “What familiarity have you with Sarah Good…what communications had you with her?”</w:t>
      </w:r>
      <w:r w:rsidR="00D979BA">
        <w:rPr>
          <w:rStyle w:val="FootnoteReference"/>
          <w:rFonts w:ascii="Times New Roman" w:hAnsi="Times New Roman" w:cs="Times New Roman"/>
        </w:rPr>
        <w:footnoteReference w:id="20"/>
      </w:r>
      <w:r w:rsidR="007E0570">
        <w:rPr>
          <w:rFonts w:ascii="Times New Roman" w:hAnsi="Times New Roman" w:cs="Times New Roman"/>
        </w:rPr>
        <w:t xml:space="preserve"> Osborne refutes any sort of con</w:t>
      </w:r>
      <w:r w:rsidR="00FD6919">
        <w:rPr>
          <w:rFonts w:ascii="Times New Roman" w:hAnsi="Times New Roman" w:cs="Times New Roman"/>
        </w:rPr>
        <w:t>demning relationship with Good. Like Good, Os</w:t>
      </w:r>
      <w:r w:rsidR="00D537E2">
        <w:rPr>
          <w:rFonts w:ascii="Times New Roman" w:hAnsi="Times New Roman" w:cs="Times New Roman"/>
        </w:rPr>
        <w:t>borne goes on to concede to the existence of</w:t>
      </w:r>
      <w:r w:rsidR="00FD6919">
        <w:rPr>
          <w:rFonts w:ascii="Times New Roman" w:hAnsi="Times New Roman" w:cs="Times New Roman"/>
        </w:rPr>
        <w:t xml:space="preserve"> some </w:t>
      </w:r>
      <w:r w:rsidR="00D537E2">
        <w:rPr>
          <w:rFonts w:ascii="Times New Roman" w:hAnsi="Times New Roman" w:cs="Times New Roman"/>
        </w:rPr>
        <w:t>evil spirit or satanic presence within Salem.</w:t>
      </w:r>
      <w:r w:rsidR="00FD6919">
        <w:rPr>
          <w:rFonts w:ascii="Times New Roman" w:hAnsi="Times New Roman" w:cs="Times New Roman"/>
        </w:rPr>
        <w:t xml:space="preserve"> </w:t>
      </w:r>
      <w:r w:rsidR="00D537E2">
        <w:rPr>
          <w:rFonts w:ascii="Times New Roman" w:hAnsi="Times New Roman" w:cs="Times New Roman"/>
        </w:rPr>
        <w:t xml:space="preserve">Osborne reveals to Hathorne, “It was a voice I thought I heard…[that said] </w:t>
      </w:r>
      <w:r w:rsidR="00D537E2" w:rsidRPr="00D537E2">
        <w:rPr>
          <w:rFonts w:ascii="Times New Roman" w:hAnsi="Times New Roman" w:cs="Times New Roman"/>
        </w:rPr>
        <w:t xml:space="preserve">I should </w:t>
      </w:r>
      <w:proofErr w:type="spellStart"/>
      <w:r w:rsidR="00D537E2" w:rsidRPr="00D537E2">
        <w:rPr>
          <w:rFonts w:ascii="Times New Roman" w:hAnsi="Times New Roman" w:cs="Times New Roman"/>
        </w:rPr>
        <w:t>goe</w:t>
      </w:r>
      <w:proofErr w:type="spellEnd"/>
      <w:r w:rsidR="00D537E2" w:rsidRPr="00D537E2">
        <w:rPr>
          <w:rFonts w:ascii="Times New Roman" w:hAnsi="Times New Roman" w:cs="Times New Roman"/>
        </w:rPr>
        <w:t xml:space="preserve"> no more to meeting but I said I would and did </w:t>
      </w:r>
      <w:proofErr w:type="spellStart"/>
      <w:r w:rsidR="00D537E2" w:rsidRPr="00D537E2">
        <w:rPr>
          <w:rFonts w:ascii="Times New Roman" w:hAnsi="Times New Roman" w:cs="Times New Roman"/>
        </w:rPr>
        <w:t>goe</w:t>
      </w:r>
      <w:proofErr w:type="spellEnd"/>
      <w:r w:rsidR="00D537E2" w:rsidRPr="00D537E2">
        <w:rPr>
          <w:rFonts w:ascii="Times New Roman" w:hAnsi="Times New Roman" w:cs="Times New Roman"/>
        </w:rPr>
        <w:t xml:space="preserve"> the next Sabbath day</w:t>
      </w:r>
      <w:r w:rsidR="00D537E2">
        <w:rPr>
          <w:rFonts w:ascii="Times New Roman" w:hAnsi="Times New Roman" w:cs="Times New Roman"/>
        </w:rPr>
        <w:t>.”</w:t>
      </w:r>
      <w:r w:rsidR="00D537E2">
        <w:rPr>
          <w:rStyle w:val="FootnoteReference"/>
          <w:rFonts w:ascii="Times New Roman" w:hAnsi="Times New Roman" w:cs="Times New Roman"/>
        </w:rPr>
        <w:footnoteReference w:id="21"/>
      </w:r>
      <w:r w:rsidR="00F114BA">
        <w:rPr>
          <w:rFonts w:ascii="Times New Roman" w:hAnsi="Times New Roman" w:cs="Times New Roman"/>
        </w:rPr>
        <w:t xml:space="preserve"> This confession proves similar to Good’s, in that it acknowledges the possibility of a demonic force within Salem. In recognizing this but refusing to take responsibility or</w:t>
      </w:r>
      <w:r w:rsidR="009729DE">
        <w:rPr>
          <w:rFonts w:ascii="Times New Roman" w:hAnsi="Times New Roman" w:cs="Times New Roman"/>
        </w:rPr>
        <w:t xml:space="preserve"> admit to involvement with the d</w:t>
      </w:r>
      <w:r w:rsidR="00F114BA">
        <w:rPr>
          <w:rFonts w:ascii="Times New Roman" w:hAnsi="Times New Roman" w:cs="Times New Roman"/>
        </w:rPr>
        <w:t xml:space="preserve">evil, Osborne implicates herself. </w:t>
      </w:r>
      <w:r w:rsidR="00027C5C">
        <w:rPr>
          <w:rFonts w:ascii="Times New Roman" w:hAnsi="Times New Roman" w:cs="Times New Roman"/>
        </w:rPr>
        <w:t xml:space="preserve">Sarah Osborne </w:t>
      </w:r>
      <w:r w:rsidR="002C64DB">
        <w:rPr>
          <w:rFonts w:ascii="Times New Roman" w:hAnsi="Times New Roman" w:cs="Times New Roman"/>
        </w:rPr>
        <w:t xml:space="preserve">went on to die in prison following her examination, on </w:t>
      </w:r>
      <w:r w:rsidR="00882E37">
        <w:rPr>
          <w:rFonts w:ascii="Times New Roman" w:hAnsi="Times New Roman" w:cs="Times New Roman"/>
        </w:rPr>
        <w:t>May 10, 1692.</w:t>
      </w:r>
      <w:r w:rsidR="00882E37">
        <w:rPr>
          <w:rStyle w:val="FootnoteReference"/>
          <w:rFonts w:ascii="Times New Roman" w:hAnsi="Times New Roman" w:cs="Times New Roman"/>
        </w:rPr>
        <w:footnoteReference w:id="22"/>
      </w:r>
      <w:r w:rsidR="00B22ACB">
        <w:rPr>
          <w:rFonts w:ascii="Times New Roman" w:hAnsi="Times New Roman" w:cs="Times New Roman"/>
        </w:rPr>
        <w:t xml:space="preserve"> </w:t>
      </w:r>
      <w:r w:rsidR="00D35A17">
        <w:rPr>
          <w:rFonts w:ascii="Times New Roman" w:hAnsi="Times New Roman" w:cs="Times New Roman"/>
        </w:rPr>
        <w:t xml:space="preserve">Had Osborne lived to see the noose, it is likely her execution would have been called for, due to her refusal to confess her guilt in practicing witchcraft. Her </w:t>
      </w:r>
      <w:r w:rsidR="009729DE">
        <w:rPr>
          <w:rFonts w:ascii="Times New Roman" w:hAnsi="Times New Roman" w:cs="Times New Roman"/>
        </w:rPr>
        <w:t>testimony, as well as Good’s, reveals</w:t>
      </w:r>
      <w:r w:rsidR="00D35A17">
        <w:rPr>
          <w:rFonts w:ascii="Times New Roman" w:hAnsi="Times New Roman" w:cs="Times New Roman"/>
        </w:rPr>
        <w:t xml:space="preserve"> that those who denied their guilt in witchcraft severely implicated themselves</w:t>
      </w:r>
      <w:r w:rsidR="006C049E">
        <w:rPr>
          <w:rFonts w:ascii="Times New Roman" w:hAnsi="Times New Roman" w:cs="Times New Roman"/>
        </w:rPr>
        <w:t>.</w:t>
      </w:r>
      <w:r w:rsidR="007821D8">
        <w:rPr>
          <w:rFonts w:ascii="Times New Roman" w:hAnsi="Times New Roman" w:cs="Times New Roman"/>
        </w:rPr>
        <w:t xml:space="preserve"> </w:t>
      </w:r>
    </w:p>
    <w:p w14:paraId="2B7CA479" w14:textId="50AA88E5" w:rsidR="00BD25F7" w:rsidRDefault="00912E06" w:rsidP="00C14EE6">
      <w:pPr>
        <w:spacing w:line="480" w:lineRule="auto"/>
        <w:ind w:firstLine="720"/>
        <w:rPr>
          <w:rFonts w:ascii="Times New Roman" w:hAnsi="Times New Roman" w:cs="Times New Roman"/>
        </w:rPr>
      </w:pPr>
      <w:r>
        <w:rPr>
          <w:rFonts w:ascii="Times New Roman" w:hAnsi="Times New Roman" w:cs="Times New Roman"/>
        </w:rPr>
        <w:t>Tituba’s examination exemplifies an understanding and adherence to Puritan gender ideology. As the first to confess, Tituba understood her place as an accused woman and as such, confessed accordingly. In her testimony, Tituba concedes to bidding herself to serve the Devil, and then goes on to name other women as partakers in witchcraft. She explains to Hathorne, “Four women sometimes hurt the children…</w:t>
      </w:r>
      <w:r w:rsidR="00C14EE6">
        <w:rPr>
          <w:rFonts w:ascii="Times New Roman" w:hAnsi="Times New Roman" w:cs="Times New Roman"/>
        </w:rPr>
        <w:t>there is four</w:t>
      </w:r>
      <w:r w:rsidR="00C14EE6" w:rsidRPr="00C14EE6">
        <w:rPr>
          <w:rFonts w:ascii="Times New Roman" w:hAnsi="Times New Roman" w:cs="Times New Roman"/>
        </w:rPr>
        <w:t xml:space="preserve"> women and one man they hurt the children and then lay all upon </w:t>
      </w:r>
      <w:r w:rsidR="00C14EE6" w:rsidRPr="00C14EE6">
        <w:rPr>
          <w:rFonts w:ascii="Times New Roman" w:hAnsi="Times New Roman" w:cs="Times New Roman"/>
        </w:rPr>
        <w:lastRenderedPageBreak/>
        <w:t>me and they tell me if I will not hurt the children they will hurt me</w:t>
      </w:r>
      <w:r w:rsidR="00C14EE6">
        <w:rPr>
          <w:rFonts w:ascii="Times New Roman" w:hAnsi="Times New Roman" w:cs="Times New Roman"/>
        </w:rPr>
        <w:t>…but I will hurt them no more</w:t>
      </w:r>
      <w:r w:rsidR="00A1589E">
        <w:rPr>
          <w:rFonts w:ascii="Times New Roman" w:hAnsi="Times New Roman" w:cs="Times New Roman"/>
        </w:rPr>
        <w:t>..</w:t>
      </w:r>
      <w:r w:rsidR="00C14EE6">
        <w:rPr>
          <w:rFonts w:ascii="Times New Roman" w:hAnsi="Times New Roman" w:cs="Times New Roman"/>
        </w:rPr>
        <w:t>.</w:t>
      </w:r>
      <w:r w:rsidR="00A1589E">
        <w:rPr>
          <w:rFonts w:ascii="Times New Roman" w:hAnsi="Times New Roman" w:cs="Times New Roman"/>
        </w:rPr>
        <w:t>yes [I am sorry I hurt the children.]</w:t>
      </w:r>
      <w:r w:rsidR="00C14EE6">
        <w:rPr>
          <w:rFonts w:ascii="Times New Roman" w:hAnsi="Times New Roman" w:cs="Times New Roman"/>
        </w:rPr>
        <w:t>”</w:t>
      </w:r>
      <w:r w:rsidR="00C14EE6">
        <w:rPr>
          <w:rStyle w:val="FootnoteReference"/>
          <w:rFonts w:ascii="Times New Roman" w:hAnsi="Times New Roman" w:cs="Times New Roman"/>
        </w:rPr>
        <w:footnoteReference w:id="23"/>
      </w:r>
      <w:r w:rsidR="0099606B">
        <w:rPr>
          <w:rFonts w:ascii="Times New Roman" w:hAnsi="Times New Roman" w:cs="Times New Roman"/>
        </w:rPr>
        <w:t xml:space="preserve"> Tituba’</w:t>
      </w:r>
      <w:r w:rsidR="00B117B9">
        <w:rPr>
          <w:rFonts w:ascii="Times New Roman" w:hAnsi="Times New Roman" w:cs="Times New Roman"/>
        </w:rPr>
        <w:t>s testimony contains her admission</w:t>
      </w:r>
      <w:r w:rsidR="0099606B">
        <w:rPr>
          <w:rFonts w:ascii="Times New Roman" w:hAnsi="Times New Roman" w:cs="Times New Roman"/>
        </w:rPr>
        <w:t xml:space="preserve"> to partaking in witchcraft, albeit only in response to the threat of her own endangerment. In this way, Tituba validates for the people of Salem the presence of Satan within the village and confirms the afflicted girls’ accusations. Tituba </w:t>
      </w:r>
      <w:r w:rsidR="00B117B9">
        <w:rPr>
          <w:rFonts w:ascii="Times New Roman" w:hAnsi="Times New Roman" w:cs="Times New Roman"/>
        </w:rPr>
        <w:t xml:space="preserve">also in a way </w:t>
      </w:r>
      <w:r w:rsidR="0006601E">
        <w:rPr>
          <w:rFonts w:ascii="Times New Roman" w:hAnsi="Times New Roman" w:cs="Times New Roman"/>
        </w:rPr>
        <w:t>absolves</w:t>
      </w:r>
      <w:r w:rsidR="0099606B">
        <w:rPr>
          <w:rFonts w:ascii="Times New Roman" w:hAnsi="Times New Roman" w:cs="Times New Roman"/>
        </w:rPr>
        <w:t xml:space="preserve"> herself, making it clear her participation was committed out of fear for her own well-being. She further explains she is sorry and intends not to partake in witchcraft again. According to Reis, Tituba’s confession </w:t>
      </w:r>
      <w:r w:rsidR="00B117B9">
        <w:rPr>
          <w:rFonts w:ascii="Times New Roman" w:hAnsi="Times New Roman" w:cs="Times New Roman"/>
        </w:rPr>
        <w:t>exemplifies Puritan womanhood, thus confirming Tituba’s understanding of and adherence to Puritan gender doctrine.</w:t>
      </w:r>
    </w:p>
    <w:p w14:paraId="55D69BE1" w14:textId="3A4CD893" w:rsidR="00D42A50" w:rsidRDefault="00366CEA" w:rsidP="00AC6231">
      <w:pPr>
        <w:spacing w:line="480" w:lineRule="auto"/>
        <w:ind w:firstLine="720"/>
        <w:rPr>
          <w:rFonts w:ascii="Times New Roman" w:hAnsi="Times New Roman" w:cs="Times New Roman"/>
        </w:rPr>
      </w:pPr>
      <w:r>
        <w:rPr>
          <w:rFonts w:ascii="Times New Roman" w:hAnsi="Times New Roman" w:cs="Times New Roman"/>
        </w:rPr>
        <w:t xml:space="preserve">A confession of guilt to the greatest sin—witchcraft—was the embodiment of adherence to Puritan gender expectation, particularly for that of Puritan women. As Reis states, </w:t>
      </w:r>
    </w:p>
    <w:p w14:paraId="30EE14B3" w14:textId="4BD65744" w:rsidR="000F4435" w:rsidRDefault="00366CEA" w:rsidP="00D768E6">
      <w:pPr>
        <w:ind w:left="720"/>
        <w:rPr>
          <w:rFonts w:ascii="Times New Roman" w:hAnsi="Times New Roman" w:cs="Times New Roman"/>
        </w:rPr>
      </w:pPr>
      <w:r w:rsidRPr="00366CEA">
        <w:rPr>
          <w:rFonts w:ascii="Times New Roman" w:hAnsi="Times New Roman" w:cs="Times New Roman"/>
        </w:rPr>
        <w:t>A confessing woman was the mode</w:t>
      </w:r>
      <w:r w:rsidR="00A1589E">
        <w:rPr>
          <w:rFonts w:ascii="Times New Roman" w:hAnsi="Times New Roman" w:cs="Times New Roman"/>
        </w:rPr>
        <w:t>l</w:t>
      </w:r>
      <w:r w:rsidRPr="00366CEA">
        <w:rPr>
          <w:rFonts w:ascii="Times New Roman" w:hAnsi="Times New Roman" w:cs="Times New Roman"/>
        </w:rPr>
        <w:t xml:space="preserve"> of Puritan womanhood, even though she was admitting to the worst of sins. Apology was critical…a good Puritan woman/witch needed to repent her obvious sins. A confessing woman confirmed her society’s belief in both God and the devil. She validated the court’s procedures, and she corroborated Puritan thought concerning sin, guilt, and the devil’s wily ways. A confessing woman created a model of perfect redemption, and during the Salem trials (though not elsewhere) she was rewar</w:t>
      </w:r>
      <w:r w:rsidR="00D768E6">
        <w:rPr>
          <w:rFonts w:ascii="Times New Roman" w:hAnsi="Times New Roman" w:cs="Times New Roman"/>
        </w:rPr>
        <w:t>ded with her</w:t>
      </w:r>
      <w:r w:rsidRPr="00366CEA">
        <w:rPr>
          <w:rFonts w:ascii="Times New Roman" w:hAnsi="Times New Roman" w:cs="Times New Roman"/>
        </w:rPr>
        <w:t xml:space="preserve"> life.</w:t>
      </w:r>
      <w:r>
        <w:rPr>
          <w:rStyle w:val="FootnoteReference"/>
          <w:rFonts w:ascii="Times New Roman" w:hAnsi="Times New Roman" w:cs="Times New Roman"/>
        </w:rPr>
        <w:footnoteReference w:id="24"/>
      </w:r>
      <w:r w:rsidRPr="00366CEA">
        <w:rPr>
          <w:rFonts w:ascii="Times New Roman" w:hAnsi="Times New Roman" w:cs="Times New Roman"/>
        </w:rPr>
        <w:t xml:space="preserve"> </w:t>
      </w:r>
    </w:p>
    <w:p w14:paraId="38E8AEF9" w14:textId="77777777" w:rsidR="00D768E6" w:rsidRDefault="004A607C" w:rsidP="00D768E6">
      <w:pPr>
        <w:rPr>
          <w:rFonts w:ascii="Times New Roman" w:hAnsi="Times New Roman" w:cs="Times New Roman"/>
        </w:rPr>
      </w:pPr>
      <w:r>
        <w:rPr>
          <w:rFonts w:ascii="Times New Roman" w:hAnsi="Times New Roman" w:cs="Times New Roman"/>
        </w:rPr>
        <w:tab/>
      </w:r>
    </w:p>
    <w:p w14:paraId="375E7F32" w14:textId="2E6D2F33" w:rsidR="00A1589E" w:rsidRDefault="00D768E6" w:rsidP="00A933A3">
      <w:pPr>
        <w:spacing w:line="480" w:lineRule="auto"/>
        <w:ind w:firstLine="720"/>
        <w:rPr>
          <w:rFonts w:ascii="Times New Roman" w:hAnsi="Times New Roman" w:cs="Times New Roman"/>
        </w:rPr>
      </w:pPr>
      <w:r>
        <w:rPr>
          <w:rFonts w:ascii="Times New Roman" w:hAnsi="Times New Roman" w:cs="Times New Roman"/>
        </w:rPr>
        <w:lastRenderedPageBreak/>
        <w:t>Tituba</w:t>
      </w:r>
      <w:r w:rsidR="00A1589E">
        <w:rPr>
          <w:rFonts w:ascii="Times New Roman" w:hAnsi="Times New Roman" w:cs="Times New Roman"/>
        </w:rPr>
        <w:t xml:space="preserve">’s testimony possessed all the attributes Reis names as components of an acceptable and desirable Puritan confession. </w:t>
      </w:r>
      <w:r w:rsidR="00A933A3">
        <w:rPr>
          <w:rFonts w:ascii="Times New Roman" w:hAnsi="Times New Roman" w:cs="Times New Roman"/>
        </w:rPr>
        <w:t xml:space="preserve">Tituba </w:t>
      </w:r>
      <w:r w:rsidR="00A1589E">
        <w:rPr>
          <w:rFonts w:ascii="Times New Roman" w:hAnsi="Times New Roman" w:cs="Times New Roman"/>
        </w:rPr>
        <w:t>validated Salem’s concerns regarding the presence of witchcraft</w:t>
      </w:r>
      <w:r w:rsidR="00A933A3">
        <w:rPr>
          <w:rFonts w:ascii="Times New Roman" w:hAnsi="Times New Roman" w:cs="Times New Roman"/>
        </w:rPr>
        <w:t>, apologized f</w:t>
      </w:r>
      <w:r w:rsidR="00086404">
        <w:rPr>
          <w:rFonts w:ascii="Times New Roman" w:hAnsi="Times New Roman" w:cs="Times New Roman"/>
        </w:rPr>
        <w:t>or her involvement in it</w:t>
      </w:r>
      <w:r w:rsidR="00A933A3">
        <w:rPr>
          <w:rFonts w:ascii="Times New Roman" w:hAnsi="Times New Roman" w:cs="Times New Roman"/>
        </w:rPr>
        <w:t>, and named additional fellow witches</w:t>
      </w:r>
      <w:r w:rsidR="00A1589E">
        <w:rPr>
          <w:rFonts w:ascii="Times New Roman" w:hAnsi="Times New Roman" w:cs="Times New Roman"/>
        </w:rPr>
        <w:t xml:space="preserve">. </w:t>
      </w:r>
      <w:r w:rsidR="00A933A3">
        <w:rPr>
          <w:rFonts w:ascii="Times New Roman" w:hAnsi="Times New Roman" w:cs="Times New Roman"/>
        </w:rPr>
        <w:t>In this manner, Tituba ex</w:t>
      </w:r>
      <w:r w:rsidR="00CC71DE">
        <w:rPr>
          <w:rFonts w:ascii="Times New Roman" w:hAnsi="Times New Roman" w:cs="Times New Roman"/>
        </w:rPr>
        <w:t xml:space="preserve">emplifies agency consistent with </w:t>
      </w:r>
      <w:r w:rsidR="00A933A3">
        <w:rPr>
          <w:rFonts w:ascii="Times New Roman" w:hAnsi="Times New Roman" w:cs="Times New Roman"/>
        </w:rPr>
        <w:t xml:space="preserve">Puritan gender doctrine. </w:t>
      </w:r>
      <w:r w:rsidR="00CB56A8">
        <w:rPr>
          <w:rFonts w:ascii="Times New Roman" w:hAnsi="Times New Roman" w:cs="Times New Roman"/>
        </w:rPr>
        <w:t xml:space="preserve">As the </w:t>
      </w:r>
      <w:r w:rsidR="00242981">
        <w:rPr>
          <w:rFonts w:ascii="Times New Roman" w:hAnsi="Times New Roman" w:cs="Times New Roman"/>
        </w:rPr>
        <w:t xml:space="preserve">first confession, Tituba’s testimony is </w:t>
      </w:r>
      <w:r w:rsidR="0027237B">
        <w:rPr>
          <w:rFonts w:ascii="Times New Roman" w:hAnsi="Times New Roman" w:cs="Times New Roman"/>
        </w:rPr>
        <w:t xml:space="preserve">particularly </w:t>
      </w:r>
      <w:r w:rsidR="00242981">
        <w:rPr>
          <w:rFonts w:ascii="Times New Roman" w:hAnsi="Times New Roman" w:cs="Times New Roman"/>
        </w:rPr>
        <w:t xml:space="preserve">significant. </w:t>
      </w:r>
      <w:r w:rsidR="00B7417B">
        <w:rPr>
          <w:rFonts w:ascii="Times New Roman" w:hAnsi="Times New Roman" w:cs="Times New Roman"/>
        </w:rPr>
        <w:t xml:space="preserve">Unlike Good and Osborne, whose testimonies of refutation display a challenge to Puritan gender expectations, which resulted in dire consequences for them both, Tituba’s examination </w:t>
      </w:r>
      <w:r w:rsidR="00242981">
        <w:rPr>
          <w:rFonts w:ascii="Times New Roman" w:hAnsi="Times New Roman" w:cs="Times New Roman"/>
        </w:rPr>
        <w:t xml:space="preserve">reveals her understanding of and participation </w:t>
      </w:r>
      <w:r w:rsidR="00B7417B">
        <w:rPr>
          <w:rFonts w:ascii="Times New Roman" w:hAnsi="Times New Roman" w:cs="Times New Roman"/>
        </w:rPr>
        <w:t xml:space="preserve">in the gendering of </w:t>
      </w:r>
      <w:r w:rsidR="00242981">
        <w:rPr>
          <w:rFonts w:ascii="Times New Roman" w:hAnsi="Times New Roman" w:cs="Times New Roman"/>
        </w:rPr>
        <w:t xml:space="preserve">Salem society. </w:t>
      </w:r>
      <w:r w:rsidR="00F742A6">
        <w:rPr>
          <w:rFonts w:ascii="Times New Roman" w:hAnsi="Times New Roman" w:cs="Times New Roman"/>
        </w:rPr>
        <w:t>A</w:t>
      </w:r>
      <w:r w:rsidR="000C412B">
        <w:rPr>
          <w:rFonts w:ascii="Times New Roman" w:hAnsi="Times New Roman" w:cs="Times New Roman"/>
        </w:rPr>
        <w:t xml:space="preserve">s a woman within Puritan Salem, </w:t>
      </w:r>
      <w:r w:rsidR="00F742A6">
        <w:rPr>
          <w:rFonts w:ascii="Times New Roman" w:hAnsi="Times New Roman" w:cs="Times New Roman"/>
        </w:rPr>
        <w:t xml:space="preserve">Tituba </w:t>
      </w:r>
      <w:r w:rsidR="000C412B">
        <w:rPr>
          <w:rFonts w:ascii="Times New Roman" w:hAnsi="Times New Roman" w:cs="Times New Roman"/>
        </w:rPr>
        <w:t xml:space="preserve">was first </w:t>
      </w:r>
      <w:r w:rsidR="00F742A6">
        <w:rPr>
          <w:rFonts w:ascii="Times New Roman" w:hAnsi="Times New Roman" w:cs="Times New Roman"/>
        </w:rPr>
        <w:t>accused</w:t>
      </w:r>
      <w:r w:rsidR="002B5083">
        <w:rPr>
          <w:rFonts w:ascii="Times New Roman" w:hAnsi="Times New Roman" w:cs="Times New Roman"/>
        </w:rPr>
        <w:t xml:space="preserve"> of witchcraft</w:t>
      </w:r>
      <w:r w:rsidR="000C412B">
        <w:rPr>
          <w:rFonts w:ascii="Times New Roman" w:hAnsi="Times New Roman" w:cs="Times New Roman"/>
        </w:rPr>
        <w:t xml:space="preserve"> and then confessed accordingly, in observance to the </w:t>
      </w:r>
      <w:r w:rsidR="00086404">
        <w:rPr>
          <w:rFonts w:ascii="Times New Roman" w:hAnsi="Times New Roman" w:cs="Times New Roman"/>
        </w:rPr>
        <w:t>expectations of Puritan women. Therefore, Tituba’s confession may be attributed to her gender within Salem.</w:t>
      </w:r>
    </w:p>
    <w:p w14:paraId="7975C532" w14:textId="2D37BDC3" w:rsidR="00DF3FF3" w:rsidRDefault="00ED7B05" w:rsidP="00DF3FF3">
      <w:pPr>
        <w:spacing w:line="480" w:lineRule="auto"/>
        <w:ind w:firstLine="720"/>
        <w:rPr>
          <w:rFonts w:ascii="Times New Roman" w:hAnsi="Times New Roman" w:cs="Times New Roman"/>
        </w:rPr>
      </w:pPr>
      <w:r>
        <w:rPr>
          <w:rFonts w:ascii="Times New Roman" w:hAnsi="Times New Roman" w:cs="Times New Roman"/>
        </w:rPr>
        <w:t xml:space="preserve">While it is significant that her confession granted her life, Tituba was not given the opportunity to reestablish herself within the Salem community following her examination. Reis points out </w:t>
      </w:r>
      <w:r w:rsidR="00992D81">
        <w:rPr>
          <w:rFonts w:ascii="Times New Roman" w:hAnsi="Times New Roman" w:cs="Times New Roman"/>
        </w:rPr>
        <w:t>how a confession, containing all of the aspects of Tituba’s, would have</w:t>
      </w:r>
      <w:r w:rsidR="00013892">
        <w:rPr>
          <w:rFonts w:ascii="Times New Roman" w:hAnsi="Times New Roman" w:cs="Times New Roman"/>
        </w:rPr>
        <w:t xml:space="preserve"> allowed for a true Puritan woma</w:t>
      </w:r>
      <w:r w:rsidR="00E37179">
        <w:rPr>
          <w:rFonts w:ascii="Times New Roman" w:hAnsi="Times New Roman" w:cs="Times New Roman"/>
        </w:rPr>
        <w:t>n to be reestablished</w:t>
      </w:r>
      <w:r w:rsidR="00992D81">
        <w:rPr>
          <w:rFonts w:ascii="Times New Roman" w:hAnsi="Times New Roman" w:cs="Times New Roman"/>
        </w:rPr>
        <w:t xml:space="preserve"> into her c</w:t>
      </w:r>
      <w:r w:rsidR="00E37179">
        <w:rPr>
          <w:rFonts w:ascii="Times New Roman" w:hAnsi="Times New Roman" w:cs="Times New Roman"/>
        </w:rPr>
        <w:t>ommunity. Even though confessing</w:t>
      </w:r>
      <w:r w:rsidR="00992D81">
        <w:rPr>
          <w:rFonts w:ascii="Times New Roman" w:hAnsi="Times New Roman" w:cs="Times New Roman"/>
        </w:rPr>
        <w:t xml:space="preserve"> to the worst possible sin, a confessed witch </w:t>
      </w:r>
      <w:r w:rsidR="00D726F8">
        <w:rPr>
          <w:rFonts w:ascii="Times New Roman" w:hAnsi="Times New Roman" w:cs="Times New Roman"/>
        </w:rPr>
        <w:t xml:space="preserve">still had the opportunity to be reintegrated into her given home, for exemplifying the expectations of her Puritan womanhood. Tituba, however, remained in prison following her </w:t>
      </w:r>
      <w:r w:rsidR="00803C41">
        <w:rPr>
          <w:rFonts w:ascii="Times New Roman" w:hAnsi="Times New Roman" w:cs="Times New Roman"/>
        </w:rPr>
        <w:t xml:space="preserve">confession. This may be attributed to the other equally significant factor of Tituba’s makeup within Salem: not only was she a </w:t>
      </w:r>
      <w:r w:rsidR="004621BB">
        <w:rPr>
          <w:rFonts w:ascii="Times New Roman" w:hAnsi="Times New Roman" w:cs="Times New Roman"/>
        </w:rPr>
        <w:t xml:space="preserve">woman, Tituba was an </w:t>
      </w:r>
      <w:r w:rsidR="00803C41">
        <w:rPr>
          <w:rFonts w:ascii="Times New Roman" w:hAnsi="Times New Roman" w:cs="Times New Roman"/>
        </w:rPr>
        <w:t>enslaved</w:t>
      </w:r>
      <w:r w:rsidR="004621BB">
        <w:rPr>
          <w:rFonts w:ascii="Times New Roman" w:hAnsi="Times New Roman" w:cs="Times New Roman"/>
        </w:rPr>
        <w:t xml:space="preserve"> Indian</w:t>
      </w:r>
      <w:r w:rsidR="00803C41">
        <w:rPr>
          <w:rFonts w:ascii="Times New Roman" w:hAnsi="Times New Roman" w:cs="Times New Roman"/>
        </w:rPr>
        <w:t xml:space="preserve"> woman</w:t>
      </w:r>
      <w:r w:rsidR="00DF3FF3">
        <w:rPr>
          <w:rFonts w:ascii="Times New Roman" w:hAnsi="Times New Roman" w:cs="Times New Roman"/>
        </w:rPr>
        <w:t xml:space="preserve">, and her very body and assumed racial and cultural practices deemed her </w:t>
      </w:r>
      <w:r w:rsidR="00867FDF">
        <w:rPr>
          <w:rFonts w:ascii="Times New Roman" w:hAnsi="Times New Roman" w:cs="Times New Roman"/>
        </w:rPr>
        <w:t xml:space="preserve">potential reintegration into Salem society </w:t>
      </w:r>
      <w:r w:rsidR="00DF3FF3">
        <w:rPr>
          <w:rFonts w:ascii="Times New Roman" w:hAnsi="Times New Roman" w:cs="Times New Roman"/>
        </w:rPr>
        <w:t>impossible</w:t>
      </w:r>
      <w:r w:rsidR="00867FDF">
        <w:rPr>
          <w:rFonts w:ascii="Times New Roman" w:hAnsi="Times New Roman" w:cs="Times New Roman"/>
        </w:rPr>
        <w:t>.</w:t>
      </w:r>
      <w:r w:rsidR="00DF3FF3">
        <w:rPr>
          <w:rFonts w:ascii="Times New Roman" w:hAnsi="Times New Roman" w:cs="Times New Roman"/>
        </w:rPr>
        <w:t xml:space="preserve"> Regardless of her confession, Tituba was</w:t>
      </w:r>
      <w:r w:rsidR="00C23E38">
        <w:rPr>
          <w:rFonts w:ascii="Times New Roman" w:hAnsi="Times New Roman" w:cs="Times New Roman"/>
        </w:rPr>
        <w:t xml:space="preserve"> banished from </w:t>
      </w:r>
      <w:r w:rsidR="00867FDF">
        <w:rPr>
          <w:rFonts w:ascii="Times New Roman" w:hAnsi="Times New Roman" w:cs="Times New Roman"/>
        </w:rPr>
        <w:lastRenderedPageBreak/>
        <w:t>Salem</w:t>
      </w:r>
      <w:r w:rsidR="00C23E38">
        <w:rPr>
          <w:rFonts w:ascii="Times New Roman" w:hAnsi="Times New Roman" w:cs="Times New Roman"/>
        </w:rPr>
        <w:t xml:space="preserve">. This was due to both her admission to the ultimate female Puritan sin, as well as her visible darkness, assumed to be associated with her guilt. </w:t>
      </w:r>
    </w:p>
    <w:p w14:paraId="6C6DC870" w14:textId="4E77BFC3" w:rsidR="00DF3FF3" w:rsidRDefault="00DF3FF3" w:rsidP="00DF3FF3">
      <w:pPr>
        <w:spacing w:line="480" w:lineRule="auto"/>
        <w:ind w:firstLine="720"/>
        <w:rPr>
          <w:rFonts w:ascii="Times New Roman" w:hAnsi="Times New Roman" w:cs="Times New Roman"/>
        </w:rPr>
      </w:pPr>
      <w:r>
        <w:rPr>
          <w:rFonts w:ascii="Times New Roman" w:hAnsi="Times New Roman" w:cs="Times New Roman"/>
        </w:rPr>
        <w:t xml:space="preserve">The factors that led to Tituba’s confession, the matters of her </w:t>
      </w:r>
      <w:r w:rsidR="00C23E38">
        <w:rPr>
          <w:rFonts w:ascii="Times New Roman" w:hAnsi="Times New Roman" w:cs="Times New Roman"/>
        </w:rPr>
        <w:t xml:space="preserve">race and gender, collide in </w:t>
      </w:r>
      <w:r>
        <w:rPr>
          <w:rFonts w:ascii="Times New Roman" w:hAnsi="Times New Roman" w:cs="Times New Roman"/>
        </w:rPr>
        <w:t xml:space="preserve">the </w:t>
      </w:r>
      <w:r w:rsidR="00C23E38">
        <w:rPr>
          <w:rFonts w:ascii="Times New Roman" w:hAnsi="Times New Roman" w:cs="Times New Roman"/>
        </w:rPr>
        <w:t xml:space="preserve">mere </w:t>
      </w:r>
      <w:r>
        <w:rPr>
          <w:rFonts w:ascii="Times New Roman" w:hAnsi="Times New Roman" w:cs="Times New Roman"/>
        </w:rPr>
        <w:t xml:space="preserve">visibility of her supposed guilt simply via her body. As we have established, </w:t>
      </w:r>
      <w:r w:rsidRPr="00AB515A">
        <w:rPr>
          <w:rFonts w:ascii="Times New Roman" w:hAnsi="Times New Roman" w:cs="Times New Roman"/>
        </w:rPr>
        <w:t>according to Puritan doctrine, “Satan attacked the soul by assaulting the body, and that because women’s bodies were weaker, the devil could reach women’s souls more easily…Among witches, the body clearly manifested the soul’s acceptance of the diabolical covenant.”</w:t>
      </w:r>
      <w:r w:rsidRPr="00AB515A">
        <w:rPr>
          <w:rStyle w:val="FootnoteReference"/>
          <w:rFonts w:ascii="Times New Roman" w:hAnsi="Times New Roman" w:cs="Times New Roman"/>
        </w:rPr>
        <w:footnoteReference w:id="25"/>
      </w:r>
      <w:r>
        <w:rPr>
          <w:rFonts w:ascii="Times New Roman" w:hAnsi="Times New Roman" w:cs="Times New Roman"/>
        </w:rPr>
        <w:t xml:space="preserve"> The people of Salem therefore understood a witch’s body to be a vessel of the devil. That the body became the possession and tool of Satan also led Puritans to believe that sometimes a witch’s body may be marked. These markings could vary from an arrangement of moles or birthmarks to a crooked or misshapen finger. There was no greater marking of the devil’s work, though, than physical darkness itself.  As Tucker purports, “</w:t>
      </w:r>
      <w:r w:rsidRPr="001750D4">
        <w:rPr>
          <w:rFonts w:ascii="Times New Roman" w:hAnsi="Times New Roman" w:cs="Times New Roman"/>
        </w:rPr>
        <w:t>There are numerous references in Puritan discourse to Indians or tawnies literally blackened by their association with the Devil…</w:t>
      </w:r>
      <w:r>
        <w:rPr>
          <w:rFonts w:ascii="Times New Roman" w:hAnsi="Times New Roman" w:cs="Times New Roman"/>
        </w:rPr>
        <w:t>”</w:t>
      </w:r>
      <w:r>
        <w:rPr>
          <w:rStyle w:val="FootnoteReference"/>
          <w:rFonts w:ascii="Times New Roman" w:hAnsi="Times New Roman" w:cs="Times New Roman"/>
        </w:rPr>
        <w:footnoteReference w:id="26"/>
      </w:r>
      <w:r>
        <w:rPr>
          <w:rFonts w:ascii="Times New Roman" w:hAnsi="Times New Roman" w:cs="Times New Roman"/>
        </w:rPr>
        <w:t xml:space="preserve"> If the clearest mark of a compact with the devil was the darkness of skin, then surely Tituba was a witch. Puritans believed that Satan ravaged the soul through the body, which then revealed itself as the devil’s vessel through visible markings. In the case of Tituba, her female body, already vulnerable to Satan’s attacks, had obviously been marked: the color of her skin was clearly indicative of that. With both her femaleness and Indian ethnicity subjecting her to an assumed association with witchcraft, Tituba’s decision to confess is logical. An attempt to refute the charges </w:t>
      </w:r>
      <w:r>
        <w:rPr>
          <w:rFonts w:ascii="Times New Roman" w:hAnsi="Times New Roman" w:cs="Times New Roman"/>
        </w:rPr>
        <w:lastRenderedPageBreak/>
        <w:t>against her would have been to challenge</w:t>
      </w:r>
      <w:r w:rsidR="00C23E38">
        <w:rPr>
          <w:rFonts w:ascii="Times New Roman" w:hAnsi="Times New Roman" w:cs="Times New Roman"/>
        </w:rPr>
        <w:t xml:space="preserve"> deeply rooted Puritan doctrine, the very same doctrine that demanded a visibly guilty witch remain separated from the Salem community. Tituba’s race and the Puritan perception of it proved equally significant to her accusation and confession</w:t>
      </w:r>
      <w:r w:rsidR="00867FDF">
        <w:rPr>
          <w:rFonts w:ascii="Times New Roman" w:hAnsi="Times New Roman" w:cs="Times New Roman"/>
        </w:rPr>
        <w:t>,</w:t>
      </w:r>
      <w:r w:rsidR="00C23E38">
        <w:rPr>
          <w:rFonts w:ascii="Times New Roman" w:hAnsi="Times New Roman" w:cs="Times New Roman"/>
        </w:rPr>
        <w:t xml:space="preserve"> as did her gender.</w:t>
      </w:r>
    </w:p>
    <w:p w14:paraId="0D08E4D2" w14:textId="767E28F6" w:rsidR="003A6208" w:rsidRDefault="00824823" w:rsidP="00AA75A9">
      <w:pPr>
        <w:spacing w:line="480" w:lineRule="auto"/>
        <w:jc w:val="center"/>
        <w:rPr>
          <w:rFonts w:ascii="Times New Roman" w:hAnsi="Times New Roman" w:cs="Times New Roman"/>
          <w:b/>
        </w:rPr>
      </w:pPr>
      <w:r w:rsidRPr="00F41B8E">
        <w:rPr>
          <w:rFonts w:ascii="Times New Roman" w:hAnsi="Times New Roman" w:cs="Times New Roman"/>
          <w:b/>
        </w:rPr>
        <w:t>I</w:t>
      </w:r>
      <w:r w:rsidR="00CF0A49" w:rsidRPr="00F41B8E">
        <w:rPr>
          <w:rFonts w:ascii="Times New Roman" w:hAnsi="Times New Roman" w:cs="Times New Roman"/>
          <w:b/>
        </w:rPr>
        <w:t>I</w:t>
      </w:r>
      <w:r w:rsidRPr="00F41B8E">
        <w:rPr>
          <w:rFonts w:ascii="Times New Roman" w:hAnsi="Times New Roman" w:cs="Times New Roman"/>
          <w:b/>
        </w:rPr>
        <w:t xml:space="preserve">I.  </w:t>
      </w:r>
      <w:r w:rsidR="00F41B8E">
        <w:rPr>
          <w:rFonts w:ascii="Times New Roman" w:hAnsi="Times New Roman" w:cs="Times New Roman"/>
          <w:b/>
        </w:rPr>
        <w:t>Race In Salem: The</w:t>
      </w:r>
      <w:r w:rsidR="00F41B8E" w:rsidRPr="00F41B8E">
        <w:rPr>
          <w:rFonts w:ascii="Times New Roman" w:hAnsi="Times New Roman" w:cs="Times New Roman"/>
          <w:b/>
        </w:rPr>
        <w:t xml:space="preserve"> Puritan</w:t>
      </w:r>
      <w:r w:rsidR="00F41B8E">
        <w:rPr>
          <w:rFonts w:ascii="Times New Roman" w:hAnsi="Times New Roman" w:cs="Times New Roman"/>
          <w:b/>
        </w:rPr>
        <w:t>’s Conception of Tituba</w:t>
      </w:r>
    </w:p>
    <w:p w14:paraId="4C504602" w14:textId="23933BF0" w:rsidR="00F5001D" w:rsidRDefault="00F41B8E" w:rsidP="00F41B8E">
      <w:pPr>
        <w:spacing w:line="480" w:lineRule="auto"/>
        <w:rPr>
          <w:rFonts w:ascii="Times New Roman" w:hAnsi="Times New Roman" w:cs="Times New Roman"/>
        </w:rPr>
      </w:pPr>
      <w:r>
        <w:rPr>
          <w:rFonts w:ascii="Times New Roman" w:hAnsi="Times New Roman" w:cs="Times New Roman"/>
        </w:rPr>
        <w:tab/>
      </w:r>
      <w:r w:rsidR="001F57AE">
        <w:rPr>
          <w:rFonts w:ascii="Times New Roman" w:hAnsi="Times New Roman" w:cs="Times New Roman"/>
        </w:rPr>
        <w:t xml:space="preserve">Understanding Puritan perception and response to race is essential to recognizing how Tituba’s race contributed to her confession. </w:t>
      </w:r>
      <w:r w:rsidR="00F5001D" w:rsidRPr="001750D4">
        <w:rPr>
          <w:rFonts w:ascii="Times New Roman" w:hAnsi="Times New Roman" w:cs="Times New Roman"/>
        </w:rPr>
        <w:t>Early historical records inform us that Puritans dually perceived Tituba</w:t>
      </w:r>
      <w:r w:rsidR="00F5001D">
        <w:rPr>
          <w:rFonts w:ascii="Times New Roman" w:hAnsi="Times New Roman" w:cs="Times New Roman"/>
        </w:rPr>
        <w:t xml:space="preserve"> as an African and Indian woman. </w:t>
      </w:r>
      <w:r w:rsidR="0076658C">
        <w:rPr>
          <w:rFonts w:ascii="Times New Roman" w:hAnsi="Times New Roman" w:cs="Times New Roman"/>
        </w:rPr>
        <w:t xml:space="preserve">Neither of these identities </w:t>
      </w:r>
      <w:r w:rsidR="00A35F55">
        <w:rPr>
          <w:rFonts w:ascii="Times New Roman" w:hAnsi="Times New Roman" w:cs="Times New Roman"/>
        </w:rPr>
        <w:t>was</w:t>
      </w:r>
      <w:r w:rsidR="00512AF4">
        <w:rPr>
          <w:rFonts w:ascii="Times New Roman" w:hAnsi="Times New Roman" w:cs="Times New Roman"/>
        </w:rPr>
        <w:t xml:space="preserve"> exclusive or independent of each other</w:t>
      </w:r>
      <w:r w:rsidR="0076658C">
        <w:rPr>
          <w:rFonts w:ascii="Times New Roman" w:hAnsi="Times New Roman" w:cs="Times New Roman"/>
        </w:rPr>
        <w:t xml:space="preserve">; both proving significant in shaping how </w:t>
      </w:r>
      <w:r w:rsidR="00512AF4">
        <w:rPr>
          <w:rFonts w:ascii="Times New Roman" w:hAnsi="Times New Roman" w:cs="Times New Roman"/>
        </w:rPr>
        <w:t>Tituba</w:t>
      </w:r>
      <w:r w:rsidR="0076658C">
        <w:rPr>
          <w:rFonts w:ascii="Times New Roman" w:hAnsi="Times New Roman" w:cs="Times New Roman"/>
        </w:rPr>
        <w:t xml:space="preserve"> was perceived</w:t>
      </w:r>
      <w:r w:rsidR="00512AF4">
        <w:rPr>
          <w:rFonts w:ascii="Times New Roman" w:hAnsi="Times New Roman" w:cs="Times New Roman"/>
        </w:rPr>
        <w:t xml:space="preserve"> within Salem society. Much like the manner in which her gender led to accusation and consequently to her confession, so would Tituba’s dual racial i</w:t>
      </w:r>
      <w:r w:rsidR="008B7C55">
        <w:rPr>
          <w:rFonts w:ascii="Times New Roman" w:hAnsi="Times New Roman" w:cs="Times New Roman"/>
        </w:rPr>
        <w:t>dentity prove significant. D</w:t>
      </w:r>
      <w:r w:rsidR="00512AF4">
        <w:rPr>
          <w:rFonts w:ascii="Times New Roman" w:hAnsi="Times New Roman" w:cs="Times New Roman"/>
        </w:rPr>
        <w:t xml:space="preserve">ue to her perception as dually Indian and African, and the Puritan conceptions of these races, Tituba would find herself accused as a witch. </w:t>
      </w:r>
    </w:p>
    <w:p w14:paraId="6D1D25A9" w14:textId="502AAB39" w:rsidR="00F5001D" w:rsidRPr="001750D4" w:rsidRDefault="00F5001D" w:rsidP="00F5001D">
      <w:pPr>
        <w:spacing w:line="480" w:lineRule="auto"/>
        <w:ind w:firstLine="720"/>
        <w:rPr>
          <w:rFonts w:ascii="Times New Roman" w:hAnsi="Times New Roman" w:cs="Times New Roman"/>
        </w:rPr>
      </w:pPr>
      <w:r w:rsidRPr="001750D4">
        <w:rPr>
          <w:rFonts w:ascii="Times New Roman" w:hAnsi="Times New Roman" w:cs="Times New Roman"/>
        </w:rPr>
        <w:t>Early sources specifically identify Tituba as an Indian woman. The earliest written document pertaining to her is her arrest warrant, wherein she is referred to as “</w:t>
      </w:r>
      <w:proofErr w:type="spellStart"/>
      <w:r w:rsidRPr="001750D4">
        <w:rPr>
          <w:rFonts w:ascii="Times New Roman" w:hAnsi="Times New Roman" w:cs="Times New Roman"/>
        </w:rPr>
        <w:t>titibe</w:t>
      </w:r>
      <w:proofErr w:type="spellEnd"/>
      <w:r w:rsidRPr="001750D4">
        <w:rPr>
          <w:rFonts w:ascii="Times New Roman" w:hAnsi="Times New Roman" w:cs="Times New Roman"/>
        </w:rPr>
        <w:t xml:space="preserve"> an Indian Woman”.</w:t>
      </w:r>
      <w:r w:rsidRPr="001750D4">
        <w:rPr>
          <w:rStyle w:val="FootnoteReference"/>
          <w:rFonts w:ascii="Times New Roman" w:hAnsi="Times New Roman" w:cs="Times New Roman"/>
        </w:rPr>
        <w:footnoteReference w:id="27"/>
      </w:r>
      <w:r w:rsidRPr="001750D4">
        <w:rPr>
          <w:rFonts w:ascii="Times New Roman" w:hAnsi="Times New Roman" w:cs="Times New Roman"/>
        </w:rPr>
        <w:t xml:space="preserve"> The warrant is dated February 29, 1692. This minute reference displays how Tituba’s Puritan counterparts viewed her and considered her an Indian woman.  Again, in the summary of her examination, dated March 1 of 1692, she is referenced as “</w:t>
      </w:r>
      <w:proofErr w:type="spellStart"/>
      <w:r w:rsidRPr="001750D4">
        <w:rPr>
          <w:rFonts w:ascii="Times New Roman" w:hAnsi="Times New Roman" w:cs="Times New Roman"/>
        </w:rPr>
        <w:t>Titiba</w:t>
      </w:r>
      <w:proofErr w:type="spellEnd"/>
      <w:r w:rsidRPr="001750D4">
        <w:rPr>
          <w:rFonts w:ascii="Times New Roman" w:hAnsi="Times New Roman" w:cs="Times New Roman"/>
        </w:rPr>
        <w:t xml:space="preserve"> an Indian Woman”.</w:t>
      </w:r>
      <w:r w:rsidRPr="001750D4">
        <w:rPr>
          <w:rStyle w:val="FootnoteReference"/>
          <w:rFonts w:ascii="Times New Roman" w:hAnsi="Times New Roman" w:cs="Times New Roman"/>
        </w:rPr>
        <w:footnoteReference w:id="28"/>
      </w:r>
      <w:r w:rsidRPr="001750D4">
        <w:rPr>
          <w:rFonts w:ascii="Times New Roman" w:hAnsi="Times New Roman" w:cs="Times New Roman"/>
        </w:rPr>
        <w:t xml:space="preserve"> Her continual referral to as an Indian </w:t>
      </w:r>
      <w:r w:rsidRPr="001750D4">
        <w:rPr>
          <w:rFonts w:ascii="Times New Roman" w:hAnsi="Times New Roman" w:cs="Times New Roman"/>
        </w:rPr>
        <w:lastRenderedPageBreak/>
        <w:t>woman among the Puritans clarifies any uncert</w:t>
      </w:r>
      <w:r w:rsidR="007E3BC8">
        <w:rPr>
          <w:rFonts w:ascii="Times New Roman" w:hAnsi="Times New Roman" w:cs="Times New Roman"/>
        </w:rPr>
        <w:t>ainties on how Tituba’s ethnicity</w:t>
      </w:r>
      <w:r w:rsidRPr="001750D4">
        <w:rPr>
          <w:rFonts w:ascii="Times New Roman" w:hAnsi="Times New Roman" w:cs="Times New Roman"/>
        </w:rPr>
        <w:t xml:space="preserve"> was viewed by the Salem people. Therefore at the time of her residence in Salem and throughout the duration of her arrest, trial, and imprisonment, the Puritan villagers considered Tituba an Indian woman. </w:t>
      </w:r>
    </w:p>
    <w:p w14:paraId="7846AC12" w14:textId="6390C6CE" w:rsidR="003A4C6E" w:rsidRPr="001750D4" w:rsidRDefault="00D15038" w:rsidP="003A4C6E">
      <w:pPr>
        <w:spacing w:line="480" w:lineRule="auto"/>
        <w:ind w:firstLine="720"/>
        <w:rPr>
          <w:rFonts w:ascii="Times New Roman" w:hAnsi="Times New Roman" w:cs="Times New Roman"/>
        </w:rPr>
      </w:pPr>
      <w:r>
        <w:rPr>
          <w:rFonts w:ascii="Times New Roman" w:hAnsi="Times New Roman" w:cs="Times New Roman"/>
        </w:rPr>
        <w:t xml:space="preserve">Tituba’s racial identity within Salem was influenced by her multicultural makeup. </w:t>
      </w:r>
      <w:r w:rsidR="003A4C6E">
        <w:rPr>
          <w:rFonts w:ascii="Times New Roman" w:hAnsi="Times New Roman" w:cs="Times New Roman"/>
        </w:rPr>
        <w:t xml:space="preserve">One factor comprising </w:t>
      </w:r>
      <w:r>
        <w:rPr>
          <w:rFonts w:ascii="Times New Roman" w:hAnsi="Times New Roman" w:cs="Times New Roman"/>
        </w:rPr>
        <w:t xml:space="preserve">this </w:t>
      </w:r>
      <w:r w:rsidR="003A4C6E">
        <w:rPr>
          <w:rFonts w:ascii="Times New Roman" w:hAnsi="Times New Roman" w:cs="Times New Roman"/>
        </w:rPr>
        <w:t xml:space="preserve">was </w:t>
      </w:r>
      <w:r>
        <w:rPr>
          <w:rFonts w:ascii="Times New Roman" w:hAnsi="Times New Roman" w:cs="Times New Roman"/>
        </w:rPr>
        <w:t>her</w:t>
      </w:r>
      <w:r w:rsidR="003A4C6E">
        <w:rPr>
          <w:rFonts w:ascii="Times New Roman" w:hAnsi="Times New Roman" w:cs="Times New Roman"/>
        </w:rPr>
        <w:t xml:space="preserve"> history as a slave</w:t>
      </w:r>
      <w:r w:rsidR="003A4C6E" w:rsidRPr="001750D4">
        <w:rPr>
          <w:rFonts w:ascii="Times New Roman" w:hAnsi="Times New Roman" w:cs="Times New Roman"/>
        </w:rPr>
        <w:t xml:space="preserve"> to the merchant Samuel Parris on his Barbadian estate. Parris went on to become a Reverend, and in 1680 left Barbados for Salem, taking Tituba with him. It is unknown for certain whether Tituba was born in Barbados. In “Tituba’s Confession: The Multicultural Dimensions of the 1692 Witch-Hunt,” Elaine Breslaw offers that Barbadian sources indicate “the most probable place of origin for Indian slaves in Barbados was the northe</w:t>
      </w:r>
      <w:r w:rsidR="003A4C6E">
        <w:rPr>
          <w:rFonts w:ascii="Times New Roman" w:hAnsi="Times New Roman" w:cs="Times New Roman"/>
        </w:rPr>
        <w:t xml:space="preserve">astern coast of South America,” </w:t>
      </w:r>
      <w:r w:rsidR="003A4C6E" w:rsidRPr="001750D4">
        <w:rPr>
          <w:rFonts w:ascii="Times New Roman" w:hAnsi="Times New Roman" w:cs="Times New Roman"/>
        </w:rPr>
        <w:t>thus likely placing Tituba among the indigenous people of the Arawak.</w:t>
      </w:r>
      <w:r w:rsidR="003A4C6E" w:rsidRPr="001750D4">
        <w:rPr>
          <w:rStyle w:val="FootnoteReference"/>
          <w:rFonts w:ascii="Times New Roman" w:hAnsi="Times New Roman" w:cs="Times New Roman"/>
        </w:rPr>
        <w:footnoteReference w:id="29"/>
      </w:r>
      <w:r w:rsidR="003A4C6E" w:rsidRPr="001750D4">
        <w:rPr>
          <w:rFonts w:ascii="Times New Roman" w:hAnsi="Times New Roman" w:cs="Times New Roman"/>
        </w:rPr>
        <w:t xml:space="preserve"> Breslaw goes on to suggest that,  “[On Barbados] Tituba had been exposed to the African influences omnipresent there…including non-Christian and occult practices.”</w:t>
      </w:r>
      <w:r w:rsidR="003A4C6E" w:rsidRPr="001750D4">
        <w:rPr>
          <w:rStyle w:val="FootnoteReference"/>
          <w:rFonts w:ascii="Times New Roman" w:hAnsi="Times New Roman" w:cs="Times New Roman"/>
        </w:rPr>
        <w:footnoteReference w:id="30"/>
      </w:r>
      <w:r w:rsidR="003A4C6E" w:rsidRPr="001750D4">
        <w:rPr>
          <w:rFonts w:ascii="Times New Roman" w:hAnsi="Times New Roman" w:cs="Times New Roman"/>
        </w:rPr>
        <w:t xml:space="preserve"> Gaining exposure to such occult practices contributed to Tituba’s cultural makeup, general knowledge, and belief system. Also significant to consider is Tituba’s roots in the Arawak village. The Arawak belief systems and practices adhered to the existence of malevolent spirits that had the power to kill or ruinously maim. Even if her experience with Arawak beliefs was limited to her young childhood, Tituba was familiar with both indigenous practices and those of the occult she was exposed to in </w:t>
      </w:r>
      <w:r w:rsidR="003A4C6E" w:rsidRPr="001750D4">
        <w:rPr>
          <w:rFonts w:ascii="Times New Roman" w:hAnsi="Times New Roman" w:cs="Times New Roman"/>
        </w:rPr>
        <w:lastRenderedPageBreak/>
        <w:t>her time in Barbados. When Rev. Parris brought Tituba to Salem, her cultural makeup and practices were further expanded via exposure to and socialization within a strictly Puritan society. Therefore Breslaw maintains that Tituba’s makeup consisted of Indian, African, and European elements.</w:t>
      </w:r>
      <w:r w:rsidR="003A4C6E">
        <w:rPr>
          <w:rFonts w:ascii="Times New Roman" w:hAnsi="Times New Roman" w:cs="Times New Roman"/>
        </w:rPr>
        <w:t xml:space="preserve"> </w:t>
      </w:r>
    </w:p>
    <w:p w14:paraId="0A81BFCF" w14:textId="54E617D4" w:rsidR="003A4C6E" w:rsidRDefault="003A4C6E" w:rsidP="003A4C6E">
      <w:pPr>
        <w:spacing w:line="480" w:lineRule="auto"/>
        <w:ind w:firstLine="720"/>
        <w:rPr>
          <w:rFonts w:ascii="Times New Roman" w:hAnsi="Times New Roman" w:cs="Times New Roman"/>
        </w:rPr>
      </w:pPr>
      <w:r>
        <w:rPr>
          <w:rFonts w:ascii="Times New Roman" w:hAnsi="Times New Roman" w:cs="Times New Roman"/>
        </w:rPr>
        <w:t xml:space="preserve">Tituba’s multicultural background influenced her actions, which would go on to affirm how the Puritans would conceive of her racial identity. </w:t>
      </w:r>
      <w:r w:rsidRPr="001750D4">
        <w:rPr>
          <w:rFonts w:ascii="Times New Roman" w:hAnsi="Times New Roman" w:cs="Times New Roman"/>
        </w:rPr>
        <w:t>Following the outbursts displayed by Abigail and Betty in the Parris household, Tituba, in an effort to protect or cure the girls, prepared a “witchcake.” The cake was a concoction of the girls’ urine and rye, fed to a dog. This would supposedly bewitch the dog to reveal the malevolent afflicter of the Betty and Abigail. It is vital to note that the occult practice of this “witchcake” is English in origin—not Indian.</w:t>
      </w:r>
      <w:r w:rsidRPr="001750D4">
        <w:rPr>
          <w:rStyle w:val="FootnoteReference"/>
          <w:rFonts w:ascii="Times New Roman" w:hAnsi="Times New Roman" w:cs="Times New Roman"/>
        </w:rPr>
        <w:footnoteReference w:id="31"/>
      </w:r>
      <w:r w:rsidRPr="001750D4">
        <w:rPr>
          <w:rFonts w:ascii="Times New Roman" w:hAnsi="Times New Roman" w:cs="Times New Roman"/>
        </w:rPr>
        <w:t xml:space="preserve">  That the practice of the witchcake is of English origin</w:t>
      </w:r>
      <w:r>
        <w:rPr>
          <w:rFonts w:ascii="Times New Roman" w:hAnsi="Times New Roman" w:cs="Times New Roman"/>
        </w:rPr>
        <w:t>, and not of Barbadian or Arawak custom,</w:t>
      </w:r>
      <w:r w:rsidRPr="001750D4">
        <w:rPr>
          <w:rFonts w:ascii="Times New Roman" w:hAnsi="Times New Roman" w:cs="Times New Roman"/>
        </w:rPr>
        <w:t xml:space="preserve"> determines Breslaw to conclude that </w:t>
      </w:r>
      <w:r>
        <w:rPr>
          <w:rFonts w:ascii="Times New Roman" w:hAnsi="Times New Roman" w:cs="Times New Roman"/>
        </w:rPr>
        <w:t xml:space="preserve">among Puritans, </w:t>
      </w:r>
      <w:r w:rsidRPr="001750D4">
        <w:rPr>
          <w:rFonts w:ascii="Times New Roman" w:hAnsi="Times New Roman" w:cs="Times New Roman"/>
        </w:rPr>
        <w:t>Ti</w:t>
      </w:r>
      <w:r>
        <w:rPr>
          <w:rFonts w:ascii="Times New Roman" w:hAnsi="Times New Roman" w:cs="Times New Roman"/>
        </w:rPr>
        <w:t xml:space="preserve">tuba’s identity had </w:t>
      </w:r>
      <w:r w:rsidRPr="001750D4">
        <w:rPr>
          <w:rFonts w:ascii="Times New Roman" w:hAnsi="Times New Roman" w:cs="Times New Roman"/>
        </w:rPr>
        <w:t>long been</w:t>
      </w:r>
      <w:r>
        <w:rPr>
          <w:rFonts w:ascii="Times New Roman" w:hAnsi="Times New Roman" w:cs="Times New Roman"/>
        </w:rPr>
        <w:t xml:space="preserve"> associated with demonic power. Regardless of the fact that the witchcake was English in origin, the people of Salem still perceived Tituba’s actions a product of her racial and ethnic background and thus, associated her with the potential evil of witchcraft. </w:t>
      </w:r>
      <w:proofErr w:type="spellStart"/>
      <w:r w:rsidR="00BF7C75">
        <w:rPr>
          <w:rFonts w:ascii="Times New Roman" w:hAnsi="Times New Roman" w:cs="Times New Roman"/>
        </w:rPr>
        <w:t>Veta</w:t>
      </w:r>
      <w:proofErr w:type="spellEnd"/>
      <w:r w:rsidR="00BF7C75">
        <w:rPr>
          <w:rFonts w:ascii="Times New Roman" w:hAnsi="Times New Roman" w:cs="Times New Roman"/>
        </w:rPr>
        <w:t xml:space="preserve"> Smith </w:t>
      </w:r>
      <w:r>
        <w:rPr>
          <w:rFonts w:ascii="Times New Roman" w:hAnsi="Times New Roman" w:cs="Times New Roman"/>
        </w:rPr>
        <w:t>Tucker also supports this idea,</w:t>
      </w:r>
      <w:r w:rsidR="00BF7C75">
        <w:rPr>
          <w:rFonts w:ascii="Times New Roman" w:hAnsi="Times New Roman" w:cs="Times New Roman"/>
        </w:rPr>
        <w:t xml:space="preserve"> in</w:t>
      </w:r>
      <w:r w:rsidR="006C3C64">
        <w:rPr>
          <w:rFonts w:ascii="Times New Roman" w:hAnsi="Times New Roman" w:cs="Times New Roman"/>
        </w:rPr>
        <w:t xml:space="preserve"> her work, “</w:t>
      </w:r>
      <w:r w:rsidR="006C3C64" w:rsidRPr="002B3BB2">
        <w:rPr>
          <w:rFonts w:ascii="Times New Roman" w:hAnsi="Times New Roman" w:cs="Times New Roman"/>
        </w:rPr>
        <w:t xml:space="preserve">Purloined Identity: The Racial Metamorphosis of Tituba of Salem Village.” </w:t>
      </w:r>
      <w:r w:rsidR="008B7C55">
        <w:rPr>
          <w:rFonts w:ascii="Times New Roman" w:hAnsi="Times New Roman" w:cs="Times New Roman"/>
        </w:rPr>
        <w:t>She offers:</w:t>
      </w:r>
      <w:r>
        <w:rPr>
          <w:rFonts w:ascii="Times New Roman" w:hAnsi="Times New Roman" w:cs="Times New Roman"/>
        </w:rPr>
        <w:t xml:space="preserve"> </w:t>
      </w:r>
    </w:p>
    <w:p w14:paraId="2EA826D7" w14:textId="0C7CC66D" w:rsidR="003A4C6E" w:rsidRPr="001750D4" w:rsidRDefault="003A4C6E" w:rsidP="003A4C6E">
      <w:pPr>
        <w:ind w:left="720"/>
        <w:rPr>
          <w:rFonts w:ascii="Times New Roman" w:hAnsi="Times New Roman" w:cs="Times New Roman"/>
        </w:rPr>
      </w:pPr>
      <w:r w:rsidRPr="001750D4">
        <w:rPr>
          <w:rFonts w:ascii="Times New Roman" w:hAnsi="Times New Roman" w:cs="Times New Roman"/>
        </w:rPr>
        <w:t xml:space="preserve">There are numerous references in Puritan discourse to Indians or tawnies literally blackened by their association with the Devil…therefore, being perceived as both African and Indian served not to diminish but to intensify the </w:t>
      </w:r>
      <w:r w:rsidRPr="001750D4">
        <w:rPr>
          <w:rFonts w:ascii="Times New Roman" w:hAnsi="Times New Roman" w:cs="Times New Roman"/>
        </w:rPr>
        <w:lastRenderedPageBreak/>
        <w:t>satanic stigma attached to Tituba and to heighten fears and fantasies Puritans projected on her.</w:t>
      </w:r>
      <w:r w:rsidRPr="001750D4">
        <w:rPr>
          <w:rStyle w:val="FootnoteReference"/>
          <w:rFonts w:ascii="Times New Roman" w:hAnsi="Times New Roman" w:cs="Times New Roman"/>
        </w:rPr>
        <w:footnoteReference w:id="32"/>
      </w:r>
      <w:r w:rsidRPr="001750D4">
        <w:rPr>
          <w:rFonts w:ascii="Times New Roman" w:hAnsi="Times New Roman" w:cs="Times New Roman"/>
        </w:rPr>
        <w:t xml:space="preserve"> </w:t>
      </w:r>
    </w:p>
    <w:p w14:paraId="56FCC9F0" w14:textId="236EB288" w:rsidR="003A4C6E" w:rsidRDefault="003A4C6E" w:rsidP="00F5001D">
      <w:pPr>
        <w:spacing w:line="480" w:lineRule="auto"/>
        <w:ind w:firstLine="720"/>
        <w:rPr>
          <w:rFonts w:ascii="Times New Roman" w:hAnsi="Times New Roman" w:cs="Times New Roman"/>
        </w:rPr>
      </w:pPr>
    </w:p>
    <w:p w14:paraId="21383EFD" w14:textId="3CE7964B" w:rsidR="003A4C6E" w:rsidRDefault="00566D19" w:rsidP="00F5001D">
      <w:pPr>
        <w:spacing w:line="480" w:lineRule="auto"/>
        <w:ind w:firstLine="720"/>
        <w:rPr>
          <w:rFonts w:ascii="Times New Roman" w:hAnsi="Times New Roman" w:cs="Times New Roman"/>
        </w:rPr>
      </w:pPr>
      <w:r>
        <w:rPr>
          <w:rFonts w:ascii="Times New Roman" w:hAnsi="Times New Roman" w:cs="Times New Roman"/>
        </w:rPr>
        <w:t xml:space="preserve">With this, Tucker suggests that </w:t>
      </w:r>
      <w:r w:rsidR="003A4C6E">
        <w:rPr>
          <w:rFonts w:ascii="Times New Roman" w:hAnsi="Times New Roman" w:cs="Times New Roman"/>
        </w:rPr>
        <w:t xml:space="preserve">Salem residents associated Tituba’s dual racial identity as one synonymous with the danger of Satan. </w:t>
      </w:r>
      <w:r w:rsidR="008B7C55">
        <w:rPr>
          <w:rFonts w:ascii="Times New Roman" w:hAnsi="Times New Roman" w:cs="Times New Roman"/>
        </w:rPr>
        <w:t>She expands this notion of Tituba’s dual racial identity within Salem by explaining:</w:t>
      </w:r>
    </w:p>
    <w:p w14:paraId="2F0F861C" w14:textId="1F5FD978" w:rsidR="00F5001D" w:rsidRDefault="00BF7C75" w:rsidP="00BF7C75">
      <w:pPr>
        <w:ind w:left="720"/>
        <w:rPr>
          <w:rFonts w:ascii="Times New Roman" w:hAnsi="Times New Roman" w:cs="Times New Roman"/>
        </w:rPr>
      </w:pPr>
      <w:r w:rsidRPr="001750D4">
        <w:rPr>
          <w:rFonts w:ascii="Times New Roman" w:hAnsi="Times New Roman" w:cs="Times New Roman"/>
        </w:rPr>
        <w:t xml:space="preserve"> </w:t>
      </w:r>
      <w:r w:rsidR="00F5001D" w:rsidRPr="001750D4">
        <w:rPr>
          <w:rFonts w:ascii="Times New Roman" w:hAnsi="Times New Roman" w:cs="Times New Roman"/>
        </w:rPr>
        <w:t>…Puritan witnesses were not bewildered by what they perceived to be dual Indian and African components of Tituba’s identify…Evidently, the 17</w:t>
      </w:r>
      <w:r w:rsidR="00F5001D" w:rsidRPr="001750D4">
        <w:rPr>
          <w:rFonts w:ascii="Times New Roman" w:hAnsi="Times New Roman" w:cs="Times New Roman"/>
          <w:vertAlign w:val="superscript"/>
        </w:rPr>
        <w:t>th</w:t>
      </w:r>
      <w:r w:rsidR="00F5001D" w:rsidRPr="001750D4">
        <w:rPr>
          <w:rFonts w:ascii="Times New Roman" w:hAnsi="Times New Roman" w:cs="Times New Roman"/>
        </w:rPr>
        <w:t>-century Puritans blended the categories Indian, African and slave...[and] colonial references to Tituba as Indian do not imply racial exclusivity.</w:t>
      </w:r>
      <w:r w:rsidR="00F5001D" w:rsidRPr="001750D4">
        <w:rPr>
          <w:rStyle w:val="FootnoteReference"/>
          <w:rFonts w:ascii="Times New Roman" w:hAnsi="Times New Roman" w:cs="Times New Roman"/>
        </w:rPr>
        <w:footnoteReference w:id="33"/>
      </w:r>
    </w:p>
    <w:p w14:paraId="56B48751" w14:textId="77777777" w:rsidR="00BF7C75" w:rsidRDefault="00BF7C75" w:rsidP="00BF7C75">
      <w:pPr>
        <w:ind w:left="720"/>
        <w:rPr>
          <w:rFonts w:ascii="Times New Roman" w:hAnsi="Times New Roman" w:cs="Times New Roman"/>
        </w:rPr>
      </w:pPr>
    </w:p>
    <w:p w14:paraId="25A4591D" w14:textId="1009E594" w:rsidR="00F84C59" w:rsidRDefault="004B7F59" w:rsidP="0084093A">
      <w:pPr>
        <w:spacing w:line="480" w:lineRule="auto"/>
        <w:ind w:firstLine="720"/>
        <w:rPr>
          <w:rFonts w:ascii="Times New Roman" w:hAnsi="Times New Roman" w:cs="Times New Roman"/>
        </w:rPr>
      </w:pPr>
      <w:r>
        <w:rPr>
          <w:rFonts w:ascii="Times New Roman" w:hAnsi="Times New Roman" w:cs="Times New Roman"/>
        </w:rPr>
        <w:t xml:space="preserve">Tucker purports the notion of Tituba’s racial duality </w:t>
      </w:r>
      <w:r w:rsidR="00F5001D" w:rsidRPr="001750D4">
        <w:rPr>
          <w:rFonts w:ascii="Times New Roman" w:hAnsi="Times New Roman" w:cs="Times New Roman"/>
        </w:rPr>
        <w:t>by drawing upon one of the cour</w:t>
      </w:r>
      <w:r>
        <w:rPr>
          <w:rFonts w:ascii="Times New Roman" w:hAnsi="Times New Roman" w:cs="Times New Roman"/>
        </w:rPr>
        <w:t>t transcripts detailing her</w:t>
      </w:r>
      <w:r w:rsidR="00F5001D" w:rsidRPr="001750D4">
        <w:rPr>
          <w:rFonts w:ascii="Times New Roman" w:hAnsi="Times New Roman" w:cs="Times New Roman"/>
        </w:rPr>
        <w:t xml:space="preserve"> examination. Within the document, Tucker brings attention to a reference of the practice of ‘hoodoo.’ She explains, “Hoodoo is a vernacular term for the maleficent practice of voodoo, which is itself a form of occult practice imported into the Americas by West Africans.”</w:t>
      </w:r>
      <w:r w:rsidR="00F5001D" w:rsidRPr="001750D4">
        <w:rPr>
          <w:rStyle w:val="FootnoteReference"/>
          <w:rFonts w:ascii="Times New Roman" w:hAnsi="Times New Roman" w:cs="Times New Roman"/>
        </w:rPr>
        <w:footnoteReference w:id="34"/>
      </w:r>
      <w:r w:rsidR="00F5001D" w:rsidRPr="001750D4">
        <w:rPr>
          <w:rFonts w:ascii="Times New Roman" w:hAnsi="Times New Roman" w:cs="Times New Roman"/>
        </w:rPr>
        <w:t xml:space="preserve"> The description of Tituba’s witchcraft practices as a form of hoodoo indicates that her Puritan questioners reconciled African and Indian elements in their perception of Tituba. The blending of the two elements was, as Tucker puts it, “a practical conclusion”</w:t>
      </w:r>
      <w:r w:rsidR="00F5001D" w:rsidRPr="001750D4">
        <w:rPr>
          <w:rStyle w:val="FootnoteReference"/>
          <w:rFonts w:ascii="Times New Roman" w:hAnsi="Times New Roman" w:cs="Times New Roman"/>
        </w:rPr>
        <w:footnoteReference w:id="35"/>
      </w:r>
      <w:r w:rsidR="00F5001D" w:rsidRPr="001750D4">
        <w:rPr>
          <w:rFonts w:ascii="Times New Roman" w:hAnsi="Times New Roman" w:cs="Times New Roman"/>
        </w:rPr>
        <w:t xml:space="preserve"> for the Puritans, drawn unperturbedly.</w:t>
      </w:r>
      <w:r w:rsidR="00357202" w:rsidRPr="002B3BB2">
        <w:rPr>
          <w:rFonts w:ascii="Times New Roman" w:hAnsi="Times New Roman" w:cs="Times New Roman"/>
        </w:rPr>
        <w:t xml:space="preserve"> </w:t>
      </w:r>
      <w:r w:rsidR="00F84C59">
        <w:rPr>
          <w:rFonts w:ascii="Times New Roman" w:hAnsi="Times New Roman" w:cs="Times New Roman"/>
        </w:rPr>
        <w:t>This conclusion was perhaps so simple for the Puritans to draw, in part due to Tituba’s cultural practices and actions, which represented her ethnic and racia</w:t>
      </w:r>
      <w:r w:rsidR="003A4C6E">
        <w:rPr>
          <w:rFonts w:ascii="Times New Roman" w:hAnsi="Times New Roman" w:cs="Times New Roman"/>
        </w:rPr>
        <w:t>l origins. As Tucker exemplifies</w:t>
      </w:r>
      <w:r w:rsidR="00F84C59">
        <w:rPr>
          <w:rFonts w:ascii="Times New Roman" w:hAnsi="Times New Roman" w:cs="Times New Roman"/>
        </w:rPr>
        <w:t xml:space="preserve">, the people of Salem conceived of Tituba’s race </w:t>
      </w:r>
      <w:r w:rsidR="00F84C59">
        <w:rPr>
          <w:rFonts w:ascii="Times New Roman" w:hAnsi="Times New Roman" w:cs="Times New Roman"/>
        </w:rPr>
        <w:lastRenderedPageBreak/>
        <w:t>via her actions, or practices</w:t>
      </w:r>
      <w:r w:rsidR="001C56E4">
        <w:rPr>
          <w:rFonts w:ascii="Times New Roman" w:hAnsi="Times New Roman" w:cs="Times New Roman"/>
        </w:rPr>
        <w:t xml:space="preserve"> such as </w:t>
      </w:r>
      <w:r w:rsidR="00F84C59">
        <w:rPr>
          <w:rFonts w:ascii="Times New Roman" w:hAnsi="Times New Roman" w:cs="Times New Roman"/>
        </w:rPr>
        <w:t>‘hoodoo’. Other such actions by Tituba</w:t>
      </w:r>
      <w:r w:rsidR="00785978">
        <w:rPr>
          <w:rFonts w:ascii="Times New Roman" w:hAnsi="Times New Roman" w:cs="Times New Roman"/>
        </w:rPr>
        <w:t>, such as the creation of the witchcake,</w:t>
      </w:r>
      <w:r w:rsidR="00F84C59">
        <w:rPr>
          <w:rFonts w:ascii="Times New Roman" w:hAnsi="Times New Roman" w:cs="Times New Roman"/>
        </w:rPr>
        <w:t xml:space="preserve"> confirm</w:t>
      </w:r>
      <w:r w:rsidR="008B7C55">
        <w:rPr>
          <w:rFonts w:ascii="Times New Roman" w:hAnsi="Times New Roman" w:cs="Times New Roman"/>
        </w:rPr>
        <w:t>ed</w:t>
      </w:r>
      <w:r w:rsidR="00F84C59">
        <w:rPr>
          <w:rFonts w:ascii="Times New Roman" w:hAnsi="Times New Roman" w:cs="Times New Roman"/>
        </w:rPr>
        <w:t xml:space="preserve"> her racial perception within Salem.  </w:t>
      </w:r>
    </w:p>
    <w:p w14:paraId="48528243" w14:textId="11F20E1C" w:rsidR="004E22DE" w:rsidRDefault="0072201F" w:rsidP="0072201F">
      <w:pPr>
        <w:spacing w:line="480" w:lineRule="auto"/>
        <w:ind w:firstLine="720"/>
        <w:rPr>
          <w:rFonts w:ascii="Times New Roman" w:hAnsi="Times New Roman" w:cs="Times New Roman"/>
        </w:rPr>
      </w:pPr>
      <w:r w:rsidRPr="00421093">
        <w:rPr>
          <w:rFonts w:ascii="Times New Roman" w:hAnsi="Times New Roman" w:cs="Times New Roman"/>
        </w:rPr>
        <w:t>T</w:t>
      </w:r>
      <w:r>
        <w:rPr>
          <w:rFonts w:ascii="Times New Roman" w:hAnsi="Times New Roman" w:cs="Times New Roman"/>
        </w:rPr>
        <w:t xml:space="preserve">he confusion surrounding Tituba’s race has proven the most vexing in the understanding of her prompted confession. While Tucker and Breslaw purport that she was thought of in a dually racial manner, court examinations only ever specify Tituba as Indian. </w:t>
      </w:r>
      <w:r w:rsidR="00944DCD">
        <w:rPr>
          <w:rFonts w:ascii="Times New Roman" w:hAnsi="Times New Roman" w:cs="Times New Roman"/>
        </w:rPr>
        <w:t xml:space="preserve">Tucker argues this does not indicate racial exclusivity, however it is significant to note that Tituba is specifically noted and described as Indian and not as Negro. </w:t>
      </w:r>
      <w:r w:rsidR="004E22DE">
        <w:rPr>
          <w:rFonts w:ascii="Times New Roman" w:hAnsi="Times New Roman" w:cs="Times New Roman"/>
        </w:rPr>
        <w:t>Furthermore, there was another slave woman accused by the name of Candy, who served in the household of Margaret Hawkes.</w:t>
      </w:r>
      <w:r w:rsidR="004E22DE">
        <w:rPr>
          <w:rStyle w:val="FootnoteReference"/>
          <w:rFonts w:ascii="Times New Roman" w:hAnsi="Times New Roman" w:cs="Times New Roman"/>
        </w:rPr>
        <w:footnoteReference w:id="36"/>
      </w:r>
      <w:r w:rsidR="004E22DE">
        <w:rPr>
          <w:rFonts w:ascii="Times New Roman" w:hAnsi="Times New Roman" w:cs="Times New Roman"/>
        </w:rPr>
        <w:t xml:space="preserve"> Candy is explicitly described as a negro woman; therefore, had Tituba been perceived</w:t>
      </w:r>
      <w:r w:rsidR="00F869CA">
        <w:rPr>
          <w:rFonts w:ascii="Times New Roman" w:hAnsi="Times New Roman" w:cs="Times New Roman"/>
        </w:rPr>
        <w:t xml:space="preserve"> simply as black, she would</w:t>
      </w:r>
      <w:r w:rsidR="004E22DE">
        <w:rPr>
          <w:rFonts w:ascii="Times New Roman" w:hAnsi="Times New Roman" w:cs="Times New Roman"/>
        </w:rPr>
        <w:t xml:space="preserve"> have been specified as such.</w:t>
      </w:r>
      <w:r w:rsidR="005B4BF9">
        <w:rPr>
          <w:rFonts w:ascii="Times New Roman" w:hAnsi="Times New Roman" w:cs="Times New Roman"/>
        </w:rPr>
        <w:t xml:space="preserve"> The Puritans made the distinction between Candy and Tituba; the former specifically as Negro and the latter as Indian. </w:t>
      </w:r>
    </w:p>
    <w:p w14:paraId="338C5C1D" w14:textId="057A8D41" w:rsidR="004E22DE" w:rsidRPr="00FE631A" w:rsidRDefault="004E22DE" w:rsidP="0072201F">
      <w:pPr>
        <w:spacing w:line="480" w:lineRule="auto"/>
        <w:ind w:firstLine="720"/>
        <w:rPr>
          <w:rFonts w:ascii="Times New Roman" w:hAnsi="Times New Roman" w:cs="Times New Roman"/>
        </w:rPr>
      </w:pPr>
      <w:r>
        <w:rPr>
          <w:rFonts w:ascii="Times New Roman" w:hAnsi="Times New Roman" w:cs="Times New Roman"/>
        </w:rPr>
        <w:t xml:space="preserve">Existing records claiming Tituba as Negro or colored are the works of historical dramatists; not the word of existing primary documentation. </w:t>
      </w:r>
      <w:r w:rsidR="00FE631A">
        <w:rPr>
          <w:rFonts w:ascii="Times New Roman" w:hAnsi="Times New Roman" w:cs="Times New Roman"/>
        </w:rPr>
        <w:t>In 1868</w:t>
      </w:r>
      <w:r w:rsidR="00302125">
        <w:rPr>
          <w:rFonts w:ascii="Times New Roman" w:hAnsi="Times New Roman" w:cs="Times New Roman"/>
        </w:rPr>
        <w:t xml:space="preserve"> Henry Wadsworth Longfellow authored the drama, </w:t>
      </w:r>
      <w:r w:rsidR="00302125" w:rsidRPr="00302125">
        <w:rPr>
          <w:rFonts w:ascii="Times New Roman" w:hAnsi="Times New Roman" w:cs="Times New Roman"/>
          <w:i/>
        </w:rPr>
        <w:t>Giles Corey of the Salem Farms</w:t>
      </w:r>
      <w:r w:rsidR="00302125">
        <w:rPr>
          <w:rFonts w:ascii="Times New Roman" w:hAnsi="Times New Roman" w:cs="Times New Roman"/>
        </w:rPr>
        <w:t>.</w:t>
      </w:r>
      <w:r w:rsidR="00302125">
        <w:rPr>
          <w:rStyle w:val="FootnoteReference"/>
          <w:rFonts w:ascii="Times New Roman" w:hAnsi="Times New Roman" w:cs="Times New Roman"/>
        </w:rPr>
        <w:footnoteReference w:id="37"/>
      </w:r>
      <w:r w:rsidR="00302125">
        <w:rPr>
          <w:rFonts w:ascii="Times New Roman" w:hAnsi="Times New Roman" w:cs="Times New Roman"/>
        </w:rPr>
        <w:t xml:space="preserve"> </w:t>
      </w:r>
      <w:r w:rsidR="00FE631A">
        <w:rPr>
          <w:rFonts w:ascii="Times New Roman" w:hAnsi="Times New Roman" w:cs="Times New Roman"/>
        </w:rPr>
        <w:t xml:space="preserve">Tituba is listed in the </w:t>
      </w:r>
      <w:r w:rsidR="00FE631A" w:rsidRPr="00FE631A">
        <w:rPr>
          <w:rFonts w:ascii="Times New Roman" w:hAnsi="Times New Roman" w:cs="Times New Roman"/>
          <w:i/>
        </w:rPr>
        <w:t>Dramatis Personae</w:t>
      </w:r>
      <w:r w:rsidR="006E5479">
        <w:rPr>
          <w:rFonts w:ascii="Times New Roman" w:hAnsi="Times New Roman" w:cs="Times New Roman"/>
        </w:rPr>
        <w:t xml:space="preserve"> as “Indian,” though i</w:t>
      </w:r>
      <w:r w:rsidR="00FE631A">
        <w:rPr>
          <w:rFonts w:ascii="Times New Roman" w:hAnsi="Times New Roman" w:cs="Times New Roman"/>
        </w:rPr>
        <w:t>s revealed in the play itself to have a father who was “a man all black and fierce…He was an Obi man, and taught her magic.”</w:t>
      </w:r>
      <w:r w:rsidR="00FE631A">
        <w:rPr>
          <w:rStyle w:val="FootnoteReference"/>
          <w:rFonts w:ascii="Times New Roman" w:hAnsi="Times New Roman" w:cs="Times New Roman"/>
        </w:rPr>
        <w:footnoteReference w:id="38"/>
      </w:r>
      <w:r w:rsidR="00FE631A">
        <w:rPr>
          <w:rFonts w:ascii="Times New Roman" w:hAnsi="Times New Roman" w:cs="Times New Roman"/>
        </w:rPr>
        <w:t xml:space="preserve"> While Tituba’s place within the play was minimal, as was the general reception of the </w:t>
      </w:r>
      <w:r w:rsidR="00FE631A">
        <w:rPr>
          <w:rFonts w:ascii="Times New Roman" w:hAnsi="Times New Roman" w:cs="Times New Roman"/>
        </w:rPr>
        <w:lastRenderedPageBreak/>
        <w:t>play</w:t>
      </w:r>
      <w:r w:rsidR="00F72439">
        <w:rPr>
          <w:rFonts w:ascii="Times New Roman" w:hAnsi="Times New Roman" w:cs="Times New Roman"/>
        </w:rPr>
        <w:t xml:space="preserve"> itself</w:t>
      </w:r>
      <w:r w:rsidR="00FE631A">
        <w:rPr>
          <w:rFonts w:ascii="Times New Roman" w:hAnsi="Times New Roman" w:cs="Times New Roman"/>
        </w:rPr>
        <w:t xml:space="preserve">, the characterization of her has half-black was noted and perpetuated by future authors. In Both the </w:t>
      </w:r>
      <w:r w:rsidR="00FE631A" w:rsidRPr="00FE631A">
        <w:rPr>
          <w:rFonts w:ascii="Times New Roman" w:hAnsi="Times New Roman" w:cs="Times New Roman"/>
          <w:i/>
        </w:rPr>
        <w:t>History of the United States</w:t>
      </w:r>
      <w:r w:rsidR="00FE631A">
        <w:rPr>
          <w:rFonts w:ascii="Times New Roman" w:hAnsi="Times New Roman" w:cs="Times New Roman"/>
        </w:rPr>
        <w:t xml:space="preserve">, published in 1876, and </w:t>
      </w:r>
      <w:r w:rsidR="00FE631A" w:rsidRPr="00FE631A">
        <w:rPr>
          <w:rFonts w:ascii="Times New Roman" w:hAnsi="Times New Roman" w:cs="Times New Roman"/>
          <w:i/>
        </w:rPr>
        <w:t>History of New England</w:t>
      </w:r>
      <w:r w:rsidR="00FE631A">
        <w:rPr>
          <w:rFonts w:ascii="Times New Roman" w:hAnsi="Times New Roman" w:cs="Times New Roman"/>
        </w:rPr>
        <w:t xml:space="preserve">, published in 1877, Tituba is described as “half-Indian, half-Negro,” when </w:t>
      </w:r>
      <w:r w:rsidR="00C3108D">
        <w:rPr>
          <w:rFonts w:ascii="Times New Roman" w:hAnsi="Times New Roman" w:cs="Times New Roman"/>
        </w:rPr>
        <w:t xml:space="preserve">for centuries beforehand all historical documentation had only ever specified Tituba as Indian. </w:t>
      </w:r>
      <w:r w:rsidR="006E5479">
        <w:rPr>
          <w:rFonts w:ascii="Times New Roman" w:hAnsi="Times New Roman" w:cs="Times New Roman"/>
        </w:rPr>
        <w:t xml:space="preserve">This racial duality continued through the 1950s, where Tituba’s character appears to have been appropriated by grossly racist stereotypes. In </w:t>
      </w:r>
      <w:r w:rsidR="006E5479" w:rsidRPr="006E5479">
        <w:rPr>
          <w:rFonts w:ascii="Times New Roman" w:hAnsi="Times New Roman" w:cs="Times New Roman"/>
          <w:i/>
        </w:rPr>
        <w:t>The Devil in Massachusetts</w:t>
      </w:r>
      <w:r w:rsidR="006E5479">
        <w:rPr>
          <w:rFonts w:ascii="Times New Roman" w:hAnsi="Times New Roman" w:cs="Times New Roman"/>
        </w:rPr>
        <w:t>, she is depicted as a drawling, lazy, and voodoo-practicing woman.</w:t>
      </w:r>
      <w:r w:rsidR="006E5479">
        <w:rPr>
          <w:rStyle w:val="FootnoteReference"/>
          <w:rFonts w:ascii="Times New Roman" w:hAnsi="Times New Roman" w:cs="Times New Roman"/>
        </w:rPr>
        <w:footnoteReference w:id="39"/>
      </w:r>
      <w:r w:rsidR="009C3DA5">
        <w:rPr>
          <w:rFonts w:ascii="Times New Roman" w:hAnsi="Times New Roman" w:cs="Times New Roman"/>
        </w:rPr>
        <w:t xml:space="preserve"> She is fully and</w:t>
      </w:r>
      <w:r w:rsidR="00007A62">
        <w:rPr>
          <w:rFonts w:ascii="Times New Roman" w:hAnsi="Times New Roman" w:cs="Times New Roman"/>
        </w:rPr>
        <w:t xml:space="preserve"> decidedly negro in Arthur Miller’s </w:t>
      </w:r>
      <w:r w:rsidR="00007A62" w:rsidRPr="00D93841">
        <w:rPr>
          <w:rFonts w:ascii="Times New Roman" w:hAnsi="Times New Roman" w:cs="Times New Roman"/>
          <w:i/>
        </w:rPr>
        <w:t>The Crucible</w:t>
      </w:r>
      <w:r w:rsidR="00007A62">
        <w:rPr>
          <w:rFonts w:ascii="Times New Roman" w:hAnsi="Times New Roman" w:cs="Times New Roman"/>
        </w:rPr>
        <w:t xml:space="preserve">, </w:t>
      </w:r>
      <w:r w:rsidR="00F72439">
        <w:rPr>
          <w:rFonts w:ascii="Times New Roman" w:hAnsi="Times New Roman" w:cs="Times New Roman"/>
        </w:rPr>
        <w:t xml:space="preserve">where </w:t>
      </w:r>
      <w:r w:rsidR="00007A62">
        <w:rPr>
          <w:rFonts w:ascii="Times New Roman" w:hAnsi="Times New Roman" w:cs="Times New Roman"/>
        </w:rPr>
        <w:t xml:space="preserve">she is depicted </w:t>
      </w:r>
      <w:r w:rsidR="00F72439">
        <w:rPr>
          <w:rFonts w:ascii="Times New Roman" w:hAnsi="Times New Roman" w:cs="Times New Roman"/>
        </w:rPr>
        <w:t xml:space="preserve">as </w:t>
      </w:r>
      <w:r w:rsidR="00007A62">
        <w:rPr>
          <w:rFonts w:ascii="Times New Roman" w:hAnsi="Times New Roman" w:cs="Times New Roman"/>
        </w:rPr>
        <w:t>casting spells over</w:t>
      </w:r>
      <w:r w:rsidR="008D3F79">
        <w:rPr>
          <w:rFonts w:ascii="Times New Roman" w:hAnsi="Times New Roman" w:cs="Times New Roman"/>
        </w:rPr>
        <w:t xml:space="preserve"> bubbling cauldrons and concocting potions of chicken blood.</w:t>
      </w:r>
      <w:r w:rsidR="008D3F79">
        <w:rPr>
          <w:rStyle w:val="FootnoteReference"/>
          <w:rFonts w:ascii="Times New Roman" w:hAnsi="Times New Roman" w:cs="Times New Roman"/>
        </w:rPr>
        <w:footnoteReference w:id="40"/>
      </w:r>
      <w:r w:rsidR="008D3F79">
        <w:rPr>
          <w:rFonts w:ascii="Times New Roman" w:hAnsi="Times New Roman" w:cs="Times New Roman"/>
        </w:rPr>
        <w:t xml:space="preserve"> </w:t>
      </w:r>
      <w:r w:rsidR="004D34F6">
        <w:rPr>
          <w:rFonts w:ascii="Times New Roman" w:hAnsi="Times New Roman" w:cs="Times New Roman"/>
        </w:rPr>
        <w:t xml:space="preserve">In the midst of the American Civil War, Tituba’s race and character undergo a dramatic evolution; a fact that can hardly be considered coincidence. </w:t>
      </w:r>
      <w:r w:rsidR="00ED4C33">
        <w:rPr>
          <w:rFonts w:ascii="Times New Roman" w:hAnsi="Times New Roman" w:cs="Times New Roman"/>
        </w:rPr>
        <w:t xml:space="preserve">Tituba’s historical categorization has, as consequence, undergone an unnecessary </w:t>
      </w:r>
      <w:r w:rsidR="005B4BF9">
        <w:rPr>
          <w:rFonts w:ascii="Times New Roman" w:hAnsi="Times New Roman" w:cs="Times New Roman"/>
        </w:rPr>
        <w:t xml:space="preserve">and inaccurate transformation. Tituba was Indian woman, despite records suggesting otherwise. </w:t>
      </w:r>
      <w:r w:rsidR="00D93841">
        <w:rPr>
          <w:rFonts w:ascii="Times New Roman" w:hAnsi="Times New Roman" w:cs="Times New Roman"/>
        </w:rPr>
        <w:t>Her multicultural makeu</w:t>
      </w:r>
      <w:r w:rsidR="00EA3DA1">
        <w:rPr>
          <w:rFonts w:ascii="Times New Roman" w:hAnsi="Times New Roman" w:cs="Times New Roman"/>
        </w:rPr>
        <w:t>p contributed to the Puritan’s perception of her race as one of dually African and Indian.</w:t>
      </w:r>
      <w:r w:rsidR="00D93841">
        <w:rPr>
          <w:rFonts w:ascii="Times New Roman" w:hAnsi="Times New Roman" w:cs="Times New Roman"/>
        </w:rPr>
        <w:t xml:space="preserve"> Despite this conception of her race, </w:t>
      </w:r>
      <w:r w:rsidR="00F212AC">
        <w:rPr>
          <w:rFonts w:ascii="Times New Roman" w:hAnsi="Times New Roman" w:cs="Times New Roman"/>
        </w:rPr>
        <w:t xml:space="preserve">it was only a conception; </w:t>
      </w:r>
      <w:r w:rsidR="00D93841">
        <w:rPr>
          <w:rFonts w:ascii="Times New Roman" w:hAnsi="Times New Roman" w:cs="Times New Roman"/>
        </w:rPr>
        <w:t>Tituba was referenced as and was clearly, an Indian woman.</w:t>
      </w:r>
    </w:p>
    <w:p w14:paraId="0C83001C" w14:textId="2231EEC0" w:rsidR="00944DCD" w:rsidRDefault="004D34F6" w:rsidP="0072201F">
      <w:pPr>
        <w:spacing w:line="480" w:lineRule="auto"/>
        <w:ind w:firstLine="720"/>
        <w:rPr>
          <w:rFonts w:ascii="Times New Roman" w:hAnsi="Times New Roman" w:cs="Times New Roman"/>
        </w:rPr>
      </w:pPr>
      <w:r w:rsidRPr="004E22DE">
        <w:rPr>
          <w:rFonts w:ascii="Times New Roman" w:hAnsi="Times New Roman" w:cs="Times New Roman"/>
        </w:rPr>
        <w:t>Tituba’s dua</w:t>
      </w:r>
      <w:r>
        <w:rPr>
          <w:rFonts w:ascii="Times New Roman" w:hAnsi="Times New Roman" w:cs="Times New Roman"/>
        </w:rPr>
        <w:t>l racial identity is conceivable as a Puritan notion when considering how Puritans</w:t>
      </w:r>
      <w:r w:rsidRPr="004E22DE">
        <w:rPr>
          <w:rFonts w:ascii="Times New Roman" w:hAnsi="Times New Roman" w:cs="Times New Roman"/>
        </w:rPr>
        <w:t xml:space="preserve"> interpreted her multicultural background. </w:t>
      </w:r>
      <w:r w:rsidR="00944DCD" w:rsidRPr="004E22DE">
        <w:rPr>
          <w:rFonts w:ascii="Times New Roman" w:hAnsi="Times New Roman" w:cs="Times New Roman"/>
        </w:rPr>
        <w:t xml:space="preserve">Tituba was an Indian woman well-versed with Indian, African, and Puritan practices and cultures. </w:t>
      </w:r>
      <w:r w:rsidR="00052679" w:rsidRPr="004E22DE">
        <w:rPr>
          <w:rFonts w:ascii="Times New Roman" w:hAnsi="Times New Roman" w:cs="Times New Roman"/>
        </w:rPr>
        <w:t xml:space="preserve">In her time in Barbados she was exposed to all three cultural aspects, and her very personhood came to embody them all. </w:t>
      </w:r>
      <w:r w:rsidR="005430EF" w:rsidRPr="004E22DE">
        <w:rPr>
          <w:rFonts w:ascii="Times New Roman" w:hAnsi="Times New Roman" w:cs="Times New Roman"/>
        </w:rPr>
        <w:t xml:space="preserve">What is clear and therefore may be drawn from this debate, is that </w:t>
      </w:r>
      <w:r w:rsidR="005430EF" w:rsidRPr="004E22DE">
        <w:rPr>
          <w:rFonts w:ascii="Times New Roman" w:hAnsi="Times New Roman" w:cs="Times New Roman"/>
        </w:rPr>
        <w:lastRenderedPageBreak/>
        <w:t xml:space="preserve">Tituba was an Indian woman who practiced and exhibited behavior akin to the cultures of both Indian and African </w:t>
      </w:r>
      <w:r w:rsidR="00F72439">
        <w:rPr>
          <w:rFonts w:ascii="Times New Roman" w:hAnsi="Times New Roman" w:cs="Times New Roman"/>
        </w:rPr>
        <w:t>practices</w:t>
      </w:r>
      <w:r w:rsidR="006B564B" w:rsidRPr="004E22DE">
        <w:rPr>
          <w:rFonts w:ascii="Times New Roman" w:hAnsi="Times New Roman" w:cs="Times New Roman"/>
        </w:rPr>
        <w:t>. This multicultural makeup shaped how Puritans perceived her</w:t>
      </w:r>
      <w:r w:rsidR="0036090E" w:rsidRPr="004E22DE">
        <w:rPr>
          <w:rFonts w:ascii="Times New Roman" w:hAnsi="Times New Roman" w:cs="Times New Roman"/>
        </w:rPr>
        <w:t xml:space="preserve">. Ultimately, a dually racial identity only served to strengthen Tituba’s association with witchcraft. As Puritans considered her both Indian and African, </w:t>
      </w:r>
      <w:r w:rsidR="00C97748" w:rsidRPr="004E22DE">
        <w:rPr>
          <w:rFonts w:ascii="Times New Roman" w:hAnsi="Times New Roman" w:cs="Times New Roman"/>
        </w:rPr>
        <w:t xml:space="preserve">and </w:t>
      </w:r>
      <w:r w:rsidR="0036090E" w:rsidRPr="004E22DE">
        <w:rPr>
          <w:rFonts w:ascii="Times New Roman" w:hAnsi="Times New Roman" w:cs="Times New Roman"/>
        </w:rPr>
        <w:t>both</w:t>
      </w:r>
      <w:r w:rsidR="00C97748" w:rsidRPr="004E22DE">
        <w:rPr>
          <w:rFonts w:ascii="Times New Roman" w:hAnsi="Times New Roman" w:cs="Times New Roman"/>
        </w:rPr>
        <w:t xml:space="preserve"> of these</w:t>
      </w:r>
      <w:r w:rsidR="0036090E" w:rsidRPr="004E22DE">
        <w:rPr>
          <w:rFonts w:ascii="Times New Roman" w:hAnsi="Times New Roman" w:cs="Times New Roman"/>
        </w:rPr>
        <w:t xml:space="preserve"> identities</w:t>
      </w:r>
      <w:r w:rsidR="00C97748" w:rsidRPr="004E22DE">
        <w:rPr>
          <w:rFonts w:ascii="Times New Roman" w:hAnsi="Times New Roman" w:cs="Times New Roman"/>
        </w:rPr>
        <w:t xml:space="preserve"> were strongly associated with practices of the occult</w:t>
      </w:r>
      <w:r w:rsidR="0036090E" w:rsidRPr="004E22DE">
        <w:rPr>
          <w:rFonts w:ascii="Times New Roman" w:hAnsi="Times New Roman" w:cs="Times New Roman"/>
        </w:rPr>
        <w:t xml:space="preserve">, </w:t>
      </w:r>
      <w:r w:rsidR="00C97748" w:rsidRPr="004E22DE">
        <w:rPr>
          <w:rFonts w:ascii="Times New Roman" w:hAnsi="Times New Roman" w:cs="Times New Roman"/>
        </w:rPr>
        <w:t>Tituba was all the more likely to be accused as a witch.</w:t>
      </w:r>
      <w:r w:rsidR="00C97748">
        <w:rPr>
          <w:rFonts w:ascii="Times New Roman" w:hAnsi="Times New Roman" w:cs="Times New Roman"/>
        </w:rPr>
        <w:t xml:space="preserve"> </w:t>
      </w:r>
    </w:p>
    <w:p w14:paraId="10C2A1D0" w14:textId="37A82F1C" w:rsidR="003C22FC" w:rsidRPr="00D15038" w:rsidRDefault="008B7C55" w:rsidP="004B081C">
      <w:pPr>
        <w:spacing w:line="480" w:lineRule="auto"/>
        <w:ind w:firstLine="720"/>
        <w:rPr>
          <w:rFonts w:ascii="Times New Roman" w:hAnsi="Times New Roman" w:cs="Times New Roman"/>
        </w:rPr>
      </w:pPr>
      <w:r>
        <w:rPr>
          <w:rFonts w:ascii="Times New Roman" w:hAnsi="Times New Roman" w:cs="Times New Roman"/>
        </w:rPr>
        <w:t>Tituba’s practices validated</w:t>
      </w:r>
      <w:r w:rsidR="00BA38A7">
        <w:rPr>
          <w:rFonts w:ascii="Times New Roman" w:hAnsi="Times New Roman" w:cs="Times New Roman"/>
        </w:rPr>
        <w:t xml:space="preserve"> the villager’s perceptions of her as a woman capable of</w:t>
      </w:r>
      <w:r>
        <w:rPr>
          <w:rFonts w:ascii="Times New Roman" w:hAnsi="Times New Roman" w:cs="Times New Roman"/>
        </w:rPr>
        <w:t xml:space="preserve"> witchcraft and the devil’s bidding</w:t>
      </w:r>
      <w:r w:rsidR="00BA38A7">
        <w:rPr>
          <w:rFonts w:ascii="Times New Roman" w:hAnsi="Times New Roman" w:cs="Times New Roman"/>
        </w:rPr>
        <w:t xml:space="preserve">. Therefore, the complicated and multicultural makeup of Tituba, constituted by her dual race and cultural practices, led Salem residents to assume her </w:t>
      </w:r>
      <w:r w:rsidR="001E59E8">
        <w:rPr>
          <w:rFonts w:ascii="Times New Roman" w:hAnsi="Times New Roman" w:cs="Times New Roman"/>
        </w:rPr>
        <w:t xml:space="preserve">a likely practitioner of witchcraft. </w:t>
      </w:r>
      <w:r w:rsidR="00032E1C">
        <w:rPr>
          <w:rFonts w:ascii="Times New Roman" w:hAnsi="Times New Roman" w:cs="Times New Roman"/>
        </w:rPr>
        <w:t>This perception of Tituba led to an inevitable accusation of being one of the afflicted girls’ tormenter</w:t>
      </w:r>
      <w:r w:rsidR="00D15038">
        <w:rPr>
          <w:rFonts w:ascii="Times New Roman" w:hAnsi="Times New Roman" w:cs="Times New Roman"/>
        </w:rPr>
        <w:t>s</w:t>
      </w:r>
      <w:r w:rsidR="00032E1C">
        <w:rPr>
          <w:rFonts w:ascii="Times New Roman" w:hAnsi="Times New Roman" w:cs="Times New Roman"/>
        </w:rPr>
        <w:t xml:space="preserve">. </w:t>
      </w:r>
      <w:r w:rsidR="008B59C4">
        <w:rPr>
          <w:rFonts w:ascii="Times New Roman" w:hAnsi="Times New Roman" w:cs="Times New Roman"/>
        </w:rPr>
        <w:t xml:space="preserve">Following her accusation, Tituba had a decision in admitting to or denying the charges. It was her place as a slave within Salem society </w:t>
      </w:r>
      <w:r w:rsidR="00B73774">
        <w:rPr>
          <w:rFonts w:ascii="Times New Roman" w:hAnsi="Times New Roman" w:cs="Times New Roman"/>
        </w:rPr>
        <w:t xml:space="preserve">that would allow her the opportunity to respond to the accusations at </w:t>
      </w:r>
      <w:r w:rsidR="00D15038">
        <w:rPr>
          <w:rFonts w:ascii="Times New Roman" w:hAnsi="Times New Roman" w:cs="Times New Roman"/>
        </w:rPr>
        <w:t>all, and ultimately, to confess.</w:t>
      </w:r>
    </w:p>
    <w:p w14:paraId="1A1C6A5C" w14:textId="71D84902" w:rsidR="00824823" w:rsidRPr="00824823" w:rsidRDefault="003A6208" w:rsidP="00824823">
      <w:pPr>
        <w:pStyle w:val="ListParagraph"/>
        <w:spacing w:line="480" w:lineRule="auto"/>
        <w:ind w:left="2520" w:firstLine="360"/>
        <w:rPr>
          <w:rFonts w:ascii="Times New Roman" w:hAnsi="Times New Roman" w:cs="Times New Roman"/>
          <w:b/>
        </w:rPr>
      </w:pPr>
      <w:r>
        <w:rPr>
          <w:rFonts w:ascii="Times New Roman" w:hAnsi="Times New Roman" w:cs="Times New Roman"/>
          <w:b/>
        </w:rPr>
        <w:t xml:space="preserve">IV. </w:t>
      </w:r>
      <w:r w:rsidR="00824823" w:rsidRPr="00824823">
        <w:rPr>
          <w:rFonts w:ascii="Times New Roman" w:hAnsi="Times New Roman" w:cs="Times New Roman"/>
          <w:b/>
        </w:rPr>
        <w:t>A Slave in Salem</w:t>
      </w:r>
    </w:p>
    <w:p w14:paraId="4F2908DD" w14:textId="4A0DEBD4" w:rsidR="00824823" w:rsidRPr="001750D4" w:rsidRDefault="00824823" w:rsidP="00824823">
      <w:pPr>
        <w:spacing w:line="480" w:lineRule="auto"/>
        <w:ind w:firstLine="720"/>
        <w:rPr>
          <w:rFonts w:ascii="Times New Roman" w:hAnsi="Times New Roman" w:cs="Times New Roman"/>
        </w:rPr>
      </w:pPr>
      <w:r w:rsidRPr="001750D4">
        <w:rPr>
          <w:rFonts w:ascii="Times New Roman" w:hAnsi="Times New Roman" w:cs="Times New Roman"/>
        </w:rPr>
        <w:t xml:space="preserve">Tituba was a slave woman within a Puritan society and as such, her role was dictated by particular Puritan doctrine. Peter </w:t>
      </w:r>
      <w:proofErr w:type="spellStart"/>
      <w:r w:rsidRPr="001750D4">
        <w:rPr>
          <w:rFonts w:ascii="Times New Roman" w:hAnsi="Times New Roman" w:cs="Times New Roman"/>
        </w:rPr>
        <w:t>Mackinlay</w:t>
      </w:r>
      <w:proofErr w:type="spellEnd"/>
      <w:r w:rsidRPr="001750D4">
        <w:rPr>
          <w:rFonts w:ascii="Times New Roman" w:hAnsi="Times New Roman" w:cs="Times New Roman"/>
        </w:rPr>
        <w:t xml:space="preserve"> offers in “The New England Puritan Attitude Toward Black Slavery,” that the Puritan form of slavery consisted of a combined regard for the slave as both an economic unit and a person of God. </w:t>
      </w:r>
      <w:proofErr w:type="spellStart"/>
      <w:r w:rsidRPr="001750D4">
        <w:rPr>
          <w:rFonts w:ascii="Times New Roman" w:hAnsi="Times New Roman" w:cs="Times New Roman"/>
        </w:rPr>
        <w:t>Mackinlay</w:t>
      </w:r>
      <w:proofErr w:type="spellEnd"/>
      <w:r w:rsidRPr="001750D4">
        <w:rPr>
          <w:rFonts w:ascii="Times New Roman" w:hAnsi="Times New Roman" w:cs="Times New Roman"/>
        </w:rPr>
        <w:t xml:space="preserve"> suggests, “Due to a combination of economic and religious forces, the black slave held an indeterminate position in society, a position derived from the Puritan attitude toward the slave as both property and person [before the law].”</w:t>
      </w:r>
      <w:r w:rsidRPr="001750D4">
        <w:rPr>
          <w:rStyle w:val="FootnoteReference"/>
          <w:rFonts w:ascii="Times New Roman" w:hAnsi="Times New Roman" w:cs="Times New Roman"/>
        </w:rPr>
        <w:footnoteReference w:id="41"/>
      </w:r>
      <w:r w:rsidRPr="001750D4">
        <w:rPr>
          <w:rFonts w:ascii="Times New Roman" w:hAnsi="Times New Roman" w:cs="Times New Roman"/>
        </w:rPr>
        <w:t xml:space="preserve"> Puritan </w:t>
      </w:r>
      <w:r w:rsidRPr="001750D4">
        <w:rPr>
          <w:rFonts w:ascii="Times New Roman" w:hAnsi="Times New Roman" w:cs="Times New Roman"/>
        </w:rPr>
        <w:lastRenderedPageBreak/>
        <w:t>societies therefore found a means to reconcile that slaves were simultaneously people and property. For Tituba, this meant that within Salem, she held certain value due to her place</w:t>
      </w:r>
      <w:r w:rsidR="007A169A">
        <w:rPr>
          <w:rFonts w:ascii="Times New Roman" w:hAnsi="Times New Roman" w:cs="Times New Roman"/>
        </w:rPr>
        <w:t xml:space="preserve"> of servitude</w:t>
      </w:r>
      <w:r w:rsidRPr="001750D4">
        <w:rPr>
          <w:rFonts w:ascii="Times New Roman" w:hAnsi="Times New Roman" w:cs="Times New Roman"/>
        </w:rPr>
        <w:t xml:space="preserve"> in the Parris household, as well as for her existence as a potentially Christian woman. This is exemplified in the ‘Liberties of </w:t>
      </w:r>
      <w:proofErr w:type="spellStart"/>
      <w:r w:rsidRPr="001750D4">
        <w:rPr>
          <w:rFonts w:ascii="Times New Roman" w:hAnsi="Times New Roman" w:cs="Times New Roman"/>
        </w:rPr>
        <w:t>Forreiners</w:t>
      </w:r>
      <w:proofErr w:type="spellEnd"/>
      <w:r w:rsidRPr="001750D4">
        <w:rPr>
          <w:rFonts w:ascii="Times New Roman" w:hAnsi="Times New Roman" w:cs="Times New Roman"/>
        </w:rPr>
        <w:t xml:space="preserve"> and Strangers,’ written by Massachusetts legislators in 1641. It reads:</w:t>
      </w:r>
    </w:p>
    <w:p w14:paraId="7445DE06" w14:textId="44952E6F" w:rsidR="00824823" w:rsidRPr="001750D4" w:rsidRDefault="00824823" w:rsidP="00824823">
      <w:pPr>
        <w:ind w:left="360"/>
        <w:rPr>
          <w:rFonts w:ascii="Times New Roman" w:hAnsi="Times New Roman" w:cs="Times New Roman"/>
        </w:rPr>
      </w:pPr>
      <w:r w:rsidRPr="001750D4">
        <w:rPr>
          <w:rFonts w:ascii="Times New Roman" w:hAnsi="Times New Roman" w:cs="Times New Roman"/>
        </w:rPr>
        <w:t xml:space="preserve">…there shall never be any bond </w:t>
      </w:r>
      <w:proofErr w:type="spellStart"/>
      <w:r w:rsidRPr="001750D4">
        <w:rPr>
          <w:rFonts w:ascii="Times New Roman" w:hAnsi="Times New Roman" w:cs="Times New Roman"/>
        </w:rPr>
        <w:t>slaverie</w:t>
      </w:r>
      <w:proofErr w:type="spellEnd"/>
      <w:r w:rsidRPr="001750D4">
        <w:rPr>
          <w:rFonts w:ascii="Times New Roman" w:hAnsi="Times New Roman" w:cs="Times New Roman"/>
        </w:rPr>
        <w:t xml:space="preserve">, </w:t>
      </w:r>
      <w:proofErr w:type="spellStart"/>
      <w:r w:rsidRPr="001750D4">
        <w:rPr>
          <w:rFonts w:ascii="Times New Roman" w:hAnsi="Times New Roman" w:cs="Times New Roman"/>
        </w:rPr>
        <w:t>villange</w:t>
      </w:r>
      <w:proofErr w:type="spellEnd"/>
      <w:r w:rsidRPr="001750D4">
        <w:rPr>
          <w:rFonts w:ascii="Times New Roman" w:hAnsi="Times New Roman" w:cs="Times New Roman"/>
        </w:rPr>
        <w:t xml:space="preserve"> or </w:t>
      </w:r>
      <w:proofErr w:type="spellStart"/>
      <w:r w:rsidRPr="001750D4">
        <w:rPr>
          <w:rFonts w:ascii="Times New Roman" w:hAnsi="Times New Roman" w:cs="Times New Roman"/>
        </w:rPr>
        <w:t>captivite</w:t>
      </w:r>
      <w:proofErr w:type="spellEnd"/>
      <w:r w:rsidRPr="001750D4">
        <w:rPr>
          <w:rFonts w:ascii="Times New Roman" w:hAnsi="Times New Roman" w:cs="Times New Roman"/>
        </w:rPr>
        <w:t xml:space="preserve"> amongst us </w:t>
      </w:r>
      <w:proofErr w:type="spellStart"/>
      <w:r w:rsidRPr="001750D4">
        <w:rPr>
          <w:rFonts w:ascii="Times New Roman" w:hAnsi="Times New Roman" w:cs="Times New Roman"/>
        </w:rPr>
        <w:t>unles</w:t>
      </w:r>
      <w:proofErr w:type="spellEnd"/>
      <w:r w:rsidRPr="001750D4">
        <w:rPr>
          <w:rFonts w:ascii="Times New Roman" w:hAnsi="Times New Roman" w:cs="Times New Roman"/>
        </w:rPr>
        <w:t xml:space="preserve"> it be lawful captives taken in just </w:t>
      </w:r>
      <w:proofErr w:type="spellStart"/>
      <w:r w:rsidRPr="001750D4">
        <w:rPr>
          <w:rFonts w:ascii="Times New Roman" w:hAnsi="Times New Roman" w:cs="Times New Roman"/>
        </w:rPr>
        <w:t>warres</w:t>
      </w:r>
      <w:proofErr w:type="spellEnd"/>
      <w:r w:rsidRPr="001750D4">
        <w:rPr>
          <w:rFonts w:ascii="Times New Roman" w:hAnsi="Times New Roman" w:cs="Times New Roman"/>
        </w:rPr>
        <w:t xml:space="preserve">, and such strangers as willingly </w:t>
      </w:r>
      <w:proofErr w:type="spellStart"/>
      <w:r w:rsidRPr="001750D4">
        <w:rPr>
          <w:rFonts w:ascii="Times New Roman" w:hAnsi="Times New Roman" w:cs="Times New Roman"/>
        </w:rPr>
        <w:t>selle</w:t>
      </w:r>
      <w:proofErr w:type="spellEnd"/>
      <w:r w:rsidRPr="001750D4">
        <w:rPr>
          <w:rFonts w:ascii="Times New Roman" w:hAnsi="Times New Roman" w:cs="Times New Roman"/>
        </w:rPr>
        <w:t xml:space="preserve"> </w:t>
      </w:r>
      <w:proofErr w:type="spellStart"/>
      <w:r w:rsidRPr="001750D4">
        <w:rPr>
          <w:rFonts w:ascii="Times New Roman" w:hAnsi="Times New Roman" w:cs="Times New Roman"/>
        </w:rPr>
        <w:t>them selves</w:t>
      </w:r>
      <w:proofErr w:type="spellEnd"/>
      <w:r w:rsidRPr="001750D4">
        <w:rPr>
          <w:rFonts w:ascii="Times New Roman" w:hAnsi="Times New Roman" w:cs="Times New Roman"/>
        </w:rPr>
        <w:t xml:space="preserve"> or are sold to us. And these shall have all the liberties and Christian usages which the law of God established in </w:t>
      </w:r>
      <w:proofErr w:type="spellStart"/>
      <w:r w:rsidRPr="001750D4">
        <w:rPr>
          <w:rFonts w:ascii="Times New Roman" w:hAnsi="Times New Roman" w:cs="Times New Roman"/>
        </w:rPr>
        <w:t>Israell</w:t>
      </w:r>
      <w:proofErr w:type="spellEnd"/>
      <w:r w:rsidRPr="001750D4">
        <w:rPr>
          <w:rFonts w:ascii="Times New Roman" w:hAnsi="Times New Roman" w:cs="Times New Roman"/>
        </w:rPr>
        <w:t xml:space="preserve"> concerning such persons doeth morally require.</w:t>
      </w:r>
      <w:r w:rsidRPr="001750D4">
        <w:rPr>
          <w:rStyle w:val="FootnoteReference"/>
          <w:rFonts w:ascii="Times New Roman" w:hAnsi="Times New Roman" w:cs="Times New Roman"/>
        </w:rPr>
        <w:footnoteReference w:id="42"/>
      </w:r>
    </w:p>
    <w:p w14:paraId="37E453AC" w14:textId="77777777" w:rsidR="00AA75A9" w:rsidRDefault="00AA75A9" w:rsidP="00824823">
      <w:pPr>
        <w:spacing w:line="480" w:lineRule="auto"/>
        <w:ind w:firstLine="720"/>
        <w:rPr>
          <w:rFonts w:ascii="Times New Roman" w:hAnsi="Times New Roman" w:cs="Times New Roman"/>
        </w:rPr>
      </w:pPr>
    </w:p>
    <w:p w14:paraId="376380EB" w14:textId="32158A1B" w:rsidR="00824823" w:rsidRPr="001750D4" w:rsidRDefault="00824823" w:rsidP="00824823">
      <w:pPr>
        <w:spacing w:line="480" w:lineRule="auto"/>
        <w:ind w:firstLine="720"/>
        <w:rPr>
          <w:rFonts w:ascii="Times New Roman" w:hAnsi="Times New Roman" w:cs="Times New Roman"/>
        </w:rPr>
      </w:pPr>
      <w:r w:rsidRPr="001750D4">
        <w:rPr>
          <w:rFonts w:ascii="Times New Roman" w:hAnsi="Times New Roman" w:cs="Times New Roman"/>
        </w:rPr>
        <w:t>This excerpt reveals that within Salem, the recognition and practice of slavery adhered to the notion that slaves, as property, were also subject to the law and therefore, within a Puritan society, to the rights and liberties of Christians. In “Puritan Conscience and New England Slavery,” Bernard Rosenthal also concedes to this ideal pertaining to Puritan slavery. In reconciling the property component and religious rites of slaves, Rosenthal suggests that “the safest course was not to assume that they [slaves] were outside the covenant of grace…the easiest course, then, would appear to be to allow blacks the opportunity for salvation.”</w:t>
      </w:r>
      <w:r w:rsidRPr="001750D4">
        <w:rPr>
          <w:rStyle w:val="FootnoteReference"/>
          <w:rFonts w:ascii="Times New Roman" w:hAnsi="Times New Roman" w:cs="Times New Roman"/>
        </w:rPr>
        <w:footnoteReference w:id="43"/>
      </w:r>
      <w:r w:rsidRPr="001750D4">
        <w:rPr>
          <w:rFonts w:ascii="Times New Roman" w:hAnsi="Times New Roman" w:cs="Times New Roman"/>
        </w:rPr>
        <w:t xml:space="preserve"> </w:t>
      </w:r>
      <w:r w:rsidR="007D183B">
        <w:rPr>
          <w:rFonts w:ascii="Times New Roman" w:hAnsi="Times New Roman" w:cs="Times New Roman"/>
        </w:rPr>
        <w:t>Possessing the same</w:t>
      </w:r>
      <w:r w:rsidR="007D183B" w:rsidRPr="001750D4">
        <w:rPr>
          <w:rFonts w:ascii="Times New Roman" w:hAnsi="Times New Roman" w:cs="Times New Roman"/>
        </w:rPr>
        <w:t xml:space="preserve"> rights</w:t>
      </w:r>
      <w:r w:rsidR="007D183B">
        <w:rPr>
          <w:rFonts w:ascii="Times New Roman" w:hAnsi="Times New Roman" w:cs="Times New Roman"/>
        </w:rPr>
        <w:t xml:space="preserve"> as a Christian </w:t>
      </w:r>
      <w:r w:rsidR="007D183B" w:rsidRPr="001750D4">
        <w:rPr>
          <w:rFonts w:ascii="Times New Roman" w:hAnsi="Times New Roman" w:cs="Times New Roman"/>
        </w:rPr>
        <w:t>would prove significant for Tituba,</w:t>
      </w:r>
      <w:r w:rsidR="007D183B">
        <w:rPr>
          <w:rFonts w:ascii="Times New Roman" w:hAnsi="Times New Roman" w:cs="Times New Roman"/>
        </w:rPr>
        <w:t xml:space="preserve"> despite her position as an</w:t>
      </w:r>
      <w:r w:rsidR="007D183B" w:rsidRPr="001750D4">
        <w:rPr>
          <w:rFonts w:ascii="Times New Roman" w:hAnsi="Times New Roman" w:cs="Times New Roman"/>
        </w:rPr>
        <w:t xml:space="preserve"> enslaved</w:t>
      </w:r>
      <w:r w:rsidR="007D183B">
        <w:rPr>
          <w:rFonts w:ascii="Times New Roman" w:hAnsi="Times New Roman" w:cs="Times New Roman"/>
        </w:rPr>
        <w:t xml:space="preserve"> Indian</w:t>
      </w:r>
      <w:r w:rsidR="007D183B" w:rsidRPr="001750D4">
        <w:rPr>
          <w:rFonts w:ascii="Times New Roman" w:hAnsi="Times New Roman" w:cs="Times New Roman"/>
        </w:rPr>
        <w:t xml:space="preserve"> </w:t>
      </w:r>
      <w:r w:rsidR="007D183B" w:rsidRPr="001750D4">
        <w:rPr>
          <w:rFonts w:ascii="Times New Roman" w:hAnsi="Times New Roman" w:cs="Times New Roman"/>
        </w:rPr>
        <w:lastRenderedPageBreak/>
        <w:t>woman.</w:t>
      </w:r>
      <w:r w:rsidR="007D183B">
        <w:rPr>
          <w:rFonts w:ascii="Times New Roman" w:hAnsi="Times New Roman" w:cs="Times New Roman"/>
        </w:rPr>
        <w:t xml:space="preserve"> </w:t>
      </w:r>
      <w:r w:rsidRPr="001750D4">
        <w:rPr>
          <w:rFonts w:ascii="Times New Roman" w:hAnsi="Times New Roman" w:cs="Times New Roman"/>
        </w:rPr>
        <w:t>Still, a dual religious and economic recognition placed certain restraints on her. Despite being equally subject to Christian and legal rights as any of her white and free Salem neighbors, she maintained litt</w:t>
      </w:r>
      <w:r w:rsidR="0072696A">
        <w:rPr>
          <w:rFonts w:ascii="Times New Roman" w:hAnsi="Times New Roman" w:cs="Times New Roman"/>
        </w:rPr>
        <w:t>le respect or recognition due to her status as a s</w:t>
      </w:r>
      <w:r w:rsidRPr="001750D4">
        <w:rPr>
          <w:rFonts w:ascii="Times New Roman" w:hAnsi="Times New Roman" w:cs="Times New Roman"/>
        </w:rPr>
        <w:t>lave.</w:t>
      </w:r>
    </w:p>
    <w:p w14:paraId="7F559135" w14:textId="00188767" w:rsidR="00824823" w:rsidRPr="001750D4" w:rsidRDefault="00824823" w:rsidP="00824823">
      <w:pPr>
        <w:spacing w:line="480" w:lineRule="auto"/>
        <w:ind w:firstLine="720"/>
        <w:rPr>
          <w:rFonts w:ascii="Times New Roman" w:hAnsi="Times New Roman" w:cs="Times New Roman"/>
        </w:rPr>
      </w:pPr>
      <w:r w:rsidRPr="001750D4">
        <w:rPr>
          <w:rFonts w:ascii="Times New Roman" w:hAnsi="Times New Roman" w:cs="Times New Roman"/>
        </w:rPr>
        <w:t xml:space="preserve">Tituba’s Christian rights are what ensured her opportunity to offer her confession. As a matter of Christian defiance, a charge such as </w:t>
      </w:r>
      <w:r w:rsidR="00CE58BE">
        <w:rPr>
          <w:rFonts w:ascii="Times New Roman" w:hAnsi="Times New Roman" w:cs="Times New Roman"/>
        </w:rPr>
        <w:t>witchcraft ensured</w:t>
      </w:r>
      <w:r w:rsidRPr="001750D4">
        <w:rPr>
          <w:rFonts w:ascii="Times New Roman" w:hAnsi="Times New Roman" w:cs="Times New Roman"/>
        </w:rPr>
        <w:t xml:space="preserve"> the religious right to explanation, or more appropriately, confession. Despite her social insignificance, Tituba was still entitled the right to refute or confirm the witchcraft charges because of her categorization as a slave within the Puritan system. However Tituba’s dual recognition as both a woman subject to legal and Christian rights, and as a non-white slave woman would only complicate the matters surrounding her confession. </w:t>
      </w:r>
    </w:p>
    <w:p w14:paraId="10B0964B" w14:textId="5DBF8B3C" w:rsidR="00824823" w:rsidRPr="001750D4" w:rsidRDefault="00824823" w:rsidP="00824823">
      <w:pPr>
        <w:spacing w:line="480" w:lineRule="auto"/>
        <w:ind w:firstLine="720"/>
        <w:rPr>
          <w:rFonts w:ascii="Times New Roman" w:hAnsi="Times New Roman" w:cs="Times New Roman"/>
        </w:rPr>
      </w:pPr>
      <w:r w:rsidRPr="001750D4">
        <w:rPr>
          <w:rFonts w:ascii="Times New Roman" w:hAnsi="Times New Roman" w:cs="Times New Roman"/>
        </w:rPr>
        <w:t xml:space="preserve">As a slave woman subject to legal and Christian rights, Tituba was permitted the opportunity to confess; however her confession would complicate the Puritan notion of slavery as a reconciliation of property and person. While the Puritans had to offer Tituba the chance to testify, anticipation for an actual admittance had not been accounted for, let alone what to do following such a confession. Tituba not only admitted to partaking in witchcraft, thus confirming the presence of the devil in Salem, but she also named fellow conspirators in Sarah Good and Sarah Osborne. The Salem officials now had to respond to Tituba’s testimony accordingly—but what to do with a confessed slave woman? Due to her already complex role within Salem society, Tituba’s confession only served to further complicate her place within the village. </w:t>
      </w:r>
      <w:r w:rsidRPr="001750D4">
        <w:rPr>
          <w:rFonts w:ascii="Times New Roman" w:hAnsi="Times New Roman" w:cs="Times New Roman"/>
        </w:rPr>
        <w:lastRenderedPageBreak/>
        <w:t>Tucker considers this, taking care to emp</w:t>
      </w:r>
      <w:r w:rsidR="007A169A">
        <w:rPr>
          <w:rFonts w:ascii="Times New Roman" w:hAnsi="Times New Roman" w:cs="Times New Roman"/>
        </w:rPr>
        <w:t xml:space="preserve">hasize how her place as a </w:t>
      </w:r>
      <w:r w:rsidRPr="001750D4">
        <w:rPr>
          <w:rFonts w:ascii="Times New Roman" w:hAnsi="Times New Roman" w:cs="Times New Roman"/>
        </w:rPr>
        <w:t>slave so deeply impacted what would become of her.</w:t>
      </w:r>
    </w:p>
    <w:p w14:paraId="61826E6C" w14:textId="4838C36C" w:rsidR="00824823" w:rsidRPr="001750D4" w:rsidRDefault="00824823" w:rsidP="00824823">
      <w:pPr>
        <w:ind w:left="720" w:right="274"/>
        <w:rPr>
          <w:rFonts w:ascii="Times New Roman" w:hAnsi="Times New Roman" w:cs="Times New Roman"/>
        </w:rPr>
      </w:pPr>
      <w:r w:rsidRPr="001750D4">
        <w:rPr>
          <w:rFonts w:ascii="Times New Roman" w:hAnsi="Times New Roman" w:cs="Times New Roman"/>
        </w:rPr>
        <w:t>Puritan authorities banished Tituba from them and from consciousness because her presence stirred their deepest fear: alienation from God. God’s condemnation was visible in the color of her skin. Unlike other accused (white) witches, who upon confession could be regenerated and reintegrated into the community, Tituba wore the dark skin of reprobation. For her, reintegration into the community was unthinkable… The judges did not know what to do with her. Due to her confession, they were unable to put her to death, and due to their presumption of her irreversible degeneracy, they were unable to tolerate her presence in the Village.</w:t>
      </w:r>
      <w:r w:rsidRPr="001750D4">
        <w:rPr>
          <w:rStyle w:val="FootnoteReference"/>
          <w:rFonts w:ascii="Times New Roman" w:hAnsi="Times New Roman" w:cs="Times New Roman"/>
        </w:rPr>
        <w:footnoteReference w:id="44"/>
      </w:r>
    </w:p>
    <w:p w14:paraId="026E4DC5" w14:textId="77777777" w:rsidR="00974620" w:rsidRDefault="00974620" w:rsidP="00824823">
      <w:pPr>
        <w:spacing w:line="480" w:lineRule="auto"/>
        <w:ind w:firstLine="720"/>
        <w:rPr>
          <w:rFonts w:ascii="Times New Roman" w:hAnsi="Times New Roman" w:cs="Times New Roman"/>
        </w:rPr>
      </w:pPr>
    </w:p>
    <w:p w14:paraId="63D30165" w14:textId="70221D30" w:rsidR="00824823" w:rsidRPr="001750D4" w:rsidRDefault="00824823" w:rsidP="004D19B8">
      <w:pPr>
        <w:spacing w:line="480" w:lineRule="auto"/>
        <w:ind w:firstLine="720"/>
        <w:rPr>
          <w:rFonts w:ascii="Times New Roman" w:hAnsi="Times New Roman" w:cs="Times New Roman"/>
        </w:rPr>
      </w:pPr>
      <w:r w:rsidRPr="001750D4">
        <w:rPr>
          <w:rFonts w:ascii="Times New Roman" w:hAnsi="Times New Roman" w:cs="Times New Roman"/>
        </w:rPr>
        <w:t xml:space="preserve">As Tucker explains, Tituba’s confession created a conundrum for the Salem officials, largely due to her race and place as a slave. While Puritan doctrine dictated that slaves were subject to legal and Christian rights, that by no means placed Tituba on equal standing with her free, white Salem neighbors. Even Tituba’s fellow accused, the social outcasts Sarah Good and Sarah Osborne, garnered greater respect and significance as </w:t>
      </w:r>
      <w:r w:rsidR="004D19B8">
        <w:rPr>
          <w:rFonts w:ascii="Times New Roman" w:hAnsi="Times New Roman" w:cs="Times New Roman"/>
        </w:rPr>
        <w:t xml:space="preserve">free </w:t>
      </w:r>
      <w:r w:rsidRPr="001750D4">
        <w:rPr>
          <w:rFonts w:ascii="Times New Roman" w:hAnsi="Times New Roman" w:cs="Times New Roman"/>
        </w:rPr>
        <w:t>white women.</w:t>
      </w:r>
      <w:r w:rsidR="004D19B8">
        <w:rPr>
          <w:rFonts w:ascii="Times New Roman" w:hAnsi="Times New Roman" w:cs="Times New Roman"/>
        </w:rPr>
        <w:t xml:space="preserve"> </w:t>
      </w:r>
      <w:r w:rsidRPr="001750D4">
        <w:rPr>
          <w:rFonts w:ascii="Times New Roman" w:hAnsi="Times New Roman" w:cs="Times New Roman"/>
        </w:rPr>
        <w:t xml:space="preserve">Furthermore, regardless of whether Tituba had been a free woman as </w:t>
      </w:r>
      <w:r w:rsidR="0028169F">
        <w:rPr>
          <w:rFonts w:ascii="Times New Roman" w:hAnsi="Times New Roman" w:cs="Times New Roman"/>
        </w:rPr>
        <w:t>opposed to a slave, she was sti</w:t>
      </w:r>
      <w:r w:rsidRPr="001750D4">
        <w:rPr>
          <w:rFonts w:ascii="Times New Roman" w:hAnsi="Times New Roman" w:cs="Times New Roman"/>
        </w:rPr>
        <w:t>l</w:t>
      </w:r>
      <w:r w:rsidR="007A169A">
        <w:rPr>
          <w:rFonts w:ascii="Times New Roman" w:hAnsi="Times New Roman" w:cs="Times New Roman"/>
        </w:rPr>
        <w:t>l not white</w:t>
      </w:r>
      <w:r w:rsidR="0028169F">
        <w:rPr>
          <w:rFonts w:ascii="Times New Roman" w:hAnsi="Times New Roman" w:cs="Times New Roman"/>
        </w:rPr>
        <w:t xml:space="preserve"> and thus</w:t>
      </w:r>
      <w:r w:rsidRPr="001750D4">
        <w:rPr>
          <w:rFonts w:ascii="Times New Roman" w:hAnsi="Times New Roman" w:cs="Times New Roman"/>
        </w:rPr>
        <w:t xml:space="preserve"> visibly and markedly different from the rest of the Salem villagers. </w:t>
      </w:r>
      <w:r w:rsidR="004D19B8">
        <w:rPr>
          <w:rFonts w:ascii="Times New Roman" w:hAnsi="Times New Roman" w:cs="Times New Roman"/>
        </w:rPr>
        <w:t xml:space="preserve">Tituba’s place as a slave within Salem was not necessarily dictated by her race, as racial constructions and parameters were quite fluid at the time of her service. However Tituba’s slave status on Barbados, combined with her visibly non-white body, solidified her place within Salem as one of little respect or regard. </w:t>
      </w:r>
      <w:r w:rsidRPr="001750D4">
        <w:rPr>
          <w:rFonts w:ascii="Times New Roman" w:hAnsi="Times New Roman" w:cs="Times New Roman"/>
        </w:rPr>
        <w:t>This made the matter of her confession a difficult matter to deal with. Salem officials had to decide wh</w:t>
      </w:r>
      <w:r w:rsidR="007A169A">
        <w:rPr>
          <w:rFonts w:ascii="Times New Roman" w:hAnsi="Times New Roman" w:cs="Times New Roman"/>
        </w:rPr>
        <w:t>at to do with a confessed, Indian</w:t>
      </w:r>
      <w:r w:rsidRPr="001750D4">
        <w:rPr>
          <w:rFonts w:ascii="Times New Roman" w:hAnsi="Times New Roman" w:cs="Times New Roman"/>
        </w:rPr>
        <w:t xml:space="preserve"> witch. Christian doctrine granted her the right to testimony, and the very same doctrine demanded that </w:t>
      </w:r>
      <w:r w:rsidRPr="001750D4">
        <w:rPr>
          <w:rFonts w:ascii="Times New Roman" w:hAnsi="Times New Roman" w:cs="Times New Roman"/>
        </w:rPr>
        <w:lastRenderedPageBreak/>
        <w:t xml:space="preserve">as a confessor, Tituba’s life be spared. The issue remained, however, that her race and place as a slave could not be ignored. </w:t>
      </w:r>
    </w:p>
    <w:p w14:paraId="7FCE5633" w14:textId="4AC480A7" w:rsidR="003E5BE4" w:rsidRDefault="00824823" w:rsidP="00854C6E">
      <w:pPr>
        <w:spacing w:line="480" w:lineRule="auto"/>
        <w:ind w:firstLine="720"/>
        <w:rPr>
          <w:rFonts w:ascii="Times New Roman" w:hAnsi="Times New Roman" w:cs="Times New Roman"/>
        </w:rPr>
      </w:pPr>
      <w:r w:rsidRPr="001750D4">
        <w:rPr>
          <w:rFonts w:ascii="Times New Roman" w:hAnsi="Times New Roman" w:cs="Times New Roman"/>
        </w:rPr>
        <w:t xml:space="preserve">Tituba’s punishment for her confession was banishment. </w:t>
      </w:r>
      <w:r w:rsidR="007555D8">
        <w:rPr>
          <w:rFonts w:ascii="Times New Roman" w:hAnsi="Times New Roman" w:cs="Times New Roman"/>
        </w:rPr>
        <w:t>Following her confession, she</w:t>
      </w:r>
      <w:r w:rsidRPr="001750D4">
        <w:rPr>
          <w:rFonts w:ascii="Times New Roman" w:hAnsi="Times New Roman" w:cs="Times New Roman"/>
        </w:rPr>
        <w:t xml:space="preserve"> was placed in jail and remained there throughout the duration of the trials. Parris never came to reclaim her, nor did he pay her jail fees to release her and send her off with anyone else. Tituba’s rights to legal and Christian doctrine were not enough to absolve her within the village. The intentional distance the Salem people placed between themselves and Tituba reveals how negatively and fearfully her race was regarded among the Puritans</w:t>
      </w:r>
      <w:r w:rsidR="009225B0">
        <w:rPr>
          <w:rFonts w:ascii="Times New Roman" w:hAnsi="Times New Roman" w:cs="Times New Roman"/>
        </w:rPr>
        <w:t>.</w:t>
      </w:r>
      <w:r w:rsidR="00F33DC1">
        <w:rPr>
          <w:rFonts w:ascii="Times New Roman" w:hAnsi="Times New Roman" w:cs="Times New Roman"/>
        </w:rPr>
        <w:t xml:space="preserve"> </w:t>
      </w:r>
    </w:p>
    <w:p w14:paraId="58B1001F" w14:textId="77777777" w:rsidR="005451E8" w:rsidRDefault="00C91138" w:rsidP="005451E8">
      <w:pPr>
        <w:spacing w:line="480" w:lineRule="auto"/>
        <w:ind w:left="2160" w:firstLine="720"/>
        <w:rPr>
          <w:rFonts w:ascii="Times New Roman" w:hAnsi="Times New Roman" w:cs="Times New Roman"/>
          <w:b/>
        </w:rPr>
      </w:pPr>
      <w:r w:rsidRPr="00C91138">
        <w:rPr>
          <w:rFonts w:ascii="Times New Roman" w:hAnsi="Times New Roman" w:cs="Times New Roman"/>
          <w:b/>
        </w:rPr>
        <w:t>V. Tituba’s Confession</w:t>
      </w:r>
    </w:p>
    <w:p w14:paraId="5E2F51F0" w14:textId="0700D1C1" w:rsidR="005E611E" w:rsidRDefault="005451E8" w:rsidP="005451E8">
      <w:pPr>
        <w:spacing w:line="480" w:lineRule="auto"/>
        <w:ind w:firstLine="720"/>
        <w:rPr>
          <w:rFonts w:ascii="Times New Roman" w:hAnsi="Times New Roman" w:cs="Times New Roman"/>
        </w:rPr>
      </w:pPr>
      <w:r>
        <w:rPr>
          <w:rFonts w:ascii="Times New Roman" w:hAnsi="Times New Roman" w:cs="Times New Roman"/>
        </w:rPr>
        <w:t xml:space="preserve">Puritan doctrine regarded </w:t>
      </w:r>
      <w:r w:rsidR="00310956">
        <w:rPr>
          <w:rFonts w:ascii="Times New Roman" w:hAnsi="Times New Roman" w:cs="Times New Roman"/>
        </w:rPr>
        <w:t>race and g</w:t>
      </w:r>
      <w:r>
        <w:rPr>
          <w:rFonts w:ascii="Times New Roman" w:hAnsi="Times New Roman" w:cs="Times New Roman"/>
        </w:rPr>
        <w:t>ender in a manner of strict expectation, fueled by both cultura</w:t>
      </w:r>
      <w:r w:rsidR="00ED68BA">
        <w:rPr>
          <w:rFonts w:ascii="Times New Roman" w:hAnsi="Times New Roman" w:cs="Times New Roman"/>
        </w:rPr>
        <w:t>l and religious norms. A</w:t>
      </w:r>
      <w:r w:rsidR="00AD5E5C">
        <w:rPr>
          <w:rFonts w:ascii="Times New Roman" w:hAnsi="Times New Roman" w:cs="Times New Roman"/>
        </w:rPr>
        <w:t>s an</w:t>
      </w:r>
      <w:r w:rsidR="007A169A">
        <w:rPr>
          <w:rFonts w:ascii="Times New Roman" w:hAnsi="Times New Roman" w:cs="Times New Roman"/>
        </w:rPr>
        <w:t xml:space="preserve"> Indian</w:t>
      </w:r>
      <w:r>
        <w:rPr>
          <w:rFonts w:ascii="Times New Roman" w:hAnsi="Times New Roman" w:cs="Times New Roman"/>
        </w:rPr>
        <w:t xml:space="preserve"> enslaved woman, these two features collided </w:t>
      </w:r>
      <w:r w:rsidR="00AD5E5C">
        <w:rPr>
          <w:rFonts w:ascii="Times New Roman" w:hAnsi="Times New Roman" w:cs="Times New Roman"/>
        </w:rPr>
        <w:t>in Tituba’s personhood. Th</w:t>
      </w:r>
      <w:r w:rsidR="00ED68BA">
        <w:rPr>
          <w:rFonts w:ascii="Times New Roman" w:hAnsi="Times New Roman" w:cs="Times New Roman"/>
        </w:rPr>
        <w:t xml:space="preserve">e </w:t>
      </w:r>
      <w:r>
        <w:rPr>
          <w:rFonts w:ascii="Times New Roman" w:hAnsi="Times New Roman" w:cs="Times New Roman"/>
        </w:rPr>
        <w:t xml:space="preserve">factors </w:t>
      </w:r>
      <w:r w:rsidR="00ED68BA">
        <w:rPr>
          <w:rFonts w:ascii="Times New Roman" w:hAnsi="Times New Roman" w:cs="Times New Roman"/>
        </w:rPr>
        <w:t xml:space="preserve">of her race and gender </w:t>
      </w:r>
      <w:r>
        <w:rPr>
          <w:rFonts w:ascii="Times New Roman" w:hAnsi="Times New Roman" w:cs="Times New Roman"/>
        </w:rPr>
        <w:t>rendered Tituba unremarkable; in</w:t>
      </w:r>
      <w:r w:rsidR="00ED68BA">
        <w:rPr>
          <w:rFonts w:ascii="Times New Roman" w:hAnsi="Times New Roman" w:cs="Times New Roman"/>
        </w:rPr>
        <w:t xml:space="preserve"> fact it was these factors</w:t>
      </w:r>
      <w:r>
        <w:rPr>
          <w:rFonts w:ascii="Times New Roman" w:hAnsi="Times New Roman" w:cs="Times New Roman"/>
        </w:rPr>
        <w:t xml:space="preserve"> that prescribed her to the lowest and most insignificant rung of Salem society. At the time of the trials, however, Tituba’s race and gender </w:t>
      </w:r>
      <w:r w:rsidR="00BF4535">
        <w:rPr>
          <w:rFonts w:ascii="Times New Roman" w:hAnsi="Times New Roman" w:cs="Times New Roman"/>
        </w:rPr>
        <w:t>became hugely important</w:t>
      </w:r>
      <w:r w:rsidR="007A169A">
        <w:rPr>
          <w:rFonts w:ascii="Times New Roman" w:hAnsi="Times New Roman" w:cs="Times New Roman"/>
        </w:rPr>
        <w:t xml:space="preserve">. Being an </w:t>
      </w:r>
      <w:r w:rsidR="00ED68BA">
        <w:rPr>
          <w:rFonts w:ascii="Times New Roman" w:hAnsi="Times New Roman" w:cs="Times New Roman"/>
        </w:rPr>
        <w:t>enslaved</w:t>
      </w:r>
      <w:r w:rsidR="007A169A">
        <w:rPr>
          <w:rFonts w:ascii="Times New Roman" w:hAnsi="Times New Roman" w:cs="Times New Roman"/>
        </w:rPr>
        <w:t xml:space="preserve"> Indian</w:t>
      </w:r>
      <w:r w:rsidR="00ED68BA">
        <w:rPr>
          <w:rFonts w:ascii="Times New Roman" w:hAnsi="Times New Roman" w:cs="Times New Roman"/>
        </w:rPr>
        <w:t xml:space="preserve"> woman, Tituba was a natural</w:t>
      </w:r>
      <w:r w:rsidR="00C67DD1">
        <w:rPr>
          <w:rFonts w:ascii="Times New Roman" w:hAnsi="Times New Roman" w:cs="Times New Roman"/>
        </w:rPr>
        <w:t>,</w:t>
      </w:r>
      <w:r w:rsidR="00ED68BA">
        <w:rPr>
          <w:rFonts w:ascii="Times New Roman" w:hAnsi="Times New Roman" w:cs="Times New Roman"/>
        </w:rPr>
        <w:t xml:space="preserve"> if not obvious choice to claim in partaking in the girls’ afflictions. </w:t>
      </w:r>
      <w:r w:rsidR="003A05F5">
        <w:rPr>
          <w:rFonts w:ascii="Times New Roman" w:hAnsi="Times New Roman" w:cs="Times New Roman"/>
        </w:rPr>
        <w:t>What had not been foreseen in accusing Tituba, was a confession. Tituba admitted guilt to partaking in witchcraft because her race and gender predisposed her to its practice. This assumed predisposition</w:t>
      </w:r>
      <w:r w:rsidR="0018441C">
        <w:rPr>
          <w:rFonts w:ascii="Times New Roman" w:hAnsi="Times New Roman" w:cs="Times New Roman"/>
        </w:rPr>
        <w:t>, based in her gender and race,</w:t>
      </w:r>
      <w:r w:rsidR="000945AE">
        <w:rPr>
          <w:rFonts w:ascii="Times New Roman" w:hAnsi="Times New Roman" w:cs="Times New Roman"/>
        </w:rPr>
        <w:t xml:space="preserve"> is what allowed and ultimately led to,</w:t>
      </w:r>
      <w:r w:rsidR="003A05F5">
        <w:rPr>
          <w:rFonts w:ascii="Times New Roman" w:hAnsi="Times New Roman" w:cs="Times New Roman"/>
        </w:rPr>
        <w:t xml:space="preserve"> Tituba</w:t>
      </w:r>
      <w:r w:rsidR="000945AE">
        <w:rPr>
          <w:rFonts w:ascii="Times New Roman" w:hAnsi="Times New Roman" w:cs="Times New Roman"/>
        </w:rPr>
        <w:t>’s confession</w:t>
      </w:r>
      <w:r w:rsidR="003A05F5">
        <w:rPr>
          <w:rFonts w:ascii="Times New Roman" w:hAnsi="Times New Roman" w:cs="Times New Roman"/>
        </w:rPr>
        <w:t xml:space="preserve">. </w:t>
      </w:r>
    </w:p>
    <w:p w14:paraId="71D1A4F7" w14:textId="7AF884E8" w:rsidR="007B5B35" w:rsidRDefault="007B5B35" w:rsidP="007B5B35">
      <w:pPr>
        <w:spacing w:line="480" w:lineRule="auto"/>
        <w:ind w:firstLine="720"/>
        <w:rPr>
          <w:rFonts w:ascii="Times New Roman" w:hAnsi="Times New Roman" w:cs="Times New Roman"/>
        </w:rPr>
      </w:pPr>
      <w:r>
        <w:rPr>
          <w:rFonts w:ascii="Times New Roman" w:hAnsi="Times New Roman" w:cs="Times New Roman"/>
        </w:rPr>
        <w:t>T</w:t>
      </w:r>
      <w:r w:rsidRPr="00421093">
        <w:rPr>
          <w:rFonts w:ascii="Times New Roman" w:hAnsi="Times New Roman" w:cs="Times New Roman"/>
        </w:rPr>
        <w:t xml:space="preserve">ituba’s </w:t>
      </w:r>
      <w:r w:rsidR="00931F9A">
        <w:rPr>
          <w:rFonts w:ascii="Times New Roman" w:hAnsi="Times New Roman" w:cs="Times New Roman"/>
        </w:rPr>
        <w:t xml:space="preserve">first </w:t>
      </w:r>
      <w:r>
        <w:rPr>
          <w:rFonts w:ascii="Times New Roman" w:hAnsi="Times New Roman" w:cs="Times New Roman"/>
        </w:rPr>
        <w:t>official examination took place on March 1</w:t>
      </w:r>
      <w:r w:rsidRPr="00421093">
        <w:rPr>
          <w:rFonts w:ascii="Times New Roman" w:hAnsi="Times New Roman" w:cs="Times New Roman"/>
          <w:vertAlign w:val="superscript"/>
        </w:rPr>
        <w:t>st</w:t>
      </w:r>
      <w:r>
        <w:rPr>
          <w:rFonts w:ascii="Times New Roman" w:hAnsi="Times New Roman" w:cs="Times New Roman"/>
        </w:rPr>
        <w:t xml:space="preserve">. </w:t>
      </w:r>
      <w:r w:rsidR="00982CC9">
        <w:rPr>
          <w:rFonts w:ascii="Times New Roman" w:hAnsi="Times New Roman" w:cs="Times New Roman"/>
        </w:rPr>
        <w:t xml:space="preserve">It is clear from the rhetoric of the questioning that her guilt is already assumed. </w:t>
      </w:r>
      <w:r w:rsidR="004C22E8">
        <w:rPr>
          <w:rFonts w:ascii="Times New Roman" w:hAnsi="Times New Roman" w:cs="Times New Roman"/>
        </w:rPr>
        <w:t xml:space="preserve">Hathorne begins by asking </w:t>
      </w:r>
      <w:r w:rsidR="004C22E8">
        <w:rPr>
          <w:rFonts w:ascii="Times New Roman" w:hAnsi="Times New Roman" w:cs="Times New Roman"/>
        </w:rPr>
        <w:lastRenderedPageBreak/>
        <w:t>her, “Titibe what evil spirit have you familiarity with…why do you hurt these children?”</w:t>
      </w:r>
      <w:r w:rsidR="00931F9A">
        <w:rPr>
          <w:rFonts w:ascii="Times New Roman" w:hAnsi="Times New Roman" w:cs="Times New Roman"/>
        </w:rPr>
        <w:t xml:space="preserve"> What is significant to note is that Tituba does not immediately concede to her guilt. In response to these first two questions, she responds with, “None [evil spirit do I have </w:t>
      </w:r>
      <w:r w:rsidR="00D9688D">
        <w:rPr>
          <w:rFonts w:ascii="Times New Roman" w:hAnsi="Times New Roman" w:cs="Times New Roman"/>
        </w:rPr>
        <w:t>familiarity</w:t>
      </w:r>
      <w:r w:rsidR="00931F9A">
        <w:rPr>
          <w:rFonts w:ascii="Times New Roman" w:hAnsi="Times New Roman" w:cs="Times New Roman"/>
        </w:rPr>
        <w:t xml:space="preserve"> with]…I do not hurt them [the children].”</w:t>
      </w:r>
      <w:r w:rsidR="00CC3138">
        <w:rPr>
          <w:rFonts w:ascii="Times New Roman" w:hAnsi="Times New Roman" w:cs="Times New Roman"/>
        </w:rPr>
        <w:t xml:space="preserve"> </w:t>
      </w:r>
      <w:r w:rsidR="005E1284">
        <w:rPr>
          <w:rFonts w:ascii="Times New Roman" w:hAnsi="Times New Roman" w:cs="Times New Roman"/>
        </w:rPr>
        <w:t xml:space="preserve">The exchange following her denial presents </w:t>
      </w:r>
      <w:r w:rsidR="00312A75">
        <w:rPr>
          <w:rFonts w:ascii="Times New Roman" w:hAnsi="Times New Roman" w:cs="Times New Roman"/>
        </w:rPr>
        <w:t xml:space="preserve">a shift in the examination. </w:t>
      </w:r>
      <w:r w:rsidR="005E1284">
        <w:rPr>
          <w:rFonts w:ascii="Times New Roman" w:hAnsi="Times New Roman" w:cs="Times New Roman"/>
        </w:rPr>
        <w:t xml:space="preserve">Tituba </w:t>
      </w:r>
      <w:r w:rsidR="00D9688D">
        <w:rPr>
          <w:rFonts w:ascii="Times New Roman" w:hAnsi="Times New Roman" w:cs="Times New Roman"/>
        </w:rPr>
        <w:t>acknowledges the possibility of Satan’s</w:t>
      </w:r>
      <w:r w:rsidR="005E1284">
        <w:rPr>
          <w:rFonts w:ascii="Times New Roman" w:hAnsi="Times New Roman" w:cs="Times New Roman"/>
        </w:rPr>
        <w:t xml:space="preserve"> involvement in the girls’ affliction without altogether indicting herself</w:t>
      </w:r>
      <w:r w:rsidR="00312A75">
        <w:rPr>
          <w:rFonts w:ascii="Times New Roman" w:hAnsi="Times New Roman" w:cs="Times New Roman"/>
        </w:rPr>
        <w:t xml:space="preserve"> guilty of being responsible</w:t>
      </w:r>
      <w:r w:rsidR="005E1284">
        <w:rPr>
          <w:rFonts w:ascii="Times New Roman" w:hAnsi="Times New Roman" w:cs="Times New Roman"/>
        </w:rPr>
        <w:t>. When asked by Hathorne, “Who is it then [that hurts the children],” Tituba responds, “</w:t>
      </w:r>
      <w:r w:rsidR="00CC3138">
        <w:rPr>
          <w:rFonts w:ascii="Times New Roman" w:hAnsi="Times New Roman" w:cs="Times New Roman"/>
        </w:rPr>
        <w:t>The devil for ought I know.”</w:t>
      </w:r>
      <w:r w:rsidR="00B524D1">
        <w:rPr>
          <w:rFonts w:ascii="Times New Roman" w:hAnsi="Times New Roman" w:cs="Times New Roman"/>
        </w:rPr>
        <w:t xml:space="preserve"> It is after this suggestion that Tituba confesses to Hathorne that “The devil came to me and bid me serve him.”</w:t>
      </w:r>
      <w:r w:rsidR="00B524D1">
        <w:rPr>
          <w:rStyle w:val="FootnoteReference"/>
          <w:rFonts w:ascii="Times New Roman" w:hAnsi="Times New Roman" w:cs="Times New Roman"/>
        </w:rPr>
        <w:footnoteReference w:id="45"/>
      </w:r>
      <w:r w:rsidR="00B524D1">
        <w:rPr>
          <w:rFonts w:ascii="Times New Roman" w:hAnsi="Times New Roman" w:cs="Times New Roman"/>
        </w:rPr>
        <w:t xml:space="preserve"> </w:t>
      </w:r>
      <w:r w:rsidR="001E1B1A">
        <w:rPr>
          <w:rFonts w:ascii="Times New Roman" w:hAnsi="Times New Roman" w:cs="Times New Roman"/>
        </w:rPr>
        <w:t xml:space="preserve">From this, it is discernible that Tituba’s initial </w:t>
      </w:r>
      <w:r w:rsidR="00C85A43">
        <w:rPr>
          <w:rFonts w:ascii="Times New Roman" w:hAnsi="Times New Roman" w:cs="Times New Roman"/>
        </w:rPr>
        <w:t>response</w:t>
      </w:r>
      <w:r w:rsidR="001E1B1A">
        <w:rPr>
          <w:rFonts w:ascii="Times New Roman" w:hAnsi="Times New Roman" w:cs="Times New Roman"/>
        </w:rPr>
        <w:t xml:space="preserve"> to th</w:t>
      </w:r>
      <w:r w:rsidR="00C85A43">
        <w:rPr>
          <w:rFonts w:ascii="Times New Roman" w:hAnsi="Times New Roman" w:cs="Times New Roman"/>
        </w:rPr>
        <w:t xml:space="preserve">e examination was not one of prompted confession, but rather of denial. It is only after she voluntarily concedes to the possibility of the devil’s involvement in the girls’ affliction that Tituba offers a confession of her own guilt. </w:t>
      </w:r>
    </w:p>
    <w:p w14:paraId="0D000920" w14:textId="3170D4A0" w:rsidR="00D26C53" w:rsidRDefault="00B01E77" w:rsidP="007B5B35">
      <w:pPr>
        <w:spacing w:line="480" w:lineRule="auto"/>
        <w:ind w:firstLine="720"/>
        <w:rPr>
          <w:rFonts w:ascii="Times New Roman" w:hAnsi="Times New Roman" w:cs="Times New Roman"/>
        </w:rPr>
      </w:pPr>
      <w:r>
        <w:rPr>
          <w:rFonts w:ascii="Times New Roman" w:hAnsi="Times New Roman" w:cs="Times New Roman"/>
        </w:rPr>
        <w:t>It is natural to understand the likely fear Tituba, and all the accused, faced throughout</w:t>
      </w:r>
      <w:r w:rsidR="004142C6">
        <w:rPr>
          <w:rFonts w:ascii="Times New Roman" w:hAnsi="Times New Roman" w:cs="Times New Roman"/>
        </w:rPr>
        <w:t xml:space="preserve"> their examinations; the sort of fear that could illicit staunch refutation or desperate </w:t>
      </w:r>
      <w:r w:rsidR="004142C6" w:rsidRPr="004142C6">
        <w:rPr>
          <w:rFonts w:ascii="Times New Roman" w:hAnsi="Times New Roman" w:cs="Times New Roman"/>
        </w:rPr>
        <w:t>concession</w:t>
      </w:r>
      <w:r w:rsidR="004142C6">
        <w:rPr>
          <w:rFonts w:ascii="Times New Roman" w:hAnsi="Times New Roman" w:cs="Times New Roman"/>
        </w:rPr>
        <w:t xml:space="preserve">. </w:t>
      </w:r>
      <w:r w:rsidR="004A513F">
        <w:rPr>
          <w:rFonts w:ascii="Times New Roman" w:hAnsi="Times New Roman" w:cs="Times New Roman"/>
        </w:rPr>
        <w:t xml:space="preserve">In the case of Sarah Good and Sarah Osborne, </w:t>
      </w:r>
      <w:r w:rsidR="00B86E8F">
        <w:rPr>
          <w:rFonts w:ascii="Times New Roman" w:hAnsi="Times New Roman" w:cs="Times New Roman"/>
        </w:rPr>
        <w:t xml:space="preserve">who were </w:t>
      </w:r>
      <w:r w:rsidR="004A513F">
        <w:rPr>
          <w:rFonts w:ascii="Times New Roman" w:hAnsi="Times New Roman" w:cs="Times New Roman"/>
        </w:rPr>
        <w:t xml:space="preserve">examined before Tituba, </w:t>
      </w:r>
      <w:r w:rsidR="000F73F2">
        <w:rPr>
          <w:rFonts w:ascii="Times New Roman" w:hAnsi="Times New Roman" w:cs="Times New Roman"/>
        </w:rPr>
        <w:t>both women v</w:t>
      </w:r>
      <w:r w:rsidR="00C11244">
        <w:rPr>
          <w:rFonts w:ascii="Times New Roman" w:hAnsi="Times New Roman" w:cs="Times New Roman"/>
        </w:rPr>
        <w:t>ehemently denied their charges, though they acknowledged the likelihood of the devil’</w:t>
      </w:r>
      <w:r w:rsidR="0061400F">
        <w:rPr>
          <w:rFonts w:ascii="Times New Roman" w:hAnsi="Times New Roman" w:cs="Times New Roman"/>
        </w:rPr>
        <w:t>s work</w:t>
      </w:r>
      <w:r w:rsidR="00C11244">
        <w:rPr>
          <w:rFonts w:ascii="Times New Roman" w:hAnsi="Times New Roman" w:cs="Times New Roman"/>
        </w:rPr>
        <w:t xml:space="preserve"> being present within Salem. </w:t>
      </w:r>
      <w:r w:rsidR="00F0440B">
        <w:rPr>
          <w:rFonts w:ascii="Times New Roman" w:hAnsi="Times New Roman" w:cs="Times New Roman"/>
        </w:rPr>
        <w:t>Tituba does the same early in her examination by ref</w:t>
      </w:r>
      <w:r w:rsidR="00DE5417">
        <w:rPr>
          <w:rFonts w:ascii="Times New Roman" w:hAnsi="Times New Roman" w:cs="Times New Roman"/>
        </w:rPr>
        <w:t xml:space="preserve">uting her guilt. There is a shift after her </w:t>
      </w:r>
      <w:r w:rsidR="003E1A6F">
        <w:rPr>
          <w:rFonts w:ascii="Times New Roman" w:hAnsi="Times New Roman" w:cs="Times New Roman"/>
        </w:rPr>
        <w:t>acknowledgement of the possible presence of the devil, however. Unlike her predecessors</w:t>
      </w:r>
      <w:r w:rsidR="001A6FCC">
        <w:rPr>
          <w:rFonts w:ascii="Times New Roman" w:hAnsi="Times New Roman" w:cs="Times New Roman"/>
        </w:rPr>
        <w:t xml:space="preserve"> Good and Osborne, </w:t>
      </w:r>
      <w:r w:rsidR="0093733F">
        <w:rPr>
          <w:rFonts w:ascii="Times New Roman" w:hAnsi="Times New Roman" w:cs="Times New Roman"/>
        </w:rPr>
        <w:t xml:space="preserve">Tituba admits she bid herself to the devil after he approached her. </w:t>
      </w:r>
      <w:r w:rsidR="008E398E">
        <w:rPr>
          <w:rFonts w:ascii="Times New Roman" w:hAnsi="Times New Roman" w:cs="Times New Roman"/>
        </w:rPr>
        <w:t xml:space="preserve">In the instance of her confession, therefore, Tituba </w:t>
      </w:r>
      <w:r w:rsidR="008D7742">
        <w:rPr>
          <w:rFonts w:ascii="Times New Roman" w:hAnsi="Times New Roman" w:cs="Times New Roman"/>
        </w:rPr>
        <w:t xml:space="preserve">used her </w:t>
      </w:r>
      <w:r w:rsidR="008D7742">
        <w:rPr>
          <w:rFonts w:ascii="Times New Roman" w:hAnsi="Times New Roman" w:cs="Times New Roman"/>
        </w:rPr>
        <w:lastRenderedPageBreak/>
        <w:t>predisposition to partake in witchcraft to her advantage. As her guilt was clearly assu</w:t>
      </w:r>
      <w:r w:rsidR="00C0493C">
        <w:rPr>
          <w:rFonts w:ascii="Times New Roman" w:hAnsi="Times New Roman" w:cs="Times New Roman"/>
        </w:rPr>
        <w:t xml:space="preserve">med by her questioners, </w:t>
      </w:r>
      <w:r w:rsidR="008D7742">
        <w:rPr>
          <w:rFonts w:ascii="Times New Roman" w:hAnsi="Times New Roman" w:cs="Times New Roman"/>
        </w:rPr>
        <w:t xml:space="preserve">rather than attempting to </w:t>
      </w:r>
      <w:r w:rsidR="00FD3A9A">
        <w:rPr>
          <w:rFonts w:ascii="Times New Roman" w:hAnsi="Times New Roman" w:cs="Times New Roman"/>
        </w:rPr>
        <w:t xml:space="preserve">fight what was deemed an obvious and likely charge, </w:t>
      </w:r>
      <w:r w:rsidR="00C0493C">
        <w:rPr>
          <w:rFonts w:ascii="Times New Roman" w:hAnsi="Times New Roman" w:cs="Times New Roman"/>
        </w:rPr>
        <w:t xml:space="preserve">Tituba </w:t>
      </w:r>
      <w:r w:rsidR="00FD3A9A">
        <w:rPr>
          <w:rFonts w:ascii="Times New Roman" w:hAnsi="Times New Roman" w:cs="Times New Roman"/>
        </w:rPr>
        <w:t xml:space="preserve">admitted to partaking in witchcraft. </w:t>
      </w:r>
    </w:p>
    <w:p w14:paraId="5099BC8A" w14:textId="72ACE3CD" w:rsidR="00C0493C" w:rsidRDefault="002C14E9" w:rsidP="007B5B35">
      <w:pPr>
        <w:spacing w:line="480" w:lineRule="auto"/>
        <w:ind w:firstLine="720"/>
        <w:rPr>
          <w:rFonts w:ascii="Times New Roman" w:hAnsi="Times New Roman" w:cs="Times New Roman"/>
        </w:rPr>
      </w:pPr>
      <w:r>
        <w:rPr>
          <w:rFonts w:ascii="Times New Roman" w:hAnsi="Times New Roman" w:cs="Times New Roman"/>
        </w:rPr>
        <w:t>With both race and gender stacked against her in an assumed association with witchcraft, Tituba’s confession is</w:t>
      </w:r>
      <w:r w:rsidR="00B6104F">
        <w:rPr>
          <w:rFonts w:ascii="Times New Roman" w:hAnsi="Times New Roman" w:cs="Times New Roman"/>
        </w:rPr>
        <w:t xml:space="preserve"> entirely </w:t>
      </w:r>
      <w:r w:rsidR="00B6104F" w:rsidRPr="00B6104F">
        <w:rPr>
          <w:rFonts w:ascii="Times New Roman" w:hAnsi="Times New Roman" w:cs="Times New Roman"/>
        </w:rPr>
        <w:t>reasonable</w:t>
      </w:r>
      <w:r w:rsidR="00B6104F">
        <w:rPr>
          <w:rFonts w:ascii="Times New Roman" w:hAnsi="Times New Roman" w:cs="Times New Roman"/>
        </w:rPr>
        <w:t xml:space="preserve">. </w:t>
      </w:r>
      <w:r w:rsidR="009B02E5">
        <w:rPr>
          <w:rFonts w:ascii="Times New Roman" w:hAnsi="Times New Roman" w:cs="Times New Roman"/>
        </w:rPr>
        <w:t xml:space="preserve">Unlike her fellow accused, Tituba was both female and Indian. </w:t>
      </w:r>
      <w:r w:rsidR="00E43B6B">
        <w:rPr>
          <w:rFonts w:ascii="Times New Roman" w:hAnsi="Times New Roman" w:cs="Times New Roman"/>
        </w:rPr>
        <w:t xml:space="preserve">To </w:t>
      </w:r>
      <w:r w:rsidR="00A35F55">
        <w:rPr>
          <w:rFonts w:ascii="Times New Roman" w:hAnsi="Times New Roman" w:cs="Times New Roman"/>
        </w:rPr>
        <w:t>attempt</w:t>
      </w:r>
      <w:r w:rsidR="00E43B6B">
        <w:rPr>
          <w:rFonts w:ascii="Times New Roman" w:hAnsi="Times New Roman" w:cs="Times New Roman"/>
        </w:rPr>
        <w:t xml:space="preserve"> to insist on her innocence would have been to challenge deeply rooted Puritan beliefs. </w:t>
      </w:r>
      <w:r w:rsidR="00211323">
        <w:rPr>
          <w:rFonts w:ascii="Times New Roman" w:hAnsi="Times New Roman" w:cs="Times New Roman"/>
        </w:rPr>
        <w:t xml:space="preserve">Such a fight </w:t>
      </w:r>
      <w:r w:rsidR="00F134F8">
        <w:rPr>
          <w:rFonts w:ascii="Times New Roman" w:hAnsi="Times New Roman" w:cs="Times New Roman"/>
        </w:rPr>
        <w:t xml:space="preserve">would prove difficult enough if against one factor of Puritan culture; however Tituba’s refutation would work against Puritan doctrine pertaining to both gender and race. </w:t>
      </w:r>
    </w:p>
    <w:p w14:paraId="556AB7A9" w14:textId="5BB5CC7A" w:rsidR="00D26C53" w:rsidRDefault="00D60D9F" w:rsidP="009C7B97">
      <w:pPr>
        <w:spacing w:line="480" w:lineRule="auto"/>
        <w:ind w:firstLine="720"/>
        <w:rPr>
          <w:rFonts w:ascii="Times New Roman" w:hAnsi="Times New Roman" w:cs="Times New Roman"/>
        </w:rPr>
      </w:pPr>
      <w:r>
        <w:rPr>
          <w:rFonts w:ascii="Times New Roman" w:hAnsi="Times New Roman" w:cs="Times New Roman"/>
        </w:rPr>
        <w:t xml:space="preserve">Consideration of the examinations of others accused allows us to fully understand the significance of Tituba’s confession, and how the factors of her race and gender proved so significant in her admission. </w:t>
      </w:r>
      <w:r w:rsidR="002B74BC">
        <w:rPr>
          <w:rFonts w:ascii="Times New Roman" w:hAnsi="Times New Roman" w:cs="Times New Roman"/>
        </w:rPr>
        <w:t>The examination of a</w:t>
      </w:r>
      <w:r>
        <w:rPr>
          <w:rFonts w:ascii="Times New Roman" w:hAnsi="Times New Roman" w:cs="Times New Roman"/>
        </w:rPr>
        <w:t>nother slave woman, by the name of Candy, proves a suitable place to start. Candy served in the household of Margaret Hawkes and was examined on July 4, 1692.</w:t>
      </w:r>
      <w:r>
        <w:rPr>
          <w:rStyle w:val="FootnoteReference"/>
          <w:rFonts w:ascii="Times New Roman" w:hAnsi="Times New Roman" w:cs="Times New Roman"/>
        </w:rPr>
        <w:footnoteReference w:id="46"/>
      </w:r>
      <w:r>
        <w:rPr>
          <w:rFonts w:ascii="Times New Roman" w:hAnsi="Times New Roman" w:cs="Times New Roman"/>
        </w:rPr>
        <w:t xml:space="preserve"> The time of Candy’</w:t>
      </w:r>
      <w:r w:rsidR="000962FB">
        <w:rPr>
          <w:rFonts w:ascii="Times New Roman" w:hAnsi="Times New Roman" w:cs="Times New Roman"/>
        </w:rPr>
        <w:t>s testimony</w:t>
      </w:r>
      <w:r>
        <w:rPr>
          <w:rFonts w:ascii="Times New Roman" w:hAnsi="Times New Roman" w:cs="Times New Roman"/>
        </w:rPr>
        <w:t xml:space="preserve"> is long after Tituba’s confession on March 1</w:t>
      </w:r>
      <w:r w:rsidRPr="00D60D9F">
        <w:rPr>
          <w:rFonts w:ascii="Times New Roman" w:hAnsi="Times New Roman" w:cs="Times New Roman"/>
          <w:vertAlign w:val="superscript"/>
        </w:rPr>
        <w:t>st</w:t>
      </w:r>
      <w:r>
        <w:rPr>
          <w:rFonts w:ascii="Times New Roman" w:hAnsi="Times New Roman" w:cs="Times New Roman"/>
        </w:rPr>
        <w:t xml:space="preserve">—a substantial thing to consider. By the time of Candy’s questioning, </w:t>
      </w:r>
      <w:r w:rsidR="00D92038">
        <w:rPr>
          <w:rFonts w:ascii="Times New Roman" w:hAnsi="Times New Roman" w:cs="Times New Roman"/>
        </w:rPr>
        <w:t xml:space="preserve">one person had already been tried and hanged for witchcraft, while five others had been found guilty and awaited execution. Countless others had been accused and were imprisoned </w:t>
      </w:r>
      <w:r w:rsidR="00D66028">
        <w:rPr>
          <w:rFonts w:ascii="Times New Roman" w:hAnsi="Times New Roman" w:cs="Times New Roman"/>
        </w:rPr>
        <w:t xml:space="preserve">on account of such </w:t>
      </w:r>
      <w:r w:rsidR="00D92038">
        <w:rPr>
          <w:rFonts w:ascii="Times New Roman" w:hAnsi="Times New Roman" w:cs="Times New Roman"/>
        </w:rPr>
        <w:t>accusations.</w:t>
      </w:r>
      <w:r w:rsidR="00D92038">
        <w:rPr>
          <w:rStyle w:val="FootnoteReference"/>
          <w:rFonts w:ascii="Times New Roman" w:hAnsi="Times New Roman" w:cs="Times New Roman"/>
        </w:rPr>
        <w:footnoteReference w:id="47"/>
      </w:r>
      <w:r w:rsidR="00D92038">
        <w:rPr>
          <w:rFonts w:ascii="Times New Roman" w:hAnsi="Times New Roman" w:cs="Times New Roman"/>
        </w:rPr>
        <w:t xml:space="preserve"> </w:t>
      </w:r>
      <w:r w:rsidR="00276FA4">
        <w:rPr>
          <w:rFonts w:ascii="Times New Roman" w:hAnsi="Times New Roman" w:cs="Times New Roman"/>
        </w:rPr>
        <w:t>Likely prompted by t</w:t>
      </w:r>
      <w:r w:rsidR="009C7B97">
        <w:rPr>
          <w:rFonts w:ascii="Times New Roman" w:hAnsi="Times New Roman" w:cs="Times New Roman"/>
        </w:rPr>
        <w:t>he growing panic in the village</w:t>
      </w:r>
      <w:r w:rsidR="00276FA4">
        <w:rPr>
          <w:rFonts w:ascii="Times New Roman" w:hAnsi="Times New Roman" w:cs="Times New Roman"/>
        </w:rPr>
        <w:t xml:space="preserve"> and the occurrence of executions, Candy quickly confesses to being a witch. Her </w:t>
      </w:r>
      <w:r w:rsidR="009D2530">
        <w:rPr>
          <w:rFonts w:ascii="Times New Roman" w:hAnsi="Times New Roman" w:cs="Times New Roman"/>
        </w:rPr>
        <w:t xml:space="preserve">examination reveals </w:t>
      </w:r>
      <w:r w:rsidR="009C7B97">
        <w:rPr>
          <w:rFonts w:ascii="Times New Roman" w:hAnsi="Times New Roman" w:cs="Times New Roman"/>
        </w:rPr>
        <w:t xml:space="preserve">that </w:t>
      </w:r>
      <w:r w:rsidR="009D2530">
        <w:rPr>
          <w:rFonts w:ascii="Times New Roman" w:hAnsi="Times New Roman" w:cs="Times New Roman"/>
        </w:rPr>
        <w:t>element</w:t>
      </w:r>
      <w:r w:rsidR="009C7B97">
        <w:rPr>
          <w:rFonts w:ascii="Times New Roman" w:hAnsi="Times New Roman" w:cs="Times New Roman"/>
        </w:rPr>
        <w:t>s of her cultural makeup were, like in the case of Tituba,</w:t>
      </w:r>
      <w:r w:rsidR="009D2530">
        <w:rPr>
          <w:rFonts w:ascii="Times New Roman" w:hAnsi="Times New Roman" w:cs="Times New Roman"/>
        </w:rPr>
        <w:t xml:space="preserve"> significant to her </w:t>
      </w:r>
      <w:r w:rsidR="009D2530">
        <w:rPr>
          <w:rFonts w:ascii="Times New Roman" w:hAnsi="Times New Roman" w:cs="Times New Roman"/>
        </w:rPr>
        <w:lastRenderedPageBreak/>
        <w:t>ass</w:t>
      </w:r>
      <w:r w:rsidR="004050AE">
        <w:rPr>
          <w:rFonts w:ascii="Times New Roman" w:hAnsi="Times New Roman" w:cs="Times New Roman"/>
        </w:rPr>
        <w:t>umed guilt. Like Tituba, Candy was a slave woman from Barbados and</w:t>
      </w:r>
      <w:r w:rsidR="009D2530">
        <w:rPr>
          <w:rFonts w:ascii="Times New Roman" w:hAnsi="Times New Roman" w:cs="Times New Roman"/>
        </w:rPr>
        <w:t xml:space="preserve"> was</w:t>
      </w:r>
      <w:r w:rsidR="004050AE">
        <w:rPr>
          <w:rFonts w:ascii="Times New Roman" w:hAnsi="Times New Roman" w:cs="Times New Roman"/>
        </w:rPr>
        <w:t xml:space="preserve"> </w:t>
      </w:r>
      <w:r w:rsidR="00A35F55">
        <w:rPr>
          <w:rFonts w:ascii="Times New Roman" w:hAnsi="Times New Roman" w:cs="Times New Roman"/>
        </w:rPr>
        <w:t>thus associated</w:t>
      </w:r>
      <w:r w:rsidR="009D2530">
        <w:rPr>
          <w:rFonts w:ascii="Times New Roman" w:hAnsi="Times New Roman" w:cs="Times New Roman"/>
        </w:rPr>
        <w:t xml:space="preserve"> with the practice of witchcraft. Candy acknowledges this, but references her former home as a place wherein she was innocent. She instead insists </w:t>
      </w:r>
      <w:r w:rsidR="004050AE">
        <w:rPr>
          <w:rFonts w:ascii="Times New Roman" w:hAnsi="Times New Roman" w:cs="Times New Roman"/>
        </w:rPr>
        <w:t xml:space="preserve">that </w:t>
      </w:r>
      <w:r w:rsidR="009D2530">
        <w:rPr>
          <w:rFonts w:ascii="Times New Roman" w:hAnsi="Times New Roman" w:cs="Times New Roman"/>
        </w:rPr>
        <w:t>her practice in witchcraft only occurred after she was brought to Salem. Candy implores, “</w:t>
      </w:r>
      <w:r w:rsidR="009D2530" w:rsidRPr="009D2530">
        <w:rPr>
          <w:rFonts w:ascii="Times New Roman" w:hAnsi="Times New Roman" w:cs="Times New Roman"/>
        </w:rPr>
        <w:t xml:space="preserve">Candy no witch in her country. Candy's </w:t>
      </w:r>
      <w:r w:rsidR="009D2530">
        <w:rPr>
          <w:rFonts w:ascii="Times New Roman" w:hAnsi="Times New Roman" w:cs="Times New Roman"/>
        </w:rPr>
        <w:t>mother no witch. Candy no witch in</w:t>
      </w:r>
      <w:r w:rsidR="009D2530" w:rsidRPr="009D2530">
        <w:rPr>
          <w:rFonts w:ascii="Times New Roman" w:hAnsi="Times New Roman" w:cs="Times New Roman"/>
        </w:rPr>
        <w:t xml:space="preserve"> Barbados. This country, mistress give Candy witch.</w:t>
      </w:r>
      <w:r w:rsidR="009D2530">
        <w:rPr>
          <w:rFonts w:ascii="Times New Roman" w:hAnsi="Times New Roman" w:cs="Times New Roman"/>
        </w:rPr>
        <w:t>”</w:t>
      </w:r>
      <w:r w:rsidR="009D2530">
        <w:rPr>
          <w:rStyle w:val="FootnoteReference"/>
          <w:rFonts w:ascii="Times New Roman" w:hAnsi="Times New Roman" w:cs="Times New Roman"/>
        </w:rPr>
        <w:footnoteReference w:id="48"/>
      </w:r>
      <w:r w:rsidR="00003733">
        <w:rPr>
          <w:rFonts w:ascii="Times New Roman" w:hAnsi="Times New Roman" w:cs="Times New Roman"/>
        </w:rPr>
        <w:t xml:space="preserve"> Candy’s examination differs from Tituba’s in that she confesses to being a witch almost immediately, without offering any sort of initial denial. </w:t>
      </w:r>
      <w:r w:rsidR="002E48F0">
        <w:rPr>
          <w:rFonts w:ascii="Times New Roman" w:hAnsi="Times New Roman" w:cs="Times New Roman"/>
        </w:rPr>
        <w:t xml:space="preserve">In light of the scheduled executions for those deemed guilty, it is anything but surprising that Candy offered her confession so willingly. </w:t>
      </w:r>
      <w:r w:rsidR="00081ACD">
        <w:rPr>
          <w:rFonts w:ascii="Times New Roman" w:hAnsi="Times New Roman" w:cs="Times New Roman"/>
        </w:rPr>
        <w:t>By the time of her examination, the pattern had been set</w:t>
      </w:r>
      <w:r w:rsidR="00E53674">
        <w:rPr>
          <w:rFonts w:ascii="Times New Roman" w:hAnsi="Times New Roman" w:cs="Times New Roman"/>
        </w:rPr>
        <w:t>, wherein confessors were granted</w:t>
      </w:r>
      <w:r w:rsidR="00081ACD">
        <w:rPr>
          <w:rFonts w:ascii="Times New Roman" w:hAnsi="Times New Roman" w:cs="Times New Roman"/>
        </w:rPr>
        <w:t xml:space="preserve"> their lives and those who denied their charges were met with the </w:t>
      </w:r>
      <w:r w:rsidR="0039174D">
        <w:rPr>
          <w:rFonts w:ascii="Times New Roman" w:hAnsi="Times New Roman" w:cs="Times New Roman"/>
        </w:rPr>
        <w:t xml:space="preserve">promise of the </w:t>
      </w:r>
      <w:r w:rsidR="00081ACD">
        <w:rPr>
          <w:rFonts w:ascii="Times New Roman" w:hAnsi="Times New Roman" w:cs="Times New Roman"/>
        </w:rPr>
        <w:t xml:space="preserve">noose. </w:t>
      </w:r>
      <w:r w:rsidR="00FE6752">
        <w:rPr>
          <w:rFonts w:ascii="Times New Roman" w:hAnsi="Times New Roman" w:cs="Times New Roman"/>
        </w:rPr>
        <w:t xml:space="preserve">Following her testimony, Candy was declared not guilty of her charges. </w:t>
      </w:r>
    </w:p>
    <w:p w14:paraId="09B2CB91" w14:textId="41A0F310" w:rsidR="00E0493E" w:rsidRDefault="00E53674" w:rsidP="00901981">
      <w:pPr>
        <w:spacing w:line="480" w:lineRule="auto"/>
        <w:ind w:firstLine="720"/>
        <w:rPr>
          <w:rFonts w:ascii="Times New Roman" w:hAnsi="Times New Roman" w:cs="Times New Roman"/>
        </w:rPr>
      </w:pPr>
      <w:r>
        <w:rPr>
          <w:rFonts w:ascii="Times New Roman" w:hAnsi="Times New Roman" w:cs="Times New Roman"/>
        </w:rPr>
        <w:t xml:space="preserve">Candy’s examination reveals how cultural assumptions pertaining to slaves proved significant in witch accusations. Both Candy and Tituba were perceived by their Salem accusers as </w:t>
      </w:r>
      <w:r w:rsidR="00FE6752">
        <w:rPr>
          <w:rFonts w:ascii="Times New Roman" w:hAnsi="Times New Roman" w:cs="Times New Roman"/>
        </w:rPr>
        <w:t xml:space="preserve">potential partakers of witchcraft on account of their cultural, ethnic and racial makeup. </w:t>
      </w:r>
      <w:r w:rsidR="00796912">
        <w:rPr>
          <w:rFonts w:ascii="Times New Roman" w:hAnsi="Times New Roman" w:cs="Times New Roman"/>
        </w:rPr>
        <w:t>Observe that Candy is specifically described as “Negro” in her court proceed</w:t>
      </w:r>
      <w:r w:rsidR="00901981">
        <w:rPr>
          <w:rFonts w:ascii="Times New Roman" w:hAnsi="Times New Roman" w:cs="Times New Roman"/>
        </w:rPr>
        <w:t xml:space="preserve">ings, while Tituba is </w:t>
      </w:r>
      <w:r w:rsidR="00796912">
        <w:rPr>
          <w:rFonts w:ascii="Times New Roman" w:hAnsi="Times New Roman" w:cs="Times New Roman"/>
        </w:rPr>
        <w:t xml:space="preserve">noted as Indian. </w:t>
      </w:r>
      <w:r w:rsidR="00901981">
        <w:rPr>
          <w:rFonts w:ascii="Times New Roman" w:hAnsi="Times New Roman" w:cs="Times New Roman"/>
        </w:rPr>
        <w:t xml:space="preserve">While racial identities were at this time, fluid concepts, both women were still condemned due to their presumed association with dark magic. Their shared experience of living in Barbados was equally damning. </w:t>
      </w:r>
      <w:r w:rsidR="00043020">
        <w:rPr>
          <w:rFonts w:ascii="Times New Roman" w:hAnsi="Times New Roman" w:cs="Times New Roman"/>
        </w:rPr>
        <w:t>As explained before, Tituba’</w:t>
      </w:r>
      <w:r w:rsidR="00796912">
        <w:rPr>
          <w:rFonts w:ascii="Times New Roman" w:hAnsi="Times New Roman" w:cs="Times New Roman"/>
        </w:rPr>
        <w:t>s cultural history and actions, suc</w:t>
      </w:r>
      <w:r w:rsidR="00935FEA">
        <w:rPr>
          <w:rFonts w:ascii="Times New Roman" w:hAnsi="Times New Roman" w:cs="Times New Roman"/>
        </w:rPr>
        <w:t>h as the preparation of the witch</w:t>
      </w:r>
      <w:r w:rsidR="00796912">
        <w:rPr>
          <w:rFonts w:ascii="Times New Roman" w:hAnsi="Times New Roman" w:cs="Times New Roman"/>
        </w:rPr>
        <w:t>cake,</w:t>
      </w:r>
      <w:r w:rsidR="00043020">
        <w:rPr>
          <w:rFonts w:ascii="Times New Roman" w:hAnsi="Times New Roman" w:cs="Times New Roman"/>
        </w:rPr>
        <w:t xml:space="preserve"> served as a basis in which the Salem people founded their beliefs of her guilt. </w:t>
      </w:r>
    </w:p>
    <w:p w14:paraId="686AB7B0" w14:textId="3634D8A5" w:rsidR="00845864" w:rsidRDefault="00C0365D" w:rsidP="004320B6">
      <w:pPr>
        <w:spacing w:line="480" w:lineRule="auto"/>
        <w:ind w:firstLine="720"/>
        <w:rPr>
          <w:rFonts w:ascii="Times New Roman" w:hAnsi="Times New Roman" w:cs="Times New Roman"/>
        </w:rPr>
      </w:pPr>
      <w:r>
        <w:rPr>
          <w:rFonts w:ascii="Times New Roman" w:hAnsi="Times New Roman" w:cs="Times New Roman"/>
        </w:rPr>
        <w:lastRenderedPageBreak/>
        <w:t>Where Tituba and Candy’s confessions then differ, is in the significance of Tituba’s confession coming first. Unlike Candy, Tituba had not witnessed others sentenced to death for refuting their charges, nor had she witnessed others spared ex</w:t>
      </w:r>
      <w:r w:rsidR="00F003D1">
        <w:rPr>
          <w:rFonts w:ascii="Times New Roman" w:hAnsi="Times New Roman" w:cs="Times New Roman"/>
        </w:rPr>
        <w:t>ecution on account of admission</w:t>
      </w:r>
      <w:r>
        <w:rPr>
          <w:rFonts w:ascii="Times New Roman" w:hAnsi="Times New Roman" w:cs="Times New Roman"/>
        </w:rPr>
        <w:t xml:space="preserve">. </w:t>
      </w:r>
      <w:r w:rsidR="00F003D1">
        <w:rPr>
          <w:rFonts w:ascii="Times New Roman" w:hAnsi="Times New Roman" w:cs="Times New Roman"/>
        </w:rPr>
        <w:t xml:space="preserve">Tituba had no preexisting pattern to draw upon in deciding to confess. </w:t>
      </w:r>
      <w:r w:rsidR="00AB6F7F">
        <w:rPr>
          <w:rFonts w:ascii="Times New Roman" w:hAnsi="Times New Roman" w:cs="Times New Roman"/>
        </w:rPr>
        <w:t>Her confession, therefore, was prompted entirely by her own individual act</w:t>
      </w:r>
      <w:r w:rsidR="005528BA">
        <w:rPr>
          <w:rFonts w:ascii="Times New Roman" w:hAnsi="Times New Roman" w:cs="Times New Roman"/>
        </w:rPr>
        <w:t>ion. Tituba’s confess</w:t>
      </w:r>
      <w:r w:rsidR="00901981">
        <w:rPr>
          <w:rFonts w:ascii="Times New Roman" w:hAnsi="Times New Roman" w:cs="Times New Roman"/>
        </w:rPr>
        <w:t>ion indicates an awareness</w:t>
      </w:r>
      <w:r w:rsidR="005528BA">
        <w:rPr>
          <w:rFonts w:ascii="Times New Roman" w:hAnsi="Times New Roman" w:cs="Times New Roman"/>
        </w:rPr>
        <w:t xml:space="preserve"> of her place within the Puritan system, and an understanding of the social doctrine that worked against her. </w:t>
      </w:r>
      <w:r w:rsidR="00C76774">
        <w:rPr>
          <w:rFonts w:ascii="Times New Roman" w:hAnsi="Times New Roman" w:cs="Times New Roman"/>
        </w:rPr>
        <w:t xml:space="preserve">Despite this awareness, </w:t>
      </w:r>
      <w:r w:rsidR="004C20EC">
        <w:rPr>
          <w:rFonts w:ascii="Times New Roman" w:hAnsi="Times New Roman" w:cs="Times New Roman"/>
        </w:rPr>
        <w:t>Tituba’</w:t>
      </w:r>
      <w:r w:rsidR="00C76774">
        <w:rPr>
          <w:rFonts w:ascii="Times New Roman" w:hAnsi="Times New Roman" w:cs="Times New Roman"/>
        </w:rPr>
        <w:t>s admission</w:t>
      </w:r>
      <w:r w:rsidR="00CF4A8C">
        <w:rPr>
          <w:rFonts w:ascii="Times New Roman" w:hAnsi="Times New Roman" w:cs="Times New Roman"/>
        </w:rPr>
        <w:t xml:space="preserve"> </w:t>
      </w:r>
      <w:r w:rsidR="00C76774">
        <w:rPr>
          <w:rFonts w:ascii="Times New Roman" w:hAnsi="Times New Roman" w:cs="Times New Roman"/>
        </w:rPr>
        <w:t xml:space="preserve">was offered without any prior example to follow. Confessing to witchcraft was to confess to the ultimate Puritan </w:t>
      </w:r>
      <w:r w:rsidR="004320B6">
        <w:rPr>
          <w:rFonts w:ascii="Times New Roman" w:hAnsi="Times New Roman" w:cs="Times New Roman"/>
        </w:rPr>
        <w:t xml:space="preserve">sin. The consequences for such an action, especially for a woman assumed guilty with or without admission, very well could have been fatal. </w:t>
      </w:r>
      <w:r w:rsidR="00C76774">
        <w:rPr>
          <w:rFonts w:ascii="Times New Roman" w:hAnsi="Times New Roman" w:cs="Times New Roman"/>
        </w:rPr>
        <w:t xml:space="preserve">Her confession however proved a wise choice, as conceding to her guilt ensured Tituba her life. </w:t>
      </w:r>
    </w:p>
    <w:p w14:paraId="3A69522B" w14:textId="24680291" w:rsidR="00D04D82" w:rsidRDefault="00934581" w:rsidP="00D04D82">
      <w:pPr>
        <w:spacing w:line="480" w:lineRule="auto"/>
        <w:ind w:firstLine="720"/>
        <w:rPr>
          <w:rFonts w:ascii="Times New Roman" w:hAnsi="Times New Roman" w:cs="Times New Roman"/>
        </w:rPr>
      </w:pPr>
      <w:r>
        <w:rPr>
          <w:rFonts w:ascii="Times New Roman" w:hAnsi="Times New Roman" w:cs="Times New Roman"/>
        </w:rPr>
        <w:t xml:space="preserve">Tituba’s gender also contributed to her admission. </w:t>
      </w:r>
      <w:r w:rsidR="00935FEA">
        <w:rPr>
          <w:rFonts w:ascii="Times New Roman" w:hAnsi="Times New Roman" w:cs="Times New Roman"/>
        </w:rPr>
        <w:t xml:space="preserve">As in the instance of comparison to Candy, a comparison and contrast to an accused man will allow us to consider how Tituba’s gender factored into her confession. </w:t>
      </w:r>
      <w:r w:rsidR="00D04D82">
        <w:rPr>
          <w:rFonts w:ascii="Times New Roman" w:hAnsi="Times New Roman" w:cs="Times New Roman"/>
        </w:rPr>
        <w:t>Reis informs us, of the accusation of men, that, “</w:t>
      </w:r>
      <w:r w:rsidR="00301EB2">
        <w:rPr>
          <w:rFonts w:ascii="Times New Roman" w:hAnsi="Times New Roman" w:cs="Times New Roman"/>
        </w:rPr>
        <w:t>Not only was it far more unusual for men to be accused of witchcraft than a woman, but when men were accused…[they] were far more audacious in their rejection of the charges.”</w:t>
      </w:r>
      <w:r w:rsidR="00301EB2">
        <w:rPr>
          <w:rStyle w:val="FootnoteReference"/>
          <w:rFonts w:ascii="Times New Roman" w:hAnsi="Times New Roman" w:cs="Times New Roman"/>
        </w:rPr>
        <w:footnoteReference w:id="49"/>
      </w:r>
      <w:r w:rsidR="00A35F55">
        <w:rPr>
          <w:rFonts w:ascii="Times New Roman" w:hAnsi="Times New Roman" w:cs="Times New Roman"/>
        </w:rPr>
        <w:t xml:space="preserve"> Such is the case with Giles Corey, a prosperous land-owning farmer in Salem who was accused and examined for witchcraft in April 1692. Corey is famous for his adamant denial of the charges, and as consequence, being pressed to death in defiance of admission. His last words, “More weight,” were repeated throughout the duration of his execution, in a refusal to admit to his guilt in </w:t>
      </w:r>
      <w:r w:rsidR="00A35F55">
        <w:rPr>
          <w:rFonts w:ascii="Times New Roman" w:hAnsi="Times New Roman" w:cs="Times New Roman"/>
        </w:rPr>
        <w:lastRenderedPageBreak/>
        <w:t>partaking in witchcraft.</w:t>
      </w:r>
      <w:r w:rsidR="00A35F55">
        <w:rPr>
          <w:rStyle w:val="FootnoteReference"/>
          <w:rFonts w:ascii="Times New Roman" w:hAnsi="Times New Roman" w:cs="Times New Roman"/>
        </w:rPr>
        <w:footnoteReference w:id="50"/>
      </w:r>
      <w:r w:rsidR="00EA1A1B">
        <w:rPr>
          <w:rFonts w:ascii="Times New Roman" w:hAnsi="Times New Roman" w:cs="Times New Roman"/>
        </w:rPr>
        <w:t xml:space="preserve"> His execution reveals that Salem officials were willing to commit the penalty to any supposed witches, regardless of gender. However Corey’s examination provides insight to what Reis defines as a notable and significant difference in the male and female associations with witchcraft. </w:t>
      </w:r>
    </w:p>
    <w:p w14:paraId="1708E237" w14:textId="6DC0BC6C" w:rsidR="00F67191" w:rsidRDefault="00F67191" w:rsidP="00D04D82">
      <w:pPr>
        <w:spacing w:line="480" w:lineRule="auto"/>
        <w:ind w:firstLine="720"/>
        <w:rPr>
          <w:rFonts w:ascii="Times New Roman" w:hAnsi="Times New Roman" w:cs="Times New Roman"/>
        </w:rPr>
      </w:pPr>
      <w:r>
        <w:rPr>
          <w:rFonts w:ascii="Times New Roman" w:hAnsi="Times New Roman" w:cs="Times New Roman"/>
        </w:rPr>
        <w:t>In Corey’s examination, he responds to his alleged charges with utter defiance, insisting, “I hope through the goodness of God I shall [be released], for that matter I never had no hand in, in my life…I have don</w:t>
      </w:r>
      <w:r w:rsidR="00EA1A1B">
        <w:rPr>
          <w:rFonts w:ascii="Times New Roman" w:hAnsi="Times New Roman" w:cs="Times New Roman"/>
        </w:rPr>
        <w:t>e nothing to damage [the accusers</w:t>
      </w:r>
      <w:r>
        <w:rPr>
          <w:rFonts w:ascii="Times New Roman" w:hAnsi="Times New Roman" w:cs="Times New Roman"/>
        </w:rPr>
        <w:t>]…</w:t>
      </w:r>
      <w:r w:rsidR="006F3C7E">
        <w:rPr>
          <w:rFonts w:ascii="Times New Roman" w:hAnsi="Times New Roman" w:cs="Times New Roman"/>
        </w:rPr>
        <w:t>I have never had temptations [of the devil] in my life.”</w:t>
      </w:r>
      <w:r w:rsidR="006F3C7E">
        <w:rPr>
          <w:rStyle w:val="FootnoteReference"/>
          <w:rFonts w:ascii="Times New Roman" w:hAnsi="Times New Roman" w:cs="Times New Roman"/>
        </w:rPr>
        <w:footnoteReference w:id="51"/>
      </w:r>
      <w:r>
        <w:rPr>
          <w:rFonts w:ascii="Times New Roman" w:hAnsi="Times New Roman" w:cs="Times New Roman"/>
        </w:rPr>
        <w:t xml:space="preserve"> </w:t>
      </w:r>
      <w:r w:rsidR="006F3C7E">
        <w:rPr>
          <w:rFonts w:ascii="Times New Roman" w:hAnsi="Times New Roman" w:cs="Times New Roman"/>
        </w:rPr>
        <w:t xml:space="preserve">Corey’s language depicts a man who is assured of his innocence </w:t>
      </w:r>
      <w:r w:rsidR="00EA1A1B">
        <w:rPr>
          <w:rFonts w:ascii="Times New Roman" w:hAnsi="Times New Roman" w:cs="Times New Roman"/>
        </w:rPr>
        <w:t xml:space="preserve">and insulted by his </w:t>
      </w:r>
      <w:r w:rsidR="006F3C7E">
        <w:rPr>
          <w:rFonts w:ascii="Times New Roman" w:hAnsi="Times New Roman" w:cs="Times New Roman"/>
        </w:rPr>
        <w:t>accusation</w:t>
      </w:r>
      <w:r w:rsidR="00EA1A1B">
        <w:rPr>
          <w:rFonts w:ascii="Times New Roman" w:hAnsi="Times New Roman" w:cs="Times New Roman"/>
        </w:rPr>
        <w:t xml:space="preserve">s. </w:t>
      </w:r>
      <w:r w:rsidR="006F3C7E">
        <w:rPr>
          <w:rFonts w:ascii="Times New Roman" w:hAnsi="Times New Roman" w:cs="Times New Roman"/>
        </w:rPr>
        <w:t>This contrasts with the examination of Tituba, wherein her early denouncements of guilt are offered less assuredly</w:t>
      </w:r>
      <w:r w:rsidR="00EA1A1B">
        <w:rPr>
          <w:rFonts w:ascii="Times New Roman" w:hAnsi="Times New Roman" w:cs="Times New Roman"/>
        </w:rPr>
        <w:t xml:space="preserve">. This may be attributed to Tituba’s gender, which predisposed her to be assumed guilty. Furthermore, Tituba had no other example to follow in instances of admission or adamant denial of guilt. Corey, contrastingly, had had chance to witness several others be questioned and accused and could observe the outcomes of such confessions and denials. His stance therefore signifies what Reis deems a product of the genderedization of witchcraft. </w:t>
      </w:r>
      <w:r w:rsidR="004C6E54">
        <w:rPr>
          <w:rFonts w:ascii="Times New Roman" w:hAnsi="Times New Roman" w:cs="Times New Roman"/>
        </w:rPr>
        <w:t xml:space="preserve">In comparison to Tituba’s examination, it is observable how gender contributed to both the chances of accusation and the likelihood of an accused person’s decision to confess or deny the charges. </w:t>
      </w:r>
    </w:p>
    <w:p w14:paraId="5475ACFB" w14:textId="0E7DFD84" w:rsidR="00270ACC" w:rsidRDefault="00F451D3" w:rsidP="00C55A6B">
      <w:pPr>
        <w:spacing w:line="480" w:lineRule="auto"/>
        <w:ind w:firstLine="720"/>
        <w:rPr>
          <w:rFonts w:ascii="Times New Roman" w:hAnsi="Times New Roman" w:cs="Times New Roman"/>
        </w:rPr>
      </w:pPr>
      <w:r>
        <w:rPr>
          <w:rFonts w:ascii="Times New Roman" w:hAnsi="Times New Roman" w:cs="Times New Roman"/>
        </w:rPr>
        <w:lastRenderedPageBreak/>
        <w:t>Tituba’s confession reveals her awareness of Puritan doctrine and how such doctrine influence</w:t>
      </w:r>
      <w:r w:rsidR="00A53ECB">
        <w:rPr>
          <w:rFonts w:ascii="Times New Roman" w:hAnsi="Times New Roman" w:cs="Times New Roman"/>
        </w:rPr>
        <w:t>d</w:t>
      </w:r>
      <w:r>
        <w:rPr>
          <w:rFonts w:ascii="Times New Roman" w:hAnsi="Times New Roman" w:cs="Times New Roman"/>
        </w:rPr>
        <w:t xml:space="preserve"> the manner in which her race</w:t>
      </w:r>
      <w:r w:rsidR="00180905">
        <w:rPr>
          <w:rFonts w:ascii="Times New Roman" w:hAnsi="Times New Roman" w:cs="Times New Roman"/>
        </w:rPr>
        <w:t xml:space="preserve"> and gender were</w:t>
      </w:r>
      <w:r w:rsidR="00CD7F4F">
        <w:rPr>
          <w:rFonts w:ascii="Times New Roman" w:hAnsi="Times New Roman" w:cs="Times New Roman"/>
        </w:rPr>
        <w:t xml:space="preserve"> </w:t>
      </w:r>
      <w:r>
        <w:rPr>
          <w:rFonts w:ascii="Times New Roman" w:hAnsi="Times New Roman" w:cs="Times New Roman"/>
        </w:rPr>
        <w:t xml:space="preserve">regarded. </w:t>
      </w:r>
      <w:r w:rsidR="00736756">
        <w:rPr>
          <w:rFonts w:ascii="Times New Roman" w:hAnsi="Times New Roman" w:cs="Times New Roman"/>
        </w:rPr>
        <w:t xml:space="preserve">In deciding to confess on account of </w:t>
      </w:r>
      <w:r w:rsidR="007004F7">
        <w:rPr>
          <w:rFonts w:ascii="Times New Roman" w:hAnsi="Times New Roman" w:cs="Times New Roman"/>
        </w:rPr>
        <w:t xml:space="preserve">the association </w:t>
      </w:r>
      <w:r w:rsidR="00C55A6B">
        <w:rPr>
          <w:rFonts w:ascii="Times New Roman" w:hAnsi="Times New Roman" w:cs="Times New Roman"/>
        </w:rPr>
        <w:t xml:space="preserve">of witchcraft with her race, </w:t>
      </w:r>
      <w:r w:rsidR="007004F7">
        <w:rPr>
          <w:rFonts w:ascii="Times New Roman" w:hAnsi="Times New Roman" w:cs="Times New Roman"/>
        </w:rPr>
        <w:t>cultural practices</w:t>
      </w:r>
      <w:r w:rsidR="00A53ECB">
        <w:rPr>
          <w:rFonts w:ascii="Times New Roman" w:hAnsi="Times New Roman" w:cs="Times New Roman"/>
        </w:rPr>
        <w:t>,</w:t>
      </w:r>
      <w:r w:rsidR="00C55A6B">
        <w:rPr>
          <w:rFonts w:ascii="Times New Roman" w:hAnsi="Times New Roman" w:cs="Times New Roman"/>
        </w:rPr>
        <w:t xml:space="preserve"> and womanhood,</w:t>
      </w:r>
      <w:r w:rsidR="00A53ECB">
        <w:rPr>
          <w:rFonts w:ascii="Times New Roman" w:hAnsi="Times New Roman" w:cs="Times New Roman"/>
        </w:rPr>
        <w:t xml:space="preserve"> Tituba had to </w:t>
      </w:r>
      <w:r w:rsidR="007004F7">
        <w:rPr>
          <w:rFonts w:ascii="Times New Roman" w:hAnsi="Times New Roman" w:cs="Times New Roman"/>
        </w:rPr>
        <w:t xml:space="preserve">craft her admission in a way that would befit Puritan culture. </w:t>
      </w:r>
      <w:r w:rsidR="00A53ECB">
        <w:rPr>
          <w:rFonts w:ascii="Times New Roman" w:hAnsi="Times New Roman" w:cs="Times New Roman"/>
        </w:rPr>
        <w:t>This is made evident when Tituba exclaims, following her admission, that, “T</w:t>
      </w:r>
      <w:r w:rsidR="00A53ECB" w:rsidRPr="00A53ECB">
        <w:rPr>
          <w:rFonts w:ascii="Times New Roman" w:hAnsi="Times New Roman" w:cs="Times New Roman"/>
        </w:rPr>
        <w:t>hey</w:t>
      </w:r>
      <w:r w:rsidR="00A53ECB">
        <w:rPr>
          <w:rFonts w:ascii="Times New Roman" w:hAnsi="Times New Roman" w:cs="Times New Roman"/>
        </w:rPr>
        <w:t xml:space="preserve"> [the devil]</w:t>
      </w:r>
      <w:r w:rsidR="00A53ECB" w:rsidRPr="00A53ECB">
        <w:rPr>
          <w:rFonts w:ascii="Times New Roman" w:hAnsi="Times New Roman" w:cs="Times New Roman"/>
        </w:rPr>
        <w:t xml:space="preserve"> tell me if I will not hurt the children they will hurt me</w:t>
      </w:r>
      <w:r w:rsidR="00A53ECB">
        <w:rPr>
          <w:rFonts w:ascii="Times New Roman" w:hAnsi="Times New Roman" w:cs="Times New Roman"/>
        </w:rPr>
        <w:t xml:space="preserve">…[I said] </w:t>
      </w:r>
      <w:r w:rsidR="00A53ECB" w:rsidRPr="00A53ECB">
        <w:rPr>
          <w:rFonts w:ascii="Times New Roman" w:hAnsi="Times New Roman" w:cs="Times New Roman"/>
        </w:rPr>
        <w:t>I will serve you no longer then he said he would hurt me</w:t>
      </w:r>
      <w:r w:rsidR="00A53ECB">
        <w:rPr>
          <w:rFonts w:ascii="Times New Roman" w:hAnsi="Times New Roman" w:cs="Times New Roman"/>
        </w:rPr>
        <w:t>.”</w:t>
      </w:r>
      <w:r w:rsidR="00A53ECB">
        <w:rPr>
          <w:rStyle w:val="FootnoteReference"/>
          <w:rFonts w:ascii="Times New Roman" w:hAnsi="Times New Roman" w:cs="Times New Roman"/>
        </w:rPr>
        <w:footnoteReference w:id="52"/>
      </w:r>
      <w:r w:rsidR="00A53ECB">
        <w:rPr>
          <w:rFonts w:ascii="Times New Roman" w:hAnsi="Times New Roman" w:cs="Times New Roman"/>
        </w:rPr>
        <w:t xml:space="preserve"> With these words, Tituba concedes to her pact with the devil but insists it was only under the threat of danger </w:t>
      </w:r>
      <w:r w:rsidR="008D4F8C">
        <w:rPr>
          <w:rFonts w:ascii="Times New Roman" w:hAnsi="Times New Roman" w:cs="Times New Roman"/>
        </w:rPr>
        <w:t>and coercion that she did the devils</w:t>
      </w:r>
      <w:r w:rsidR="00A53ECB">
        <w:rPr>
          <w:rFonts w:ascii="Times New Roman" w:hAnsi="Times New Roman" w:cs="Times New Roman"/>
        </w:rPr>
        <w:t xml:space="preserve"> bidding. Furthermore, Tituba </w:t>
      </w:r>
      <w:r w:rsidR="00A4684D">
        <w:rPr>
          <w:rFonts w:ascii="Times New Roman" w:hAnsi="Times New Roman" w:cs="Times New Roman"/>
        </w:rPr>
        <w:t>explains she made attempts to ward off the devil by telling him she would no longer serve him. Along with</w:t>
      </w:r>
      <w:r w:rsidR="00EF3620">
        <w:rPr>
          <w:rFonts w:ascii="Times New Roman" w:hAnsi="Times New Roman" w:cs="Times New Roman"/>
        </w:rPr>
        <w:t xml:space="preserve"> her confession, this reference to coercion and the force of the devil </w:t>
      </w:r>
      <w:r w:rsidR="003516A5">
        <w:rPr>
          <w:rFonts w:ascii="Times New Roman" w:hAnsi="Times New Roman" w:cs="Times New Roman"/>
        </w:rPr>
        <w:t xml:space="preserve">reveals Tituba’s understanding of Puritan doctrine and beliefs, and moreover, what was expected of her within that system of belief. </w:t>
      </w:r>
      <w:r w:rsidR="004B7F6F">
        <w:rPr>
          <w:rFonts w:ascii="Times New Roman" w:hAnsi="Times New Roman" w:cs="Times New Roman"/>
        </w:rPr>
        <w:t>In choosing to confess, Tituba reveals an awareness of how her racial categorization</w:t>
      </w:r>
      <w:r w:rsidR="00C55A6B">
        <w:rPr>
          <w:rFonts w:ascii="Times New Roman" w:hAnsi="Times New Roman" w:cs="Times New Roman"/>
        </w:rPr>
        <w:t xml:space="preserve"> and gender</w:t>
      </w:r>
      <w:r w:rsidR="004B7F6F">
        <w:rPr>
          <w:rFonts w:ascii="Times New Roman" w:hAnsi="Times New Roman" w:cs="Times New Roman"/>
        </w:rPr>
        <w:t xml:space="preserve"> within Salem predisposed her to an accusation such as witchcraft; furthermore, an accusation that would have proven next to impossibl</w:t>
      </w:r>
      <w:r w:rsidR="00C55A6B">
        <w:rPr>
          <w:rFonts w:ascii="Times New Roman" w:hAnsi="Times New Roman" w:cs="Times New Roman"/>
        </w:rPr>
        <w:t xml:space="preserve">e to refute, given her </w:t>
      </w:r>
      <w:r w:rsidR="004B7F6F">
        <w:rPr>
          <w:rFonts w:ascii="Times New Roman" w:hAnsi="Times New Roman" w:cs="Times New Roman"/>
        </w:rPr>
        <w:t>place within Salem. Tituba further exemplifies her understanding of this by mentioning the coercion of the d</w:t>
      </w:r>
      <w:r w:rsidR="00180905">
        <w:rPr>
          <w:rFonts w:ascii="Times New Roman" w:hAnsi="Times New Roman" w:cs="Times New Roman"/>
        </w:rPr>
        <w:t xml:space="preserve">evil in her service to him. The reference to the force of the devil and her conscious </w:t>
      </w:r>
      <w:r w:rsidR="00E57AA3">
        <w:rPr>
          <w:rFonts w:ascii="Times New Roman" w:hAnsi="Times New Roman" w:cs="Times New Roman"/>
        </w:rPr>
        <w:t>reluctance</w:t>
      </w:r>
      <w:r w:rsidR="00180905">
        <w:rPr>
          <w:rFonts w:ascii="Times New Roman" w:hAnsi="Times New Roman" w:cs="Times New Roman"/>
        </w:rPr>
        <w:t xml:space="preserve"> to </w:t>
      </w:r>
      <w:r w:rsidR="00C55A6B">
        <w:rPr>
          <w:rFonts w:ascii="Times New Roman" w:hAnsi="Times New Roman" w:cs="Times New Roman"/>
        </w:rPr>
        <w:t xml:space="preserve">do his bidding provided for the Puritans, a sound and reasonable confession. </w:t>
      </w:r>
    </w:p>
    <w:p w14:paraId="6F8857D0" w14:textId="77777777" w:rsidR="00854C6E" w:rsidRDefault="00854C6E" w:rsidP="00C55A6B">
      <w:pPr>
        <w:spacing w:line="480" w:lineRule="auto"/>
        <w:ind w:firstLine="720"/>
        <w:rPr>
          <w:rFonts w:ascii="Times New Roman" w:hAnsi="Times New Roman" w:cs="Times New Roman"/>
        </w:rPr>
      </w:pPr>
    </w:p>
    <w:p w14:paraId="63E35E7A" w14:textId="77777777" w:rsidR="00854C6E" w:rsidRDefault="00854C6E" w:rsidP="00C55A6B">
      <w:pPr>
        <w:spacing w:line="480" w:lineRule="auto"/>
        <w:ind w:firstLine="720"/>
        <w:rPr>
          <w:rFonts w:ascii="Times New Roman" w:hAnsi="Times New Roman" w:cs="Times New Roman"/>
        </w:rPr>
      </w:pPr>
    </w:p>
    <w:p w14:paraId="24AC5F17" w14:textId="77777777" w:rsidR="00854C6E" w:rsidRDefault="00854C6E" w:rsidP="00C55A6B">
      <w:pPr>
        <w:spacing w:line="480" w:lineRule="auto"/>
        <w:ind w:firstLine="720"/>
        <w:rPr>
          <w:rFonts w:ascii="Times New Roman" w:hAnsi="Times New Roman" w:cs="Times New Roman"/>
        </w:rPr>
      </w:pPr>
    </w:p>
    <w:p w14:paraId="210FE719" w14:textId="53A67D3F" w:rsidR="00D76E2C" w:rsidRDefault="00EE12AB" w:rsidP="00D76E2C">
      <w:pPr>
        <w:spacing w:line="480" w:lineRule="auto"/>
        <w:ind w:left="2160" w:firstLine="720"/>
        <w:rPr>
          <w:rFonts w:ascii="Times New Roman" w:hAnsi="Times New Roman" w:cs="Times New Roman"/>
          <w:b/>
        </w:rPr>
      </w:pPr>
      <w:r w:rsidRPr="00EE12AB">
        <w:rPr>
          <w:rFonts w:ascii="Times New Roman" w:hAnsi="Times New Roman" w:cs="Times New Roman"/>
          <w:b/>
        </w:rPr>
        <w:lastRenderedPageBreak/>
        <w:t>VI. Conclusion</w:t>
      </w:r>
    </w:p>
    <w:p w14:paraId="16F155F8" w14:textId="2A20ADE4" w:rsidR="000A03CA" w:rsidRDefault="00D76E2C" w:rsidP="00D76E2C">
      <w:pPr>
        <w:spacing w:line="480" w:lineRule="auto"/>
        <w:ind w:firstLine="720"/>
        <w:rPr>
          <w:rFonts w:ascii="Times New Roman" w:hAnsi="Times New Roman" w:cs="Times New Roman"/>
        </w:rPr>
      </w:pPr>
      <w:r>
        <w:rPr>
          <w:rFonts w:ascii="Times New Roman" w:hAnsi="Times New Roman" w:cs="Times New Roman"/>
        </w:rPr>
        <w:t>The Salem witch trials formerly ended in 1693, the same year Tituba was released from prison.</w:t>
      </w:r>
      <w:r>
        <w:rPr>
          <w:rStyle w:val="FootnoteReference"/>
          <w:rFonts w:ascii="Times New Roman" w:hAnsi="Times New Roman" w:cs="Times New Roman"/>
        </w:rPr>
        <w:footnoteReference w:id="53"/>
      </w:r>
      <w:r>
        <w:rPr>
          <w:rFonts w:ascii="Times New Roman" w:hAnsi="Times New Roman" w:cs="Times New Roman"/>
        </w:rPr>
        <w:t xml:space="preserve"> What became of her following this is unknown; the inadvertently powerful woman disappears from written record. This is a disservice to Tituba, given how significant her action and role within the trials </w:t>
      </w:r>
      <w:r w:rsidR="00D265C8">
        <w:rPr>
          <w:rFonts w:ascii="Times New Roman" w:hAnsi="Times New Roman" w:cs="Times New Roman"/>
        </w:rPr>
        <w:t>were. Tituba reemerged in text and literature</w:t>
      </w:r>
      <w:r w:rsidR="00913311">
        <w:rPr>
          <w:rFonts w:ascii="Times New Roman" w:hAnsi="Times New Roman" w:cs="Times New Roman"/>
        </w:rPr>
        <w:t xml:space="preserve"> in later years</w:t>
      </w:r>
      <w:r w:rsidR="000A03CA">
        <w:rPr>
          <w:rFonts w:ascii="Times New Roman" w:hAnsi="Times New Roman" w:cs="Times New Roman"/>
        </w:rPr>
        <w:t>, albeit in largely</w:t>
      </w:r>
      <w:r w:rsidR="00913311">
        <w:rPr>
          <w:rFonts w:ascii="Times New Roman" w:hAnsi="Times New Roman" w:cs="Times New Roman"/>
        </w:rPr>
        <w:t xml:space="preserve"> problematic and inaccurate representation</w:t>
      </w:r>
      <w:r w:rsidR="000A03CA">
        <w:rPr>
          <w:rFonts w:ascii="Times New Roman" w:hAnsi="Times New Roman" w:cs="Times New Roman"/>
        </w:rPr>
        <w:t>s</w:t>
      </w:r>
      <w:r w:rsidR="00913311">
        <w:rPr>
          <w:rFonts w:ascii="Times New Roman" w:hAnsi="Times New Roman" w:cs="Times New Roman"/>
        </w:rPr>
        <w:t xml:space="preserve">. </w:t>
      </w:r>
      <w:r w:rsidR="00EC007D">
        <w:rPr>
          <w:rFonts w:ascii="Times New Roman" w:hAnsi="Times New Roman" w:cs="Times New Roman"/>
        </w:rPr>
        <w:t xml:space="preserve">Tituba’s place within the trials is deserving of recognition. Her case presents an intriguing and hugely meaningful commentary on Puritan gender norms and racial ideology, all within the context of a frantic and tension-filled episode of early American history. That little is written on her behalf and her significance is a disappointment; though the increasing efforts set by Rosenthal, Tucker, Hansen and Breslaw offer encouragement to others to continue to pursue the importance of this woman’s place within the Salem witch trials. </w:t>
      </w:r>
    </w:p>
    <w:p w14:paraId="034920F3" w14:textId="4A7FC51F" w:rsidR="00894F40" w:rsidRDefault="00EC007D" w:rsidP="003B0DA9">
      <w:pPr>
        <w:spacing w:line="480" w:lineRule="auto"/>
        <w:ind w:firstLine="720"/>
        <w:rPr>
          <w:rFonts w:ascii="Times New Roman" w:hAnsi="Times New Roman" w:cs="Times New Roman"/>
        </w:rPr>
      </w:pPr>
      <w:r>
        <w:rPr>
          <w:rFonts w:ascii="Times New Roman" w:hAnsi="Times New Roman" w:cs="Times New Roman"/>
        </w:rPr>
        <w:t xml:space="preserve"> </w:t>
      </w:r>
      <w:r w:rsidR="00611A7F">
        <w:rPr>
          <w:rFonts w:ascii="Times New Roman" w:hAnsi="Times New Roman" w:cs="Times New Roman"/>
        </w:rPr>
        <w:t xml:space="preserve">Tituba’s actions within the witch trials reveal her thorough understanding of her place within Puritan society. </w:t>
      </w:r>
      <w:r w:rsidR="00CB37A5">
        <w:rPr>
          <w:rFonts w:ascii="Times New Roman" w:hAnsi="Times New Roman" w:cs="Times New Roman"/>
        </w:rPr>
        <w:t xml:space="preserve">Due to her predisposition to be associated with witch craft and thus assumed guilty, Tituba was able to offer a confession on account of the same factors that contributed to her accusation. As an enslaved Indian woman within Salem, Tituba was perceived as a likely and almost assuredly perpetrator of occult practices. When Abigail Williams and Betty Parris’ illnesses were deemed the products of Satan, it was hardly a surprise for Tituba to be named a likely offender. </w:t>
      </w:r>
      <w:r w:rsidR="00060177">
        <w:rPr>
          <w:rFonts w:ascii="Times New Roman" w:hAnsi="Times New Roman" w:cs="Times New Roman"/>
        </w:rPr>
        <w:t xml:space="preserve">Without previous admissions to follow, Tituba, acknowledging her place within Puritan society, was the first to offer an admission to guilt of practicing witchcraft. Her confession </w:t>
      </w:r>
      <w:r w:rsidR="00060177">
        <w:rPr>
          <w:rFonts w:ascii="Times New Roman" w:hAnsi="Times New Roman" w:cs="Times New Roman"/>
        </w:rPr>
        <w:lastRenderedPageBreak/>
        <w:t xml:space="preserve">embodied an understanding of the gender and racial factors that prescribed her to be accused. To attempt to refute her charges would have meant challenging deeply ingrained Puritan values; such an effort would have proven futile, if not most certainly fatal. </w:t>
      </w:r>
      <w:r w:rsidR="001D3AA2">
        <w:rPr>
          <w:rFonts w:ascii="Times New Roman" w:hAnsi="Times New Roman" w:cs="Times New Roman"/>
        </w:rPr>
        <w:t>In confessing, Tituba both saved her own life and perpetuated the course of the trials, validating the Salem residents’ concerns and beliefs about a Satanic presence within their village. Tituba’s place within the trials therefore was one of great significance</w:t>
      </w:r>
      <w:r w:rsidR="00345511">
        <w:rPr>
          <w:rFonts w:ascii="Times New Roman" w:hAnsi="Times New Roman" w:cs="Times New Roman"/>
        </w:rPr>
        <w:t xml:space="preserve">. More significant still, was Tituba’s decision to confess at all. Tituba exhibited impressive understanding of her position within Salem as defined by her gender and race, and thus, by being the first to confess to the practice of witchcraft. </w:t>
      </w:r>
    </w:p>
    <w:p w14:paraId="351FCCE7" w14:textId="77777777" w:rsidR="00C52A39" w:rsidRDefault="00C52A39" w:rsidP="006A1371">
      <w:pPr>
        <w:spacing w:line="480" w:lineRule="auto"/>
        <w:ind w:left="2880" w:firstLine="720"/>
        <w:rPr>
          <w:rFonts w:ascii="Times New Roman" w:hAnsi="Times New Roman" w:cs="Times New Roman"/>
          <w:b/>
        </w:rPr>
      </w:pPr>
    </w:p>
    <w:p w14:paraId="20048CCA" w14:textId="77777777" w:rsidR="00C52A39" w:rsidRDefault="00C52A39" w:rsidP="006A1371">
      <w:pPr>
        <w:spacing w:line="480" w:lineRule="auto"/>
        <w:ind w:left="2880" w:firstLine="720"/>
        <w:rPr>
          <w:rFonts w:ascii="Times New Roman" w:hAnsi="Times New Roman" w:cs="Times New Roman"/>
          <w:b/>
        </w:rPr>
      </w:pPr>
    </w:p>
    <w:p w14:paraId="6999F72C" w14:textId="77777777" w:rsidR="00C52A39" w:rsidRDefault="00C52A39" w:rsidP="006A1371">
      <w:pPr>
        <w:spacing w:line="480" w:lineRule="auto"/>
        <w:ind w:left="2880" w:firstLine="720"/>
        <w:rPr>
          <w:rFonts w:ascii="Times New Roman" w:hAnsi="Times New Roman" w:cs="Times New Roman"/>
          <w:b/>
        </w:rPr>
      </w:pPr>
    </w:p>
    <w:p w14:paraId="52AC525D" w14:textId="77777777" w:rsidR="00C52A39" w:rsidRDefault="00C52A39" w:rsidP="006A1371">
      <w:pPr>
        <w:spacing w:line="480" w:lineRule="auto"/>
        <w:ind w:left="2880" w:firstLine="720"/>
        <w:rPr>
          <w:rFonts w:ascii="Times New Roman" w:hAnsi="Times New Roman" w:cs="Times New Roman"/>
          <w:b/>
        </w:rPr>
      </w:pPr>
    </w:p>
    <w:p w14:paraId="37E08B88" w14:textId="77777777" w:rsidR="00C52A39" w:rsidRDefault="00C52A39" w:rsidP="006A1371">
      <w:pPr>
        <w:spacing w:line="480" w:lineRule="auto"/>
        <w:ind w:left="2880" w:firstLine="720"/>
        <w:rPr>
          <w:rFonts w:ascii="Times New Roman" w:hAnsi="Times New Roman" w:cs="Times New Roman"/>
          <w:b/>
        </w:rPr>
      </w:pPr>
    </w:p>
    <w:p w14:paraId="3C55C0C4" w14:textId="77777777" w:rsidR="00C52A39" w:rsidRDefault="00C52A39" w:rsidP="006A1371">
      <w:pPr>
        <w:spacing w:line="480" w:lineRule="auto"/>
        <w:ind w:left="2880" w:firstLine="720"/>
        <w:rPr>
          <w:rFonts w:ascii="Times New Roman" w:hAnsi="Times New Roman" w:cs="Times New Roman"/>
          <w:b/>
        </w:rPr>
      </w:pPr>
    </w:p>
    <w:p w14:paraId="40D0E94F" w14:textId="77777777" w:rsidR="00C52A39" w:rsidRDefault="00C52A39" w:rsidP="006A1371">
      <w:pPr>
        <w:spacing w:line="480" w:lineRule="auto"/>
        <w:ind w:left="2880" w:firstLine="720"/>
        <w:rPr>
          <w:rFonts w:ascii="Times New Roman" w:hAnsi="Times New Roman" w:cs="Times New Roman"/>
          <w:b/>
        </w:rPr>
      </w:pPr>
    </w:p>
    <w:p w14:paraId="299347D4" w14:textId="77777777" w:rsidR="00C52A39" w:rsidRDefault="00C52A39" w:rsidP="006A1371">
      <w:pPr>
        <w:spacing w:line="480" w:lineRule="auto"/>
        <w:ind w:left="2880" w:firstLine="720"/>
        <w:rPr>
          <w:rFonts w:ascii="Times New Roman" w:hAnsi="Times New Roman" w:cs="Times New Roman"/>
          <w:b/>
        </w:rPr>
      </w:pPr>
    </w:p>
    <w:p w14:paraId="12375879" w14:textId="77777777" w:rsidR="00C52A39" w:rsidRDefault="00C52A39" w:rsidP="006A1371">
      <w:pPr>
        <w:spacing w:line="480" w:lineRule="auto"/>
        <w:ind w:left="2880" w:firstLine="720"/>
        <w:rPr>
          <w:rFonts w:ascii="Times New Roman" w:hAnsi="Times New Roman" w:cs="Times New Roman"/>
          <w:b/>
        </w:rPr>
      </w:pPr>
    </w:p>
    <w:p w14:paraId="7049E63B" w14:textId="77777777" w:rsidR="00C52A39" w:rsidRDefault="00C52A39" w:rsidP="006A1371">
      <w:pPr>
        <w:spacing w:line="480" w:lineRule="auto"/>
        <w:ind w:left="2880" w:firstLine="720"/>
        <w:rPr>
          <w:rFonts w:ascii="Times New Roman" w:hAnsi="Times New Roman" w:cs="Times New Roman"/>
          <w:b/>
        </w:rPr>
      </w:pPr>
    </w:p>
    <w:p w14:paraId="5E126230" w14:textId="77777777" w:rsidR="00C52A39" w:rsidRDefault="00C52A39" w:rsidP="006A1371">
      <w:pPr>
        <w:spacing w:line="480" w:lineRule="auto"/>
        <w:ind w:left="2880" w:firstLine="720"/>
        <w:rPr>
          <w:rFonts w:ascii="Times New Roman" w:hAnsi="Times New Roman" w:cs="Times New Roman"/>
          <w:b/>
        </w:rPr>
      </w:pPr>
    </w:p>
    <w:p w14:paraId="024DB5EA" w14:textId="77777777" w:rsidR="00C52A39" w:rsidRDefault="00C52A39" w:rsidP="006A1371">
      <w:pPr>
        <w:spacing w:line="480" w:lineRule="auto"/>
        <w:ind w:left="2880" w:firstLine="720"/>
        <w:rPr>
          <w:rFonts w:ascii="Times New Roman" w:hAnsi="Times New Roman" w:cs="Times New Roman"/>
          <w:b/>
        </w:rPr>
      </w:pPr>
    </w:p>
    <w:p w14:paraId="7C414181" w14:textId="77777777" w:rsidR="00C52A39" w:rsidRDefault="00C52A39" w:rsidP="00EC3FE4">
      <w:pPr>
        <w:spacing w:line="480" w:lineRule="auto"/>
        <w:rPr>
          <w:rFonts w:ascii="Times New Roman" w:hAnsi="Times New Roman" w:cs="Times New Roman"/>
          <w:b/>
        </w:rPr>
      </w:pPr>
    </w:p>
    <w:p w14:paraId="54F2D868" w14:textId="77777777" w:rsidR="00EC3FE4" w:rsidRDefault="00EC3FE4" w:rsidP="00EC3FE4">
      <w:pPr>
        <w:spacing w:line="480" w:lineRule="auto"/>
        <w:rPr>
          <w:rFonts w:ascii="Times New Roman" w:hAnsi="Times New Roman" w:cs="Times New Roman"/>
          <w:b/>
        </w:rPr>
      </w:pPr>
    </w:p>
    <w:p w14:paraId="6C4B5CA6" w14:textId="0D42BFED" w:rsidR="003058E1" w:rsidRDefault="003058E1" w:rsidP="006A1371">
      <w:pPr>
        <w:spacing w:line="480" w:lineRule="auto"/>
        <w:ind w:left="2880" w:firstLine="720"/>
        <w:rPr>
          <w:rFonts w:ascii="Times New Roman" w:hAnsi="Times New Roman" w:cs="Times New Roman"/>
          <w:b/>
        </w:rPr>
      </w:pPr>
      <w:r w:rsidRPr="009E557A">
        <w:rPr>
          <w:rFonts w:ascii="Times New Roman" w:hAnsi="Times New Roman" w:cs="Times New Roman"/>
          <w:b/>
        </w:rPr>
        <w:lastRenderedPageBreak/>
        <w:t>Bibliography</w:t>
      </w:r>
    </w:p>
    <w:p w14:paraId="5D50CAE6" w14:textId="39605F49" w:rsidR="003058E1" w:rsidRDefault="003058E1" w:rsidP="003058E1">
      <w:pPr>
        <w:spacing w:line="480" w:lineRule="auto"/>
        <w:rPr>
          <w:rFonts w:ascii="Times New Roman" w:hAnsi="Times New Roman" w:cs="Times New Roman"/>
          <w:b/>
        </w:rPr>
      </w:pPr>
      <w:r>
        <w:rPr>
          <w:rFonts w:ascii="Times New Roman" w:hAnsi="Times New Roman" w:cs="Times New Roman"/>
          <w:b/>
        </w:rPr>
        <w:t>Primary Sources:</w:t>
      </w:r>
    </w:p>
    <w:p w14:paraId="430D43D6" w14:textId="2A6D92BD" w:rsidR="007D3EC9" w:rsidRDefault="007D3EC9" w:rsidP="009E557A">
      <w:pPr>
        <w:ind w:left="270" w:hanging="270"/>
        <w:rPr>
          <w:rFonts w:ascii="Times New Roman" w:hAnsi="Times New Roman" w:cs="Times New Roman"/>
        </w:rPr>
      </w:pPr>
      <w:proofErr w:type="spellStart"/>
      <w:r w:rsidRPr="007D3EC9">
        <w:rPr>
          <w:rFonts w:ascii="Times New Roman" w:hAnsi="Times New Roman" w:cs="Times New Roman"/>
        </w:rPr>
        <w:t>Chevers</w:t>
      </w:r>
      <w:proofErr w:type="spellEnd"/>
      <w:r w:rsidRPr="007D3EC9">
        <w:rPr>
          <w:rFonts w:ascii="Times New Roman" w:hAnsi="Times New Roman" w:cs="Times New Roman"/>
        </w:rPr>
        <w:t xml:space="preserve">, </w:t>
      </w:r>
      <w:proofErr w:type="spellStart"/>
      <w:r>
        <w:rPr>
          <w:rFonts w:ascii="Times New Roman" w:hAnsi="Times New Roman" w:cs="Times New Roman"/>
        </w:rPr>
        <w:t>Ezekiell</w:t>
      </w:r>
      <w:proofErr w:type="spellEnd"/>
      <w:r>
        <w:rPr>
          <w:rFonts w:ascii="Times New Roman" w:hAnsi="Times New Roman" w:cs="Times New Roman"/>
        </w:rPr>
        <w:t>. “Examination of Tituba” under “Tituba.” E</w:t>
      </w:r>
      <w:r w:rsidRPr="007D3EC9">
        <w:rPr>
          <w:rFonts w:ascii="Times New Roman" w:hAnsi="Times New Roman" w:cs="Times New Roman"/>
        </w:rPr>
        <w:t>d</w:t>
      </w:r>
      <w:r>
        <w:rPr>
          <w:rFonts w:ascii="Times New Roman" w:hAnsi="Times New Roman" w:cs="Times New Roman"/>
        </w:rPr>
        <w:t>ited by</w:t>
      </w:r>
      <w:r w:rsidRPr="007D3EC9">
        <w:rPr>
          <w:rFonts w:ascii="Times New Roman" w:hAnsi="Times New Roman" w:cs="Times New Roman"/>
        </w:rPr>
        <w:t xml:space="preserve"> Pau</w:t>
      </w:r>
      <w:r>
        <w:rPr>
          <w:rFonts w:ascii="Times New Roman" w:hAnsi="Times New Roman" w:cs="Times New Roman"/>
        </w:rPr>
        <w:t xml:space="preserve">l Boyer and Stephen </w:t>
      </w:r>
      <w:proofErr w:type="spellStart"/>
      <w:r>
        <w:rPr>
          <w:rFonts w:ascii="Times New Roman" w:hAnsi="Times New Roman" w:cs="Times New Roman"/>
        </w:rPr>
        <w:t>Nissenbaum</w:t>
      </w:r>
      <w:proofErr w:type="spellEnd"/>
      <w:r>
        <w:rPr>
          <w:rFonts w:ascii="Times New Roman" w:hAnsi="Times New Roman" w:cs="Times New Roman"/>
        </w:rPr>
        <w:t xml:space="preserve">. </w:t>
      </w:r>
      <w:r w:rsidRPr="007D3EC9">
        <w:rPr>
          <w:rFonts w:ascii="Times New Roman" w:hAnsi="Times New Roman" w:cs="Times New Roman"/>
          <w:i/>
        </w:rPr>
        <w:t>Tituba Case File</w:t>
      </w:r>
      <w:r>
        <w:rPr>
          <w:rFonts w:ascii="Times New Roman" w:hAnsi="Times New Roman" w:cs="Times New Roman"/>
        </w:rPr>
        <w:t>, V</w:t>
      </w:r>
      <w:r w:rsidRPr="007D3EC9">
        <w:rPr>
          <w:rFonts w:ascii="Times New Roman" w:hAnsi="Times New Roman" w:cs="Times New Roman"/>
        </w:rPr>
        <w:t xml:space="preserve">ol. 3 of </w:t>
      </w:r>
      <w:r w:rsidRPr="007D3EC9">
        <w:rPr>
          <w:rFonts w:ascii="Times New Roman" w:hAnsi="Times New Roman" w:cs="Times New Roman"/>
          <w:i/>
        </w:rPr>
        <w:t>The Salem Witchcraft Papers:  Verbatim Transcriptions of the Court Records</w:t>
      </w:r>
      <w:r>
        <w:rPr>
          <w:rFonts w:ascii="Times New Roman" w:hAnsi="Times New Roman" w:cs="Times New Roman"/>
        </w:rPr>
        <w:t xml:space="preserve">. </w:t>
      </w:r>
      <w:r w:rsidRPr="007D3EC9">
        <w:rPr>
          <w:rFonts w:ascii="Times New Roman" w:hAnsi="Times New Roman" w:cs="Times New Roman"/>
        </w:rPr>
        <w:t>New York: Da Cap</w:t>
      </w:r>
      <w:r>
        <w:rPr>
          <w:rFonts w:ascii="Times New Roman" w:hAnsi="Times New Roman" w:cs="Times New Roman"/>
        </w:rPr>
        <w:t xml:space="preserve">o Press, 1977. Accessed May 9, 2014. </w:t>
      </w:r>
      <w:hyperlink r:id="rId9" w:history="1">
        <w:r w:rsidRPr="006D341F">
          <w:rPr>
            <w:rStyle w:val="Hyperlink"/>
            <w:rFonts w:ascii="Times New Roman" w:hAnsi="Times New Roman" w:cs="Times New Roman"/>
          </w:rPr>
          <w:t>http://salem.lib.virginia.edu/texts/tei/BoySal3R?div_id=n125</w:t>
        </w:r>
      </w:hyperlink>
      <w:r>
        <w:rPr>
          <w:rFonts w:ascii="Times New Roman" w:hAnsi="Times New Roman" w:cs="Times New Roman"/>
        </w:rPr>
        <w:t xml:space="preserve">. </w:t>
      </w:r>
    </w:p>
    <w:p w14:paraId="6EF033D1" w14:textId="77777777" w:rsidR="007D3EC9" w:rsidRDefault="007D3EC9" w:rsidP="009E557A">
      <w:pPr>
        <w:ind w:left="270" w:hanging="270"/>
        <w:rPr>
          <w:rFonts w:ascii="Times New Roman" w:hAnsi="Times New Roman" w:cs="Times New Roman"/>
        </w:rPr>
      </w:pPr>
    </w:p>
    <w:p w14:paraId="50E79D88" w14:textId="30879125" w:rsidR="009E557A" w:rsidRDefault="009E557A" w:rsidP="009E557A">
      <w:pPr>
        <w:ind w:left="270" w:hanging="270"/>
        <w:rPr>
          <w:rFonts w:ascii="Times New Roman" w:hAnsi="Times New Roman" w:cs="Times New Roman"/>
        </w:rPr>
      </w:pPr>
      <w:r w:rsidRPr="006D4C97">
        <w:rPr>
          <w:rFonts w:ascii="Times New Roman" w:hAnsi="Times New Roman" w:cs="Times New Roman"/>
        </w:rPr>
        <w:t>Corwin</w:t>
      </w:r>
      <w:r>
        <w:rPr>
          <w:rFonts w:ascii="Times New Roman" w:hAnsi="Times New Roman" w:cs="Times New Roman"/>
        </w:rPr>
        <w:t>, Jonathon</w:t>
      </w:r>
      <w:r w:rsidRPr="006D4C97">
        <w:rPr>
          <w:rFonts w:ascii="Times New Roman" w:hAnsi="Times New Roman" w:cs="Times New Roman"/>
        </w:rPr>
        <w:t xml:space="preserve"> and John </w:t>
      </w:r>
      <w:proofErr w:type="spellStart"/>
      <w:r w:rsidRPr="006D4C97">
        <w:rPr>
          <w:rFonts w:ascii="Times New Roman" w:hAnsi="Times New Roman" w:cs="Times New Roman"/>
        </w:rPr>
        <w:t>Hathorne</w:t>
      </w:r>
      <w:proofErr w:type="spellEnd"/>
      <w:r w:rsidRPr="006D4C97">
        <w:rPr>
          <w:rFonts w:ascii="Times New Roman" w:hAnsi="Times New Roman" w:cs="Times New Roman"/>
        </w:rPr>
        <w:t xml:space="preserve">, “Examination of </w:t>
      </w:r>
      <w:r>
        <w:rPr>
          <w:rFonts w:ascii="Times New Roman" w:hAnsi="Times New Roman" w:cs="Times New Roman"/>
        </w:rPr>
        <w:t>Sarah Good”</w:t>
      </w:r>
      <w:r w:rsidRPr="006D4C97">
        <w:rPr>
          <w:rFonts w:ascii="Times New Roman" w:hAnsi="Times New Roman" w:cs="Times New Roman"/>
        </w:rPr>
        <w:t xml:space="preserve"> under “Sarah Good</w:t>
      </w:r>
      <w:r>
        <w:rPr>
          <w:rFonts w:ascii="Times New Roman" w:hAnsi="Times New Roman" w:cs="Times New Roman"/>
        </w:rPr>
        <w:t>.” Edited by</w:t>
      </w:r>
      <w:r w:rsidRPr="006D4C97">
        <w:rPr>
          <w:rFonts w:ascii="Times New Roman" w:hAnsi="Times New Roman" w:cs="Times New Roman"/>
        </w:rPr>
        <w:t xml:space="preserve"> Pa</w:t>
      </w:r>
      <w:r w:rsidR="00A402D6">
        <w:rPr>
          <w:rFonts w:ascii="Times New Roman" w:hAnsi="Times New Roman" w:cs="Times New Roman"/>
        </w:rPr>
        <w:t xml:space="preserve">ul Boyer and Stephen </w:t>
      </w:r>
      <w:proofErr w:type="spellStart"/>
      <w:r w:rsidR="00A402D6">
        <w:rPr>
          <w:rFonts w:ascii="Times New Roman" w:hAnsi="Times New Roman" w:cs="Times New Roman"/>
        </w:rPr>
        <w:t>Nissenbaum</w:t>
      </w:r>
      <w:proofErr w:type="spellEnd"/>
      <w:r w:rsidR="00A402D6">
        <w:rPr>
          <w:rFonts w:ascii="Times New Roman" w:hAnsi="Times New Roman" w:cs="Times New Roman"/>
        </w:rPr>
        <w:t>.</w:t>
      </w:r>
      <w:r w:rsidRPr="006D4C97">
        <w:rPr>
          <w:rFonts w:ascii="Times New Roman" w:hAnsi="Times New Roman" w:cs="Times New Roman"/>
        </w:rPr>
        <w:t xml:space="preserve"> </w:t>
      </w:r>
      <w:r w:rsidRPr="006D4C97">
        <w:rPr>
          <w:rFonts w:ascii="Times New Roman" w:hAnsi="Times New Roman" w:cs="Times New Roman"/>
          <w:i/>
        </w:rPr>
        <w:t>Sarah Good Case File</w:t>
      </w:r>
      <w:r>
        <w:rPr>
          <w:rFonts w:ascii="Times New Roman" w:hAnsi="Times New Roman" w:cs="Times New Roman"/>
        </w:rPr>
        <w:t>, V</w:t>
      </w:r>
      <w:r w:rsidRPr="006D4C97">
        <w:rPr>
          <w:rFonts w:ascii="Times New Roman" w:hAnsi="Times New Roman" w:cs="Times New Roman"/>
        </w:rPr>
        <w:t xml:space="preserve">ol. 1 of </w:t>
      </w:r>
      <w:r w:rsidR="00D67A87">
        <w:rPr>
          <w:rFonts w:ascii="Times New Roman" w:hAnsi="Times New Roman" w:cs="Times New Roman"/>
          <w:i/>
        </w:rPr>
        <w:t xml:space="preserve">The Salem Witchcraft Papers: </w:t>
      </w:r>
      <w:r w:rsidRPr="006D4C97">
        <w:rPr>
          <w:rFonts w:ascii="Times New Roman" w:hAnsi="Times New Roman" w:cs="Times New Roman"/>
          <w:i/>
        </w:rPr>
        <w:t>Verbatim Transcriptions of the Court Records</w:t>
      </w:r>
      <w:r>
        <w:rPr>
          <w:rFonts w:ascii="Times New Roman" w:hAnsi="Times New Roman" w:cs="Times New Roman"/>
        </w:rPr>
        <w:t xml:space="preserve">. New York: Da Capo Press, 1977. Accessed May 9, 2014. </w:t>
      </w:r>
      <w:r w:rsidRPr="006D4C97">
        <w:rPr>
          <w:rFonts w:ascii="Times New Roman" w:hAnsi="Times New Roman" w:cs="Times New Roman"/>
        </w:rPr>
        <w:t xml:space="preserve"> </w:t>
      </w:r>
      <w:hyperlink r:id="rId10" w:history="1">
        <w:r w:rsidRPr="006D341F">
          <w:rPr>
            <w:rStyle w:val="Hyperlink"/>
            <w:rFonts w:ascii="Times New Roman" w:hAnsi="Times New Roman" w:cs="Times New Roman"/>
          </w:rPr>
          <w:t>http://salem.lib.virginia.edu/texts/tei/BoySalCombined?div_id=n63</w:t>
        </w:r>
      </w:hyperlink>
      <w:r w:rsidRPr="006D4C97">
        <w:rPr>
          <w:rFonts w:ascii="Times New Roman" w:hAnsi="Times New Roman" w:cs="Times New Roman"/>
        </w:rPr>
        <w:t>.</w:t>
      </w:r>
    </w:p>
    <w:p w14:paraId="77DC382D" w14:textId="77777777" w:rsidR="00894F40" w:rsidRDefault="00894F40" w:rsidP="009E557A">
      <w:pPr>
        <w:ind w:left="270" w:hanging="270"/>
        <w:rPr>
          <w:rFonts w:ascii="Times New Roman" w:hAnsi="Times New Roman" w:cs="Times New Roman"/>
        </w:rPr>
      </w:pPr>
    </w:p>
    <w:p w14:paraId="5663FF3F" w14:textId="5F6EDE34" w:rsidR="00894F40" w:rsidRDefault="00894F40" w:rsidP="009E557A">
      <w:pPr>
        <w:ind w:left="270" w:hanging="270"/>
        <w:rPr>
          <w:rFonts w:ascii="Times New Roman" w:hAnsi="Times New Roman" w:cs="Times New Roman"/>
        </w:rPr>
      </w:pPr>
      <w:r>
        <w:rPr>
          <w:rFonts w:ascii="Times New Roman" w:hAnsi="Times New Roman" w:cs="Times New Roman"/>
        </w:rPr>
        <w:t>---. “Examination of Tituba” under “Tituba.” E</w:t>
      </w:r>
      <w:r w:rsidRPr="00894F40">
        <w:rPr>
          <w:rFonts w:ascii="Times New Roman" w:hAnsi="Times New Roman" w:cs="Times New Roman"/>
        </w:rPr>
        <w:t>d</w:t>
      </w:r>
      <w:r>
        <w:rPr>
          <w:rFonts w:ascii="Times New Roman" w:hAnsi="Times New Roman" w:cs="Times New Roman"/>
        </w:rPr>
        <w:t>ited by</w:t>
      </w:r>
      <w:r w:rsidRPr="00894F40">
        <w:rPr>
          <w:rFonts w:ascii="Times New Roman" w:hAnsi="Times New Roman" w:cs="Times New Roman"/>
        </w:rPr>
        <w:t xml:space="preserve"> Pa</w:t>
      </w:r>
      <w:r>
        <w:rPr>
          <w:rFonts w:ascii="Times New Roman" w:hAnsi="Times New Roman" w:cs="Times New Roman"/>
        </w:rPr>
        <w:t xml:space="preserve">ul Boyer and Stephen </w:t>
      </w:r>
      <w:proofErr w:type="spellStart"/>
      <w:r>
        <w:rPr>
          <w:rFonts w:ascii="Times New Roman" w:hAnsi="Times New Roman" w:cs="Times New Roman"/>
        </w:rPr>
        <w:t>Nissenbaum</w:t>
      </w:r>
      <w:proofErr w:type="spellEnd"/>
      <w:r>
        <w:rPr>
          <w:rFonts w:ascii="Times New Roman" w:hAnsi="Times New Roman" w:cs="Times New Roman"/>
        </w:rPr>
        <w:t>.</w:t>
      </w:r>
      <w:r w:rsidRPr="00894F40">
        <w:rPr>
          <w:rFonts w:ascii="Times New Roman" w:hAnsi="Times New Roman" w:cs="Times New Roman"/>
        </w:rPr>
        <w:t xml:space="preserve"> </w:t>
      </w:r>
      <w:r w:rsidRPr="00894F40">
        <w:rPr>
          <w:rFonts w:ascii="Times New Roman" w:hAnsi="Times New Roman" w:cs="Times New Roman"/>
          <w:i/>
        </w:rPr>
        <w:t>Tituba Case File</w:t>
      </w:r>
      <w:r>
        <w:rPr>
          <w:rFonts w:ascii="Times New Roman" w:hAnsi="Times New Roman" w:cs="Times New Roman"/>
          <w:i/>
        </w:rPr>
        <w:t>,</w:t>
      </w:r>
      <w:r w:rsidRPr="00894F40">
        <w:rPr>
          <w:rFonts w:ascii="Times New Roman" w:hAnsi="Times New Roman" w:cs="Times New Roman"/>
        </w:rPr>
        <w:t xml:space="preserve"> </w:t>
      </w:r>
      <w:r>
        <w:rPr>
          <w:rFonts w:ascii="Times New Roman" w:hAnsi="Times New Roman" w:cs="Times New Roman"/>
        </w:rPr>
        <w:t>V</w:t>
      </w:r>
      <w:r w:rsidRPr="00894F40">
        <w:rPr>
          <w:rFonts w:ascii="Times New Roman" w:hAnsi="Times New Roman" w:cs="Times New Roman"/>
        </w:rPr>
        <w:t xml:space="preserve">ol. 3 of </w:t>
      </w:r>
      <w:r>
        <w:rPr>
          <w:rFonts w:ascii="Times New Roman" w:hAnsi="Times New Roman" w:cs="Times New Roman"/>
          <w:i/>
        </w:rPr>
        <w:t xml:space="preserve">The Salem Witchcraft Papers: </w:t>
      </w:r>
      <w:r w:rsidRPr="00894F40">
        <w:rPr>
          <w:rFonts w:ascii="Times New Roman" w:hAnsi="Times New Roman" w:cs="Times New Roman"/>
          <w:i/>
        </w:rPr>
        <w:t>Verbatim Transcriptions of the Court Records</w:t>
      </w:r>
      <w:r>
        <w:rPr>
          <w:rFonts w:ascii="Times New Roman" w:hAnsi="Times New Roman" w:cs="Times New Roman"/>
        </w:rPr>
        <w:t>. New York: Da Capo Press, 1977. Accessed May 9</w:t>
      </w:r>
      <w:r w:rsidR="00EE155D">
        <w:rPr>
          <w:rFonts w:ascii="Times New Roman" w:hAnsi="Times New Roman" w:cs="Times New Roman"/>
        </w:rPr>
        <w:t>, 2014.</w:t>
      </w:r>
      <w:r w:rsidRPr="00894F40">
        <w:rPr>
          <w:rFonts w:ascii="Times New Roman" w:hAnsi="Times New Roman" w:cs="Times New Roman"/>
        </w:rPr>
        <w:t xml:space="preserve"> </w:t>
      </w:r>
      <w:hyperlink r:id="rId11" w:history="1">
        <w:r w:rsidRPr="006D341F">
          <w:rPr>
            <w:rStyle w:val="Hyperlink"/>
            <w:rFonts w:ascii="Times New Roman" w:hAnsi="Times New Roman" w:cs="Times New Roman"/>
          </w:rPr>
          <w:t>http://salem.lib.virginia.edu/texts/tei/BoySal3R?div_id=n125</w:t>
        </w:r>
      </w:hyperlink>
      <w:r>
        <w:rPr>
          <w:rFonts w:ascii="Times New Roman" w:hAnsi="Times New Roman" w:cs="Times New Roman"/>
        </w:rPr>
        <w:t xml:space="preserve">. </w:t>
      </w:r>
    </w:p>
    <w:p w14:paraId="3A18826F" w14:textId="77777777" w:rsidR="009E557A" w:rsidRPr="009E557A" w:rsidRDefault="009E557A" w:rsidP="009E557A">
      <w:pPr>
        <w:ind w:left="270" w:hanging="270"/>
        <w:rPr>
          <w:rFonts w:ascii="Times New Roman" w:hAnsi="Times New Roman" w:cs="Times New Roman"/>
        </w:rPr>
      </w:pPr>
    </w:p>
    <w:p w14:paraId="61748E8C" w14:textId="2A017A85" w:rsidR="00FD21AA" w:rsidRDefault="00343749" w:rsidP="00CA1F9F">
      <w:pPr>
        <w:ind w:left="270" w:hanging="270"/>
        <w:rPr>
          <w:rFonts w:ascii="Times New Roman" w:hAnsi="Times New Roman" w:cs="Times New Roman"/>
        </w:rPr>
      </w:pPr>
      <w:r>
        <w:rPr>
          <w:rFonts w:ascii="Times New Roman" w:hAnsi="Times New Roman" w:cs="Times New Roman"/>
        </w:rPr>
        <w:t>---</w:t>
      </w:r>
      <w:r w:rsidR="003058E1">
        <w:rPr>
          <w:rFonts w:ascii="Times New Roman" w:hAnsi="Times New Roman" w:cs="Times New Roman"/>
        </w:rPr>
        <w:t>.</w:t>
      </w:r>
      <w:r w:rsidR="003058E1" w:rsidRPr="00195EF8">
        <w:rPr>
          <w:rFonts w:ascii="Times New Roman" w:hAnsi="Times New Roman" w:cs="Times New Roman"/>
        </w:rPr>
        <w:t xml:space="preserve"> “Warrant v. Tituba and Sarah </w:t>
      </w:r>
      <w:proofErr w:type="spellStart"/>
      <w:r w:rsidR="003058E1" w:rsidRPr="00195EF8">
        <w:rPr>
          <w:rFonts w:ascii="Times New Roman" w:hAnsi="Times New Roman" w:cs="Times New Roman"/>
        </w:rPr>
        <w:t>Osbourne</w:t>
      </w:r>
      <w:proofErr w:type="spellEnd"/>
      <w:r w:rsidR="003058E1" w:rsidRPr="00195EF8">
        <w:rPr>
          <w:rFonts w:ascii="Times New Roman" w:hAnsi="Times New Roman" w:cs="Times New Roman"/>
        </w:rPr>
        <w:t>, 1691/2</w:t>
      </w:r>
      <w:r w:rsidR="003058E1">
        <w:rPr>
          <w:rFonts w:ascii="Times New Roman" w:hAnsi="Times New Roman" w:cs="Times New Roman"/>
        </w:rPr>
        <w:t>.</w:t>
      </w:r>
      <w:r w:rsidR="003058E1" w:rsidRPr="00195EF8">
        <w:rPr>
          <w:rFonts w:ascii="Times New Roman" w:hAnsi="Times New Roman" w:cs="Times New Roman"/>
        </w:rPr>
        <w:t>”</w:t>
      </w:r>
      <w:r w:rsidR="003058E1">
        <w:rPr>
          <w:rFonts w:ascii="Times New Roman" w:hAnsi="Times New Roman" w:cs="Times New Roman"/>
        </w:rPr>
        <w:t xml:space="preserve"> Edited by</w:t>
      </w:r>
      <w:r w:rsidR="003058E1" w:rsidRPr="00195EF8">
        <w:rPr>
          <w:rFonts w:ascii="Times New Roman" w:hAnsi="Times New Roman" w:cs="Times New Roman"/>
        </w:rPr>
        <w:t xml:space="preserve"> Paul Boyer and Stephen </w:t>
      </w:r>
      <w:proofErr w:type="spellStart"/>
      <w:r w:rsidR="003058E1" w:rsidRPr="00195EF8">
        <w:rPr>
          <w:rFonts w:ascii="Times New Roman" w:hAnsi="Times New Roman" w:cs="Times New Roman"/>
        </w:rPr>
        <w:t>Nisse</w:t>
      </w:r>
      <w:r w:rsidR="003058E1">
        <w:rPr>
          <w:rFonts w:ascii="Times New Roman" w:hAnsi="Times New Roman" w:cs="Times New Roman"/>
        </w:rPr>
        <w:t>nbaum</w:t>
      </w:r>
      <w:proofErr w:type="spellEnd"/>
      <w:r w:rsidR="003058E1">
        <w:rPr>
          <w:rFonts w:ascii="Times New Roman" w:hAnsi="Times New Roman" w:cs="Times New Roman"/>
        </w:rPr>
        <w:t>.</w:t>
      </w:r>
      <w:r w:rsidR="003058E1" w:rsidRPr="00195EF8">
        <w:rPr>
          <w:rFonts w:ascii="Times New Roman" w:hAnsi="Times New Roman" w:cs="Times New Roman"/>
        </w:rPr>
        <w:t xml:space="preserve"> </w:t>
      </w:r>
      <w:r w:rsidR="003058E1" w:rsidRPr="00195EF8">
        <w:rPr>
          <w:rFonts w:ascii="Times New Roman" w:hAnsi="Times New Roman" w:cs="Times New Roman"/>
          <w:i/>
        </w:rPr>
        <w:t>Tituba Case File</w:t>
      </w:r>
      <w:r w:rsidR="003058E1">
        <w:rPr>
          <w:rFonts w:ascii="Times New Roman" w:hAnsi="Times New Roman" w:cs="Times New Roman"/>
        </w:rPr>
        <w:t>. V</w:t>
      </w:r>
      <w:r w:rsidR="003058E1" w:rsidRPr="00195EF8">
        <w:rPr>
          <w:rFonts w:ascii="Times New Roman" w:hAnsi="Times New Roman" w:cs="Times New Roman"/>
        </w:rPr>
        <w:t xml:space="preserve">ol. 3 of </w:t>
      </w:r>
      <w:r w:rsidR="00D67A87">
        <w:rPr>
          <w:rFonts w:ascii="Times New Roman" w:hAnsi="Times New Roman" w:cs="Times New Roman"/>
          <w:i/>
        </w:rPr>
        <w:t xml:space="preserve">The Salem Witchcraft Papers: </w:t>
      </w:r>
      <w:r w:rsidR="003058E1" w:rsidRPr="00195EF8">
        <w:rPr>
          <w:rFonts w:ascii="Times New Roman" w:hAnsi="Times New Roman" w:cs="Times New Roman"/>
          <w:i/>
        </w:rPr>
        <w:t>Verbatim Transcriptions of the Court Records</w:t>
      </w:r>
      <w:r w:rsidR="003058E1">
        <w:rPr>
          <w:rFonts w:ascii="Times New Roman" w:hAnsi="Times New Roman" w:cs="Times New Roman"/>
        </w:rPr>
        <w:t xml:space="preserve">. </w:t>
      </w:r>
      <w:r w:rsidR="003058E1" w:rsidRPr="00195EF8">
        <w:rPr>
          <w:rFonts w:ascii="Times New Roman" w:hAnsi="Times New Roman" w:cs="Times New Roman"/>
        </w:rPr>
        <w:t>New York: Da Capo Pres</w:t>
      </w:r>
      <w:r w:rsidR="003058E1">
        <w:rPr>
          <w:rFonts w:ascii="Times New Roman" w:hAnsi="Times New Roman" w:cs="Times New Roman"/>
        </w:rPr>
        <w:t>s, 1977.</w:t>
      </w:r>
      <w:r w:rsidR="003058E1" w:rsidRPr="00195EF8">
        <w:rPr>
          <w:rFonts w:ascii="Times New Roman" w:hAnsi="Times New Roman" w:cs="Times New Roman"/>
        </w:rPr>
        <w:t xml:space="preserve"> </w:t>
      </w:r>
      <w:r w:rsidR="00FD21AA">
        <w:rPr>
          <w:rFonts w:ascii="Times New Roman" w:hAnsi="Times New Roman" w:cs="Times New Roman"/>
        </w:rPr>
        <w:t>Accessed May 9, 2014.</w:t>
      </w:r>
      <w:r w:rsidR="009E557A">
        <w:rPr>
          <w:rFonts w:ascii="Times New Roman" w:hAnsi="Times New Roman" w:cs="Times New Roman"/>
        </w:rPr>
        <w:t xml:space="preserve"> </w:t>
      </w:r>
      <w:hyperlink r:id="rId12" w:history="1">
        <w:r w:rsidR="009E557A" w:rsidRPr="006D341F">
          <w:rPr>
            <w:rStyle w:val="Hyperlink"/>
            <w:rFonts w:ascii="Times New Roman" w:hAnsi="Times New Roman" w:cs="Times New Roman"/>
          </w:rPr>
          <w:t>http://salem.lib.virginia.edu/texts/tei/BoySal3R?div_id=n125</w:t>
        </w:r>
      </w:hyperlink>
      <w:r w:rsidR="009E557A">
        <w:rPr>
          <w:rFonts w:ascii="Times New Roman" w:hAnsi="Times New Roman" w:cs="Times New Roman"/>
        </w:rPr>
        <w:t xml:space="preserve">. </w:t>
      </w:r>
    </w:p>
    <w:p w14:paraId="40A5B48B" w14:textId="77777777" w:rsidR="00514EF1" w:rsidRDefault="00514EF1" w:rsidP="00CA1F9F">
      <w:pPr>
        <w:ind w:left="270" w:hanging="270"/>
        <w:rPr>
          <w:rFonts w:ascii="Times New Roman" w:hAnsi="Times New Roman" w:cs="Times New Roman"/>
        </w:rPr>
      </w:pPr>
    </w:p>
    <w:p w14:paraId="064D0499" w14:textId="77777777" w:rsidR="0069265A" w:rsidRDefault="0069265A" w:rsidP="00CA1F9F">
      <w:pPr>
        <w:ind w:left="270" w:hanging="270"/>
        <w:rPr>
          <w:rFonts w:ascii="Times New Roman" w:hAnsi="Times New Roman" w:cs="Times New Roman"/>
        </w:rPr>
      </w:pPr>
    </w:p>
    <w:p w14:paraId="53B61F2C" w14:textId="1010DCAF" w:rsidR="0069265A" w:rsidRDefault="0069265A" w:rsidP="00CA1F9F">
      <w:pPr>
        <w:ind w:left="270" w:hanging="270"/>
        <w:rPr>
          <w:rFonts w:ascii="Times New Roman" w:hAnsi="Times New Roman" w:cs="Times New Roman"/>
        </w:rPr>
      </w:pPr>
      <w:proofErr w:type="spellStart"/>
      <w:r w:rsidRPr="0069265A">
        <w:rPr>
          <w:rFonts w:ascii="Times New Roman" w:hAnsi="Times New Roman" w:cs="Times New Roman"/>
        </w:rPr>
        <w:t>Hathorne</w:t>
      </w:r>
      <w:proofErr w:type="spellEnd"/>
      <w:r w:rsidRPr="0069265A">
        <w:rPr>
          <w:rFonts w:ascii="Times New Roman" w:hAnsi="Times New Roman" w:cs="Times New Roman"/>
        </w:rPr>
        <w:t>,</w:t>
      </w:r>
      <w:r>
        <w:rPr>
          <w:rFonts w:ascii="Times New Roman" w:hAnsi="Times New Roman" w:cs="Times New Roman"/>
        </w:rPr>
        <w:t xml:space="preserve"> John.</w:t>
      </w:r>
      <w:r w:rsidRPr="0069265A">
        <w:rPr>
          <w:rFonts w:ascii="Times New Roman" w:hAnsi="Times New Roman" w:cs="Times New Roman"/>
        </w:rPr>
        <w:t xml:space="preserve"> “Exam</w:t>
      </w:r>
      <w:r>
        <w:rPr>
          <w:rFonts w:ascii="Times New Roman" w:hAnsi="Times New Roman" w:cs="Times New Roman"/>
        </w:rPr>
        <w:t>ination of Candy” under “Candy.” E</w:t>
      </w:r>
      <w:r w:rsidRPr="0069265A">
        <w:rPr>
          <w:rFonts w:ascii="Times New Roman" w:hAnsi="Times New Roman" w:cs="Times New Roman"/>
        </w:rPr>
        <w:t>d</w:t>
      </w:r>
      <w:r>
        <w:rPr>
          <w:rFonts w:ascii="Times New Roman" w:hAnsi="Times New Roman" w:cs="Times New Roman"/>
        </w:rPr>
        <w:t>ited by</w:t>
      </w:r>
      <w:r w:rsidRPr="0069265A">
        <w:rPr>
          <w:rFonts w:ascii="Times New Roman" w:hAnsi="Times New Roman" w:cs="Times New Roman"/>
        </w:rPr>
        <w:t xml:space="preserve"> Pa</w:t>
      </w:r>
      <w:r>
        <w:rPr>
          <w:rFonts w:ascii="Times New Roman" w:hAnsi="Times New Roman" w:cs="Times New Roman"/>
        </w:rPr>
        <w:t xml:space="preserve">ul Boyer and Stephen </w:t>
      </w:r>
      <w:proofErr w:type="spellStart"/>
      <w:r>
        <w:rPr>
          <w:rFonts w:ascii="Times New Roman" w:hAnsi="Times New Roman" w:cs="Times New Roman"/>
        </w:rPr>
        <w:t>Nissenbaum</w:t>
      </w:r>
      <w:proofErr w:type="spellEnd"/>
      <w:r>
        <w:rPr>
          <w:rFonts w:ascii="Times New Roman" w:hAnsi="Times New Roman" w:cs="Times New Roman"/>
        </w:rPr>
        <w:t>.</w:t>
      </w:r>
      <w:r w:rsidRPr="0069265A">
        <w:rPr>
          <w:rFonts w:ascii="Times New Roman" w:hAnsi="Times New Roman" w:cs="Times New Roman"/>
        </w:rPr>
        <w:t xml:space="preserve"> </w:t>
      </w:r>
      <w:r w:rsidRPr="0069265A">
        <w:rPr>
          <w:rFonts w:ascii="Times New Roman" w:hAnsi="Times New Roman" w:cs="Times New Roman"/>
          <w:i/>
        </w:rPr>
        <w:t>Candy Case File</w:t>
      </w:r>
      <w:r w:rsidRPr="0069265A">
        <w:rPr>
          <w:rFonts w:ascii="Times New Roman" w:hAnsi="Times New Roman" w:cs="Times New Roman"/>
        </w:rPr>
        <w:t xml:space="preserve"> of </w:t>
      </w:r>
      <w:r>
        <w:rPr>
          <w:rFonts w:ascii="Times New Roman" w:hAnsi="Times New Roman" w:cs="Times New Roman"/>
          <w:i/>
        </w:rPr>
        <w:t>The Salem Witchcraft Papers:</w:t>
      </w:r>
      <w:r w:rsidRPr="0069265A">
        <w:rPr>
          <w:rFonts w:ascii="Times New Roman" w:hAnsi="Times New Roman" w:cs="Times New Roman"/>
          <w:i/>
        </w:rPr>
        <w:t xml:space="preserve"> Verbatim Transcriptions of the Court Records</w:t>
      </w:r>
      <w:r>
        <w:rPr>
          <w:rFonts w:ascii="Times New Roman" w:hAnsi="Times New Roman" w:cs="Times New Roman"/>
        </w:rPr>
        <w:t xml:space="preserve">. </w:t>
      </w:r>
      <w:r w:rsidRPr="0069265A">
        <w:rPr>
          <w:rFonts w:ascii="Times New Roman" w:hAnsi="Times New Roman" w:cs="Times New Roman"/>
        </w:rPr>
        <w:t>New York: Da Capo P</w:t>
      </w:r>
      <w:r>
        <w:rPr>
          <w:rFonts w:ascii="Times New Roman" w:hAnsi="Times New Roman" w:cs="Times New Roman"/>
        </w:rPr>
        <w:t>ress, 1977. Accessed May 9, 2014.</w:t>
      </w:r>
      <w:r w:rsidRPr="0069265A">
        <w:rPr>
          <w:rFonts w:ascii="Times New Roman" w:hAnsi="Times New Roman" w:cs="Times New Roman"/>
        </w:rPr>
        <w:t xml:space="preserve"> </w:t>
      </w:r>
      <w:hyperlink r:id="rId13" w:history="1">
        <w:r w:rsidRPr="006D341F">
          <w:rPr>
            <w:rStyle w:val="Hyperlink"/>
            <w:rFonts w:ascii="Times New Roman" w:hAnsi="Times New Roman" w:cs="Times New Roman"/>
          </w:rPr>
          <w:t>http://salem.lib.virginia.edu/texts/tei/BoySalCombined?div_id=n23</w:t>
        </w:r>
      </w:hyperlink>
      <w:r>
        <w:rPr>
          <w:rFonts w:ascii="Times New Roman" w:hAnsi="Times New Roman" w:cs="Times New Roman"/>
        </w:rPr>
        <w:t xml:space="preserve">. </w:t>
      </w:r>
      <w:r w:rsidRPr="0069265A">
        <w:rPr>
          <w:rFonts w:ascii="Times New Roman" w:hAnsi="Times New Roman" w:cs="Times New Roman"/>
        </w:rPr>
        <w:t xml:space="preserve">   </w:t>
      </w:r>
    </w:p>
    <w:p w14:paraId="4BFDE275" w14:textId="77777777" w:rsidR="004B5A20" w:rsidRDefault="004B5A20" w:rsidP="00CA1F9F">
      <w:pPr>
        <w:ind w:left="270" w:hanging="270"/>
        <w:rPr>
          <w:rFonts w:ascii="Times New Roman" w:hAnsi="Times New Roman" w:cs="Times New Roman"/>
        </w:rPr>
      </w:pPr>
    </w:p>
    <w:p w14:paraId="65E57A65" w14:textId="519DA8F3" w:rsidR="004B5A20" w:rsidRDefault="0069265A" w:rsidP="00CA1F9F">
      <w:pPr>
        <w:ind w:left="270" w:hanging="270"/>
        <w:rPr>
          <w:rFonts w:ascii="Times New Roman" w:hAnsi="Times New Roman" w:cs="Times New Roman"/>
        </w:rPr>
      </w:pPr>
      <w:r>
        <w:rPr>
          <w:rFonts w:ascii="Times New Roman" w:hAnsi="Times New Roman" w:cs="Times New Roman"/>
        </w:rPr>
        <w:t>---</w:t>
      </w:r>
      <w:r w:rsidR="004B5A20">
        <w:rPr>
          <w:rFonts w:ascii="Times New Roman" w:hAnsi="Times New Roman" w:cs="Times New Roman"/>
        </w:rPr>
        <w:t>.</w:t>
      </w:r>
      <w:r w:rsidR="004B5A20" w:rsidRPr="004B5A20">
        <w:rPr>
          <w:rFonts w:ascii="Times New Roman" w:hAnsi="Times New Roman" w:cs="Times New Roman"/>
        </w:rPr>
        <w:t xml:space="preserve"> “Examination of G</w:t>
      </w:r>
      <w:r w:rsidR="00B80A76">
        <w:rPr>
          <w:rFonts w:ascii="Times New Roman" w:hAnsi="Times New Roman" w:cs="Times New Roman"/>
        </w:rPr>
        <w:t>iles Corey,” under “Giles Corey.” Edited by</w:t>
      </w:r>
      <w:r w:rsidR="004B5A20" w:rsidRPr="004B5A20">
        <w:rPr>
          <w:rFonts w:ascii="Times New Roman" w:hAnsi="Times New Roman" w:cs="Times New Roman"/>
        </w:rPr>
        <w:t xml:space="preserve"> Pa</w:t>
      </w:r>
      <w:r>
        <w:rPr>
          <w:rFonts w:ascii="Times New Roman" w:hAnsi="Times New Roman" w:cs="Times New Roman"/>
        </w:rPr>
        <w:t xml:space="preserve">ul Boyer and Stephen </w:t>
      </w:r>
      <w:proofErr w:type="spellStart"/>
      <w:r>
        <w:rPr>
          <w:rFonts w:ascii="Times New Roman" w:hAnsi="Times New Roman" w:cs="Times New Roman"/>
        </w:rPr>
        <w:t>Nissenbaum</w:t>
      </w:r>
      <w:proofErr w:type="spellEnd"/>
      <w:r>
        <w:rPr>
          <w:rFonts w:ascii="Times New Roman" w:hAnsi="Times New Roman" w:cs="Times New Roman"/>
        </w:rPr>
        <w:t>.</w:t>
      </w:r>
      <w:r w:rsidR="004B5A20" w:rsidRPr="004B5A20">
        <w:rPr>
          <w:rFonts w:ascii="Times New Roman" w:hAnsi="Times New Roman" w:cs="Times New Roman"/>
        </w:rPr>
        <w:t xml:space="preserve"> </w:t>
      </w:r>
      <w:r w:rsidR="004B5A20" w:rsidRPr="00B80A76">
        <w:rPr>
          <w:rFonts w:ascii="Times New Roman" w:hAnsi="Times New Roman" w:cs="Times New Roman"/>
          <w:i/>
        </w:rPr>
        <w:t>Giles Corey Case File</w:t>
      </w:r>
      <w:r w:rsidR="004B5A20" w:rsidRPr="004B5A20">
        <w:rPr>
          <w:rFonts w:ascii="Times New Roman" w:hAnsi="Times New Roman" w:cs="Times New Roman"/>
        </w:rPr>
        <w:t xml:space="preserve"> of </w:t>
      </w:r>
      <w:r w:rsidR="004B5A20" w:rsidRPr="00B80A76">
        <w:rPr>
          <w:rFonts w:ascii="Times New Roman" w:hAnsi="Times New Roman" w:cs="Times New Roman"/>
          <w:i/>
        </w:rPr>
        <w:t>The Salem Witchcraft Papers: Verbatim Transcriptions of the Court Records</w:t>
      </w:r>
      <w:r w:rsidR="00B80A76">
        <w:rPr>
          <w:rFonts w:ascii="Times New Roman" w:hAnsi="Times New Roman" w:cs="Times New Roman"/>
        </w:rPr>
        <w:t>. New York: Da Capo Press, 1977. Accessed May 9</w:t>
      </w:r>
      <w:r w:rsidR="004B5A20" w:rsidRPr="004B5A20">
        <w:rPr>
          <w:rFonts w:ascii="Times New Roman" w:hAnsi="Times New Roman" w:cs="Times New Roman"/>
        </w:rPr>
        <w:t>, 2014</w:t>
      </w:r>
      <w:r w:rsidR="00B80A76">
        <w:rPr>
          <w:rFonts w:ascii="Times New Roman" w:hAnsi="Times New Roman" w:cs="Times New Roman"/>
        </w:rPr>
        <w:t xml:space="preserve">. </w:t>
      </w:r>
      <w:hyperlink r:id="rId14" w:history="1">
        <w:r w:rsidR="004B5A20" w:rsidRPr="006D341F">
          <w:rPr>
            <w:rStyle w:val="Hyperlink"/>
            <w:rFonts w:ascii="Times New Roman" w:hAnsi="Times New Roman" w:cs="Times New Roman"/>
          </w:rPr>
          <w:t>http://salem.lib.virginia.edu/texts/tei/BoySal1R?div_id=n37</w:t>
        </w:r>
      </w:hyperlink>
      <w:r w:rsidR="004B5A20">
        <w:rPr>
          <w:rFonts w:ascii="Times New Roman" w:hAnsi="Times New Roman" w:cs="Times New Roman"/>
        </w:rPr>
        <w:t xml:space="preserve">. </w:t>
      </w:r>
    </w:p>
    <w:p w14:paraId="15C6185C" w14:textId="77777777" w:rsidR="00343749" w:rsidRDefault="00343749" w:rsidP="00CA1F9F">
      <w:pPr>
        <w:ind w:left="270" w:hanging="270"/>
        <w:rPr>
          <w:rFonts w:ascii="Times New Roman" w:hAnsi="Times New Roman" w:cs="Times New Roman"/>
        </w:rPr>
      </w:pPr>
    </w:p>
    <w:p w14:paraId="6BA1454E" w14:textId="1C4D7EAE" w:rsidR="00343749" w:rsidRDefault="00343749" w:rsidP="00CA1F9F">
      <w:pPr>
        <w:ind w:left="270" w:hanging="270"/>
        <w:rPr>
          <w:rFonts w:ascii="Times New Roman" w:hAnsi="Times New Roman" w:cs="Times New Roman"/>
        </w:rPr>
      </w:pPr>
      <w:r>
        <w:rPr>
          <w:rFonts w:ascii="Times New Roman" w:hAnsi="Times New Roman" w:cs="Times New Roman"/>
        </w:rPr>
        <w:t>---.</w:t>
      </w:r>
      <w:r w:rsidRPr="00343749">
        <w:rPr>
          <w:rFonts w:ascii="Times New Roman" w:hAnsi="Times New Roman" w:cs="Times New Roman"/>
        </w:rPr>
        <w:t xml:space="preserve"> “Giles Corey Presse</w:t>
      </w:r>
      <w:r>
        <w:rPr>
          <w:rFonts w:ascii="Times New Roman" w:hAnsi="Times New Roman" w:cs="Times New Roman"/>
        </w:rPr>
        <w:t>d to Death, September 16, 1692” under “Giles Corey.” E</w:t>
      </w:r>
      <w:r w:rsidRPr="00343749">
        <w:rPr>
          <w:rFonts w:ascii="Times New Roman" w:hAnsi="Times New Roman" w:cs="Times New Roman"/>
        </w:rPr>
        <w:t>d</w:t>
      </w:r>
      <w:r>
        <w:rPr>
          <w:rFonts w:ascii="Times New Roman" w:hAnsi="Times New Roman" w:cs="Times New Roman"/>
        </w:rPr>
        <w:t>ited by</w:t>
      </w:r>
      <w:r w:rsidRPr="00343749">
        <w:rPr>
          <w:rFonts w:ascii="Times New Roman" w:hAnsi="Times New Roman" w:cs="Times New Roman"/>
        </w:rPr>
        <w:t xml:space="preserve"> Pa</w:t>
      </w:r>
      <w:r w:rsidR="0069265A">
        <w:rPr>
          <w:rFonts w:ascii="Times New Roman" w:hAnsi="Times New Roman" w:cs="Times New Roman"/>
        </w:rPr>
        <w:t xml:space="preserve">ul Boyer and Stephen </w:t>
      </w:r>
      <w:proofErr w:type="spellStart"/>
      <w:r w:rsidR="0069265A">
        <w:rPr>
          <w:rFonts w:ascii="Times New Roman" w:hAnsi="Times New Roman" w:cs="Times New Roman"/>
        </w:rPr>
        <w:t>Nissenbaum</w:t>
      </w:r>
      <w:proofErr w:type="spellEnd"/>
      <w:r w:rsidR="0069265A">
        <w:rPr>
          <w:rFonts w:ascii="Times New Roman" w:hAnsi="Times New Roman" w:cs="Times New Roman"/>
        </w:rPr>
        <w:t>.</w:t>
      </w:r>
      <w:r w:rsidRPr="00343749">
        <w:rPr>
          <w:rFonts w:ascii="Times New Roman" w:hAnsi="Times New Roman" w:cs="Times New Roman"/>
        </w:rPr>
        <w:t xml:space="preserve"> </w:t>
      </w:r>
      <w:r w:rsidRPr="00343749">
        <w:rPr>
          <w:rFonts w:ascii="Times New Roman" w:hAnsi="Times New Roman" w:cs="Times New Roman"/>
          <w:i/>
        </w:rPr>
        <w:t>Giles Corey Case File</w:t>
      </w:r>
      <w:r w:rsidRPr="00343749">
        <w:rPr>
          <w:rFonts w:ascii="Times New Roman" w:hAnsi="Times New Roman" w:cs="Times New Roman"/>
        </w:rPr>
        <w:t xml:space="preserve">, of </w:t>
      </w:r>
      <w:r w:rsidRPr="00343749">
        <w:rPr>
          <w:rFonts w:ascii="Times New Roman" w:hAnsi="Times New Roman" w:cs="Times New Roman"/>
          <w:i/>
        </w:rPr>
        <w:t>The Salem Witchcra</w:t>
      </w:r>
      <w:r>
        <w:rPr>
          <w:rFonts w:ascii="Times New Roman" w:hAnsi="Times New Roman" w:cs="Times New Roman"/>
          <w:i/>
        </w:rPr>
        <w:t xml:space="preserve">ft Papers: </w:t>
      </w:r>
      <w:r w:rsidRPr="00343749">
        <w:rPr>
          <w:rFonts w:ascii="Times New Roman" w:hAnsi="Times New Roman" w:cs="Times New Roman"/>
          <w:i/>
        </w:rPr>
        <w:t>Verbatim Transcriptions of the Court Records</w:t>
      </w:r>
      <w:r>
        <w:rPr>
          <w:rFonts w:ascii="Times New Roman" w:hAnsi="Times New Roman" w:cs="Times New Roman"/>
        </w:rPr>
        <w:t>. New York: Da Capo Press, 1977. Accessed May 9, 2014.</w:t>
      </w:r>
      <w:r w:rsidRPr="00343749">
        <w:rPr>
          <w:rFonts w:ascii="Times New Roman" w:hAnsi="Times New Roman" w:cs="Times New Roman"/>
        </w:rPr>
        <w:t xml:space="preserve"> </w:t>
      </w:r>
      <w:hyperlink r:id="rId15" w:history="1">
        <w:r w:rsidRPr="006D341F">
          <w:rPr>
            <w:rStyle w:val="Hyperlink"/>
            <w:rFonts w:ascii="Times New Roman" w:hAnsi="Times New Roman" w:cs="Times New Roman"/>
          </w:rPr>
          <w:t>http://salem.lib.virginia.edu/texts/tei/BoySal1R?div_id=n37</w:t>
        </w:r>
      </w:hyperlink>
      <w:r>
        <w:rPr>
          <w:rFonts w:ascii="Times New Roman" w:hAnsi="Times New Roman" w:cs="Times New Roman"/>
        </w:rPr>
        <w:t xml:space="preserve">. </w:t>
      </w:r>
    </w:p>
    <w:p w14:paraId="54ADDE09" w14:textId="77777777" w:rsidR="006D4C97" w:rsidRDefault="006D4C97" w:rsidP="00CA1F9F">
      <w:pPr>
        <w:ind w:left="270" w:hanging="270"/>
        <w:rPr>
          <w:rFonts w:ascii="Times New Roman" w:hAnsi="Times New Roman" w:cs="Times New Roman"/>
        </w:rPr>
      </w:pPr>
    </w:p>
    <w:p w14:paraId="3732AE41" w14:textId="5EC64651" w:rsidR="00D67A87" w:rsidRDefault="00D67A87" w:rsidP="00CA1F9F">
      <w:pPr>
        <w:ind w:left="270" w:hanging="270"/>
        <w:rPr>
          <w:rFonts w:ascii="Times New Roman" w:hAnsi="Times New Roman" w:cs="Times New Roman"/>
        </w:rPr>
      </w:pPr>
      <w:r w:rsidRPr="00D67A87">
        <w:rPr>
          <w:rFonts w:ascii="Times New Roman" w:hAnsi="Times New Roman" w:cs="Times New Roman"/>
        </w:rPr>
        <w:t>Stoughton,</w:t>
      </w:r>
      <w:r>
        <w:rPr>
          <w:rFonts w:ascii="Times New Roman" w:hAnsi="Times New Roman" w:cs="Times New Roman"/>
        </w:rPr>
        <w:t xml:space="preserve"> William.</w:t>
      </w:r>
      <w:r w:rsidRPr="00D67A87">
        <w:rPr>
          <w:rFonts w:ascii="Times New Roman" w:hAnsi="Times New Roman" w:cs="Times New Roman"/>
        </w:rPr>
        <w:t xml:space="preserve"> “Death Warrant for Sarah Good ,</w:t>
      </w:r>
      <w:r>
        <w:rPr>
          <w:rFonts w:ascii="Times New Roman" w:hAnsi="Times New Roman" w:cs="Times New Roman"/>
        </w:rPr>
        <w:t xml:space="preserve"> Rebecca Nurse, Susannah Martin, Elizabeth How</w:t>
      </w:r>
      <w:r w:rsidRPr="00D67A87">
        <w:rPr>
          <w:rFonts w:ascii="Times New Roman" w:hAnsi="Times New Roman" w:cs="Times New Roman"/>
        </w:rPr>
        <w:t>, and Sarah</w:t>
      </w:r>
      <w:r>
        <w:rPr>
          <w:rFonts w:ascii="Times New Roman" w:hAnsi="Times New Roman" w:cs="Times New Roman"/>
        </w:rPr>
        <w:t xml:space="preserve"> Wilds”</w:t>
      </w:r>
      <w:r w:rsidRPr="00D67A87">
        <w:rPr>
          <w:rFonts w:ascii="Times New Roman" w:hAnsi="Times New Roman" w:cs="Times New Roman"/>
        </w:rPr>
        <w:t xml:space="preserve"> under “Sarah Good</w:t>
      </w:r>
      <w:r>
        <w:rPr>
          <w:rFonts w:ascii="Times New Roman" w:hAnsi="Times New Roman" w:cs="Times New Roman"/>
        </w:rPr>
        <w:t>.” E</w:t>
      </w:r>
      <w:r w:rsidRPr="00D67A87">
        <w:rPr>
          <w:rFonts w:ascii="Times New Roman" w:hAnsi="Times New Roman" w:cs="Times New Roman"/>
        </w:rPr>
        <w:t>d</w:t>
      </w:r>
      <w:r>
        <w:rPr>
          <w:rFonts w:ascii="Times New Roman" w:hAnsi="Times New Roman" w:cs="Times New Roman"/>
        </w:rPr>
        <w:t>ited by</w:t>
      </w:r>
      <w:r w:rsidRPr="00D67A87">
        <w:rPr>
          <w:rFonts w:ascii="Times New Roman" w:hAnsi="Times New Roman" w:cs="Times New Roman"/>
        </w:rPr>
        <w:t xml:space="preserve"> Pa</w:t>
      </w:r>
      <w:r w:rsidR="0069265A">
        <w:rPr>
          <w:rFonts w:ascii="Times New Roman" w:hAnsi="Times New Roman" w:cs="Times New Roman"/>
        </w:rPr>
        <w:t xml:space="preserve">ul </w:t>
      </w:r>
      <w:r w:rsidR="0069265A">
        <w:rPr>
          <w:rFonts w:ascii="Times New Roman" w:hAnsi="Times New Roman" w:cs="Times New Roman"/>
        </w:rPr>
        <w:lastRenderedPageBreak/>
        <w:t xml:space="preserve">Boyer and Stephen </w:t>
      </w:r>
      <w:proofErr w:type="spellStart"/>
      <w:r w:rsidR="0069265A">
        <w:rPr>
          <w:rFonts w:ascii="Times New Roman" w:hAnsi="Times New Roman" w:cs="Times New Roman"/>
        </w:rPr>
        <w:t>Nissenbaum</w:t>
      </w:r>
      <w:proofErr w:type="spellEnd"/>
      <w:r w:rsidR="0069265A">
        <w:rPr>
          <w:rFonts w:ascii="Times New Roman" w:hAnsi="Times New Roman" w:cs="Times New Roman"/>
        </w:rPr>
        <w:t>.</w:t>
      </w:r>
      <w:r w:rsidRPr="00D67A87">
        <w:rPr>
          <w:rFonts w:ascii="Times New Roman" w:hAnsi="Times New Roman" w:cs="Times New Roman"/>
        </w:rPr>
        <w:t xml:space="preserve"> </w:t>
      </w:r>
      <w:r w:rsidRPr="00D67A87">
        <w:rPr>
          <w:rFonts w:ascii="Times New Roman" w:hAnsi="Times New Roman" w:cs="Times New Roman"/>
          <w:i/>
        </w:rPr>
        <w:t>Sarah Good Case File</w:t>
      </w:r>
      <w:r>
        <w:rPr>
          <w:rFonts w:ascii="Times New Roman" w:hAnsi="Times New Roman" w:cs="Times New Roman"/>
        </w:rPr>
        <w:t>, V</w:t>
      </w:r>
      <w:r w:rsidRPr="00D67A87">
        <w:rPr>
          <w:rFonts w:ascii="Times New Roman" w:hAnsi="Times New Roman" w:cs="Times New Roman"/>
        </w:rPr>
        <w:t xml:space="preserve">ol. 1 of </w:t>
      </w:r>
      <w:r>
        <w:rPr>
          <w:rFonts w:ascii="Times New Roman" w:hAnsi="Times New Roman" w:cs="Times New Roman"/>
          <w:i/>
        </w:rPr>
        <w:t xml:space="preserve">The Salem Witchcraft Papers: </w:t>
      </w:r>
      <w:r w:rsidRPr="00D67A87">
        <w:rPr>
          <w:rFonts w:ascii="Times New Roman" w:hAnsi="Times New Roman" w:cs="Times New Roman"/>
          <w:i/>
        </w:rPr>
        <w:t>Verbatim Transcriptions of the Court Records</w:t>
      </w:r>
      <w:r>
        <w:rPr>
          <w:rFonts w:ascii="Times New Roman" w:hAnsi="Times New Roman" w:cs="Times New Roman"/>
        </w:rPr>
        <w:t>. New York: Da Capo Press, 1977. Accessed May 9</w:t>
      </w:r>
      <w:r w:rsidR="0069265A">
        <w:rPr>
          <w:rFonts w:ascii="Times New Roman" w:hAnsi="Times New Roman" w:cs="Times New Roman"/>
        </w:rPr>
        <w:t>, 2014.</w:t>
      </w:r>
      <w:r w:rsidRPr="00D67A87">
        <w:rPr>
          <w:rFonts w:ascii="Times New Roman" w:hAnsi="Times New Roman" w:cs="Times New Roman"/>
        </w:rPr>
        <w:t xml:space="preserve"> </w:t>
      </w:r>
      <w:hyperlink r:id="rId16" w:history="1">
        <w:r w:rsidRPr="006D341F">
          <w:rPr>
            <w:rStyle w:val="Hyperlink"/>
            <w:rFonts w:ascii="Times New Roman" w:hAnsi="Times New Roman" w:cs="Times New Roman"/>
          </w:rPr>
          <w:t>http://salem.lib.virginia.edu/texts/tei/BoySalCombined?div_id=n63</w:t>
        </w:r>
      </w:hyperlink>
      <w:r>
        <w:rPr>
          <w:rFonts w:ascii="Times New Roman" w:hAnsi="Times New Roman" w:cs="Times New Roman"/>
        </w:rPr>
        <w:t xml:space="preserve">. </w:t>
      </w:r>
    </w:p>
    <w:p w14:paraId="101B01FE" w14:textId="601641CF" w:rsidR="003058E1" w:rsidRPr="003058E1" w:rsidRDefault="003058E1" w:rsidP="00CA1F9F">
      <w:pPr>
        <w:ind w:left="270" w:hanging="270"/>
        <w:rPr>
          <w:rFonts w:ascii="Times New Roman" w:hAnsi="Times New Roman" w:cs="Times New Roman"/>
        </w:rPr>
      </w:pPr>
    </w:p>
    <w:p w14:paraId="355C1A86" w14:textId="77777777" w:rsidR="003058E1" w:rsidRDefault="003058E1" w:rsidP="003058E1">
      <w:pPr>
        <w:rPr>
          <w:rFonts w:ascii="Times New Roman" w:hAnsi="Times New Roman" w:cs="Times New Roman"/>
          <w:b/>
        </w:rPr>
      </w:pPr>
    </w:p>
    <w:p w14:paraId="7F84C48C" w14:textId="57E930DD" w:rsidR="003058E1" w:rsidRDefault="003058E1" w:rsidP="003058E1">
      <w:pPr>
        <w:spacing w:line="480" w:lineRule="auto"/>
        <w:rPr>
          <w:rFonts w:ascii="Times New Roman" w:hAnsi="Times New Roman" w:cs="Times New Roman"/>
          <w:b/>
        </w:rPr>
      </w:pPr>
      <w:r>
        <w:rPr>
          <w:rFonts w:ascii="Times New Roman" w:hAnsi="Times New Roman" w:cs="Times New Roman"/>
          <w:b/>
        </w:rPr>
        <w:t>Secondary</w:t>
      </w:r>
      <w:r w:rsidR="00F56C37">
        <w:rPr>
          <w:rFonts w:ascii="Times New Roman" w:hAnsi="Times New Roman" w:cs="Times New Roman"/>
          <w:b/>
        </w:rPr>
        <w:t xml:space="preserve"> Sources</w:t>
      </w:r>
      <w:r>
        <w:rPr>
          <w:rFonts w:ascii="Times New Roman" w:hAnsi="Times New Roman" w:cs="Times New Roman"/>
          <w:b/>
        </w:rPr>
        <w:t>:</w:t>
      </w:r>
    </w:p>
    <w:p w14:paraId="107B50AB" w14:textId="084F2CB8" w:rsidR="0082080B" w:rsidRDefault="0082080B" w:rsidP="0082080B">
      <w:pPr>
        <w:pStyle w:val="ListParagraph"/>
        <w:ind w:left="446" w:hanging="446"/>
        <w:rPr>
          <w:rFonts w:ascii="Times New Roman" w:hAnsi="Times New Roman" w:cs="Times New Roman"/>
        </w:rPr>
      </w:pPr>
      <w:proofErr w:type="spellStart"/>
      <w:r w:rsidRPr="00525ADD">
        <w:rPr>
          <w:rFonts w:ascii="Times New Roman" w:hAnsi="Times New Roman" w:cs="Times New Roman"/>
        </w:rPr>
        <w:t>Breslaw</w:t>
      </w:r>
      <w:proofErr w:type="spellEnd"/>
      <w:r w:rsidRPr="00525ADD">
        <w:rPr>
          <w:rFonts w:ascii="Times New Roman" w:hAnsi="Times New Roman" w:cs="Times New Roman"/>
        </w:rPr>
        <w:t xml:space="preserve">, Elaine. “Tituba's Confession: The Multicultural Dimensions of the 1692 Salem Witch-Hunt.” </w:t>
      </w:r>
      <w:proofErr w:type="spellStart"/>
      <w:r w:rsidRPr="00525ADD">
        <w:rPr>
          <w:rFonts w:ascii="Times New Roman" w:hAnsi="Times New Roman" w:cs="Times New Roman"/>
          <w:i/>
        </w:rPr>
        <w:t>Ethnohistory</w:t>
      </w:r>
      <w:proofErr w:type="spellEnd"/>
      <w:r w:rsidR="00CA141A">
        <w:rPr>
          <w:rFonts w:ascii="Times New Roman" w:hAnsi="Times New Roman" w:cs="Times New Roman"/>
        </w:rPr>
        <w:t xml:space="preserve"> 44, no. 3 (1997),</w:t>
      </w:r>
      <w:r w:rsidRPr="00525ADD">
        <w:rPr>
          <w:rFonts w:ascii="Times New Roman" w:hAnsi="Times New Roman" w:cs="Times New Roman"/>
        </w:rPr>
        <w:t xml:space="preserve"> </w:t>
      </w:r>
      <w:hyperlink r:id="rId17" w:history="1">
        <w:r w:rsidR="00CA141A" w:rsidRPr="006D341F">
          <w:rPr>
            <w:rStyle w:val="Hyperlink"/>
            <w:rFonts w:ascii="Times New Roman" w:hAnsi="Times New Roman" w:cs="Times New Roman"/>
          </w:rPr>
          <w:t>http://www.jstor.org/stable/483035</w:t>
        </w:r>
      </w:hyperlink>
      <w:r w:rsidR="00CA141A">
        <w:rPr>
          <w:rFonts w:ascii="Times New Roman" w:hAnsi="Times New Roman" w:cs="Times New Roman"/>
        </w:rPr>
        <w:t xml:space="preserve"> (accessed May 9, 2014</w:t>
      </w:r>
      <w:r w:rsidRPr="00525ADD">
        <w:rPr>
          <w:rFonts w:ascii="Times New Roman" w:hAnsi="Times New Roman" w:cs="Times New Roman"/>
        </w:rPr>
        <w:t>)</w:t>
      </w:r>
      <w:r>
        <w:rPr>
          <w:rFonts w:ascii="Times New Roman" w:hAnsi="Times New Roman" w:cs="Times New Roman"/>
        </w:rPr>
        <w:t>.</w:t>
      </w:r>
      <w:r w:rsidRPr="00525ADD">
        <w:rPr>
          <w:rFonts w:ascii="Times New Roman" w:hAnsi="Times New Roman" w:cs="Times New Roman"/>
        </w:rPr>
        <w:t xml:space="preserve"> </w:t>
      </w:r>
    </w:p>
    <w:p w14:paraId="65D26398" w14:textId="77777777" w:rsidR="0082080B" w:rsidRPr="002B3BB2" w:rsidRDefault="0082080B" w:rsidP="0082080B">
      <w:pPr>
        <w:pStyle w:val="ListParagraph"/>
        <w:ind w:left="446" w:hanging="446"/>
        <w:rPr>
          <w:rFonts w:ascii="Times New Roman" w:hAnsi="Times New Roman" w:cs="Times New Roman"/>
        </w:rPr>
      </w:pPr>
    </w:p>
    <w:p w14:paraId="5343B641" w14:textId="496F8AAF" w:rsidR="0082080B" w:rsidRDefault="0082080B" w:rsidP="0082080B">
      <w:pPr>
        <w:pStyle w:val="ListParagraph"/>
        <w:ind w:left="446" w:hanging="446"/>
        <w:rPr>
          <w:rFonts w:ascii="Times New Roman" w:hAnsi="Times New Roman" w:cs="Times New Roman"/>
        </w:rPr>
      </w:pPr>
      <w:r w:rsidRPr="00525ADD">
        <w:rPr>
          <w:rFonts w:ascii="Times New Roman" w:hAnsi="Times New Roman" w:cs="Times New Roman"/>
        </w:rPr>
        <w:t xml:space="preserve">Hansen, Chadwick. “The Metamorphosis of Tituba: or Why American Intellectuals Can't Tell an Indian Witch from a Negro.” </w:t>
      </w:r>
      <w:r w:rsidRPr="00525ADD">
        <w:rPr>
          <w:rFonts w:ascii="Times New Roman" w:hAnsi="Times New Roman" w:cs="Times New Roman"/>
          <w:i/>
        </w:rPr>
        <w:t>The New England Quarterly</w:t>
      </w:r>
      <w:r w:rsidRPr="00525ADD">
        <w:rPr>
          <w:rFonts w:ascii="Times New Roman" w:hAnsi="Times New Roman" w:cs="Times New Roman"/>
        </w:rPr>
        <w:t xml:space="preserve"> 47</w:t>
      </w:r>
      <w:r>
        <w:rPr>
          <w:rFonts w:ascii="Times New Roman" w:hAnsi="Times New Roman" w:cs="Times New Roman"/>
        </w:rPr>
        <w:t>,</w:t>
      </w:r>
      <w:r w:rsidR="004977A5">
        <w:rPr>
          <w:rFonts w:ascii="Times New Roman" w:hAnsi="Times New Roman" w:cs="Times New Roman"/>
        </w:rPr>
        <w:t xml:space="preserve"> no. 1 (1974),</w:t>
      </w:r>
      <w:r w:rsidRPr="00525ADD">
        <w:rPr>
          <w:rFonts w:ascii="Times New Roman" w:hAnsi="Times New Roman" w:cs="Times New Roman"/>
        </w:rPr>
        <w:t xml:space="preserve"> </w:t>
      </w:r>
      <w:hyperlink r:id="rId18" w:history="1">
        <w:r w:rsidRPr="00B51875">
          <w:rPr>
            <w:rStyle w:val="Hyperlink"/>
            <w:rFonts w:ascii="Times New Roman" w:hAnsi="Times New Roman" w:cs="Times New Roman"/>
          </w:rPr>
          <w:t>http://www.jstor.org/stable/364324</w:t>
        </w:r>
      </w:hyperlink>
      <w:r w:rsidR="00CA141A">
        <w:rPr>
          <w:rFonts w:ascii="Times New Roman" w:hAnsi="Times New Roman" w:cs="Times New Roman"/>
        </w:rPr>
        <w:t xml:space="preserve">  (accessed May 9, 2014</w:t>
      </w:r>
      <w:r w:rsidRPr="00525ADD">
        <w:rPr>
          <w:rFonts w:ascii="Times New Roman" w:hAnsi="Times New Roman" w:cs="Times New Roman"/>
        </w:rPr>
        <w:t>)</w:t>
      </w:r>
      <w:r>
        <w:rPr>
          <w:rFonts w:ascii="Times New Roman" w:hAnsi="Times New Roman" w:cs="Times New Roman"/>
        </w:rPr>
        <w:t>.</w:t>
      </w:r>
    </w:p>
    <w:p w14:paraId="098B9617" w14:textId="77777777" w:rsidR="0082080B" w:rsidRDefault="0082080B" w:rsidP="0082080B">
      <w:pPr>
        <w:ind w:left="450" w:hanging="450"/>
        <w:rPr>
          <w:rFonts w:ascii="Times New Roman" w:hAnsi="Times New Roman" w:cs="Times New Roman"/>
        </w:rPr>
      </w:pPr>
    </w:p>
    <w:p w14:paraId="67B3B500" w14:textId="716D9C4F" w:rsidR="0082080B" w:rsidRDefault="0082080B" w:rsidP="0082080B">
      <w:pPr>
        <w:ind w:left="450" w:hanging="450"/>
        <w:rPr>
          <w:rFonts w:ascii="Times New Roman" w:hAnsi="Times New Roman" w:cs="Times New Roman"/>
        </w:rPr>
      </w:pPr>
      <w:proofErr w:type="spellStart"/>
      <w:r>
        <w:rPr>
          <w:rFonts w:ascii="Times New Roman" w:hAnsi="Times New Roman" w:cs="Times New Roman"/>
        </w:rPr>
        <w:t>Lindholt</w:t>
      </w:r>
      <w:proofErr w:type="spellEnd"/>
      <w:r>
        <w:rPr>
          <w:rFonts w:ascii="Times New Roman" w:hAnsi="Times New Roman" w:cs="Times New Roman"/>
        </w:rPr>
        <w:t>, Paul J. “Crimes of Gender</w:t>
      </w:r>
      <w:r w:rsidR="0078096E">
        <w:rPr>
          <w:rFonts w:ascii="Times New Roman" w:hAnsi="Times New Roman" w:cs="Times New Roman"/>
        </w:rPr>
        <w:t xml:space="preserve"> in Puritan America</w:t>
      </w:r>
      <w:r>
        <w:rPr>
          <w:rFonts w:ascii="Times New Roman" w:hAnsi="Times New Roman" w:cs="Times New Roman"/>
        </w:rPr>
        <w:t xml:space="preserve">”. </w:t>
      </w:r>
      <w:r w:rsidRPr="00B43C1E">
        <w:rPr>
          <w:rFonts w:ascii="Times New Roman" w:hAnsi="Times New Roman" w:cs="Times New Roman"/>
          <w:i/>
        </w:rPr>
        <w:t>American Quarterly</w:t>
      </w:r>
      <w:r>
        <w:rPr>
          <w:rFonts w:ascii="Times New Roman" w:hAnsi="Times New Roman" w:cs="Times New Roman"/>
        </w:rPr>
        <w:t xml:space="preserve"> 40, no. 4 (1988)</w:t>
      </w:r>
      <w:r w:rsidR="0078096E">
        <w:rPr>
          <w:rFonts w:ascii="Times New Roman" w:hAnsi="Times New Roman" w:cs="Times New Roman"/>
        </w:rPr>
        <w:t xml:space="preserve">, </w:t>
      </w:r>
      <w:hyperlink r:id="rId19" w:history="1">
        <w:r w:rsidR="0078096E" w:rsidRPr="000430DA">
          <w:rPr>
            <w:rStyle w:val="Hyperlink"/>
            <w:lang w:val="en"/>
          </w:rPr>
          <w:t>http://www.jstor.org/stable/2713005</w:t>
        </w:r>
      </w:hyperlink>
      <w:r w:rsidR="0078096E">
        <w:rPr>
          <w:lang w:val="en"/>
        </w:rPr>
        <w:t xml:space="preserve"> </w:t>
      </w:r>
      <w:r w:rsidR="0078096E">
        <w:rPr>
          <w:rFonts w:ascii="Times New Roman" w:hAnsi="Times New Roman" w:cs="Times New Roman"/>
        </w:rPr>
        <w:t>(accessed May 9, 2014</w:t>
      </w:r>
      <w:r>
        <w:rPr>
          <w:rFonts w:ascii="Times New Roman" w:hAnsi="Times New Roman" w:cs="Times New Roman"/>
        </w:rPr>
        <w:t>).</w:t>
      </w:r>
    </w:p>
    <w:p w14:paraId="5DC30980" w14:textId="77777777" w:rsidR="0082080B" w:rsidRDefault="0082080B" w:rsidP="0082080B">
      <w:pPr>
        <w:ind w:left="450" w:hanging="450"/>
        <w:rPr>
          <w:rFonts w:ascii="Times New Roman" w:hAnsi="Times New Roman" w:cs="Times New Roman"/>
        </w:rPr>
      </w:pPr>
    </w:p>
    <w:p w14:paraId="7433B596" w14:textId="3087D4EC" w:rsidR="0082080B" w:rsidRDefault="0082080B" w:rsidP="0082080B">
      <w:pPr>
        <w:ind w:left="450" w:hanging="450"/>
        <w:rPr>
          <w:rFonts w:ascii="Times New Roman" w:hAnsi="Times New Roman" w:cs="Times New Roman"/>
        </w:rPr>
      </w:pPr>
      <w:proofErr w:type="spellStart"/>
      <w:r>
        <w:rPr>
          <w:rFonts w:ascii="Times New Roman" w:hAnsi="Times New Roman" w:cs="Times New Roman"/>
        </w:rPr>
        <w:t>Mackinlay</w:t>
      </w:r>
      <w:proofErr w:type="spellEnd"/>
      <w:r>
        <w:rPr>
          <w:rFonts w:ascii="Times New Roman" w:hAnsi="Times New Roman" w:cs="Times New Roman"/>
        </w:rPr>
        <w:t xml:space="preserve">, Peter W. </w:t>
      </w:r>
      <w:r w:rsidRPr="00B43C1E">
        <w:rPr>
          <w:rFonts w:ascii="Times New Roman" w:hAnsi="Times New Roman" w:cs="Times New Roman"/>
          <w:i/>
        </w:rPr>
        <w:t>The New England Puritan Attitude Toward Black Slavery</w:t>
      </w:r>
      <w:r>
        <w:rPr>
          <w:rFonts w:ascii="Times New Roman" w:hAnsi="Times New Roman" w:cs="Times New Roman"/>
        </w:rPr>
        <w:t>. V</w:t>
      </w:r>
      <w:r w:rsidRPr="00B43C1E">
        <w:rPr>
          <w:rFonts w:ascii="Times New Roman" w:hAnsi="Times New Roman" w:cs="Times New Roman"/>
        </w:rPr>
        <w:t xml:space="preserve">ol. 1 of </w:t>
      </w:r>
      <w:r w:rsidRPr="00B43C1E">
        <w:rPr>
          <w:rFonts w:ascii="Times New Roman" w:hAnsi="Times New Roman" w:cs="Times New Roman"/>
          <w:i/>
        </w:rPr>
        <w:t>The Harvard Guide to African American History</w:t>
      </w:r>
      <w:r>
        <w:rPr>
          <w:rFonts w:ascii="Times New Roman" w:hAnsi="Times New Roman" w:cs="Times New Roman"/>
          <w:i/>
        </w:rPr>
        <w:t>.</w:t>
      </w:r>
      <w:r>
        <w:rPr>
          <w:rFonts w:ascii="Times New Roman" w:hAnsi="Times New Roman" w:cs="Times New Roman"/>
        </w:rPr>
        <w:t xml:space="preserve"> </w:t>
      </w:r>
      <w:r w:rsidRPr="00B43C1E">
        <w:rPr>
          <w:rFonts w:ascii="Times New Roman" w:hAnsi="Times New Roman" w:cs="Times New Roman"/>
        </w:rPr>
        <w:t>Boston:</w:t>
      </w:r>
      <w:r>
        <w:rPr>
          <w:rFonts w:ascii="Times New Roman" w:hAnsi="Times New Roman" w:cs="Times New Roman"/>
        </w:rPr>
        <w:t xml:space="preserve"> Harvard University Press, 2001</w:t>
      </w:r>
      <w:r w:rsidRPr="00B43C1E">
        <w:rPr>
          <w:rFonts w:ascii="Times New Roman" w:hAnsi="Times New Roman" w:cs="Times New Roman"/>
        </w:rPr>
        <w:t>.</w:t>
      </w:r>
      <w:r>
        <w:rPr>
          <w:rFonts w:ascii="Times New Roman" w:hAnsi="Times New Roman" w:cs="Times New Roman"/>
        </w:rPr>
        <w:t xml:space="preserve"> </w:t>
      </w:r>
      <w:hyperlink r:id="rId20" w:history="1">
        <w:r w:rsidR="00B24C48" w:rsidRPr="006D341F">
          <w:rPr>
            <w:rStyle w:val="Hyperlink"/>
            <w:rFonts w:ascii="Times New Roman" w:hAnsi="Times New Roman" w:cs="Times New Roman"/>
          </w:rPr>
          <w:t>http://hne-rs.s3.amazonaws.com/filestore/1/2/8/3/5_3584a2570122929/12835_0737ee7a923097e.pdf</w:t>
        </w:r>
      </w:hyperlink>
      <w:r w:rsidR="00B24C48">
        <w:rPr>
          <w:rFonts w:ascii="Times New Roman" w:hAnsi="Times New Roman" w:cs="Times New Roman"/>
        </w:rPr>
        <w:t xml:space="preserve"> (accessed May 9, 2014</w:t>
      </w:r>
      <w:r>
        <w:rPr>
          <w:rFonts w:ascii="Times New Roman" w:hAnsi="Times New Roman" w:cs="Times New Roman"/>
        </w:rPr>
        <w:t>).</w:t>
      </w:r>
    </w:p>
    <w:p w14:paraId="1E504C4B" w14:textId="77777777" w:rsidR="0082080B" w:rsidRDefault="0082080B" w:rsidP="0082080B">
      <w:pPr>
        <w:ind w:left="450" w:hanging="450"/>
        <w:rPr>
          <w:rFonts w:ascii="Times New Roman" w:hAnsi="Times New Roman" w:cs="Times New Roman"/>
        </w:rPr>
      </w:pPr>
    </w:p>
    <w:p w14:paraId="7ECA2D9B" w14:textId="7DA2FBF5" w:rsidR="0082080B" w:rsidRDefault="0082080B" w:rsidP="0082080B">
      <w:pPr>
        <w:ind w:left="450" w:hanging="450"/>
        <w:rPr>
          <w:rFonts w:ascii="Times New Roman" w:hAnsi="Times New Roman" w:cs="Times New Roman"/>
          <w:lang w:val="en"/>
        </w:rPr>
      </w:pPr>
      <w:r w:rsidRPr="00F03FAF">
        <w:rPr>
          <w:rFonts w:ascii="Times New Roman" w:hAnsi="Times New Roman" w:cs="Times New Roman"/>
        </w:rPr>
        <w:t>MacMillan, Timothy J.  “</w:t>
      </w:r>
      <w:r w:rsidRPr="00F03FAF">
        <w:rPr>
          <w:rFonts w:ascii="Times New Roman" w:hAnsi="Times New Roman" w:cs="Times New Roman"/>
          <w:lang w:val="en"/>
        </w:rPr>
        <w:t>Black Magic: Witchcraft, Race, and Resistance in Colonial New England</w:t>
      </w:r>
      <w:r>
        <w:rPr>
          <w:rFonts w:ascii="Times New Roman" w:hAnsi="Times New Roman" w:cs="Times New Roman"/>
          <w:lang w:val="en"/>
        </w:rPr>
        <w:t>.</w:t>
      </w:r>
      <w:r w:rsidRPr="00F03FAF">
        <w:rPr>
          <w:rFonts w:ascii="Times New Roman" w:hAnsi="Times New Roman" w:cs="Times New Roman"/>
          <w:lang w:val="en"/>
        </w:rPr>
        <w:t xml:space="preserve">” </w:t>
      </w:r>
      <w:r w:rsidRPr="00F03FAF">
        <w:rPr>
          <w:rFonts w:ascii="Times New Roman" w:hAnsi="Times New Roman" w:cs="Times New Roman"/>
          <w:i/>
          <w:lang w:val="en"/>
        </w:rPr>
        <w:t xml:space="preserve">Journal of Black Studies </w:t>
      </w:r>
      <w:r w:rsidRPr="00F03FAF">
        <w:rPr>
          <w:rFonts w:ascii="Times New Roman" w:hAnsi="Times New Roman" w:cs="Times New Roman"/>
          <w:lang w:val="en"/>
        </w:rPr>
        <w:t>25, no. 1 (1994)</w:t>
      </w:r>
      <w:r w:rsidR="00C43742">
        <w:rPr>
          <w:rFonts w:ascii="Times New Roman" w:hAnsi="Times New Roman" w:cs="Times New Roman"/>
          <w:lang w:val="en"/>
        </w:rPr>
        <w:t xml:space="preserve">, </w:t>
      </w:r>
      <w:hyperlink r:id="rId21" w:history="1">
        <w:r w:rsidR="00C43742" w:rsidRPr="006D341F">
          <w:rPr>
            <w:rStyle w:val="Hyperlink"/>
            <w:rFonts w:ascii="Times New Roman" w:hAnsi="Times New Roman" w:cs="Times New Roman"/>
            <w:lang w:val="en"/>
          </w:rPr>
          <w:t>http://www.jstor.org/stable/2784416</w:t>
        </w:r>
      </w:hyperlink>
      <w:r w:rsidR="00C43742">
        <w:rPr>
          <w:rFonts w:ascii="Times New Roman" w:hAnsi="Times New Roman" w:cs="Times New Roman"/>
          <w:lang w:val="en"/>
        </w:rPr>
        <w:t xml:space="preserve"> (accessed May 9, 2014</w:t>
      </w:r>
      <w:r w:rsidRPr="00F03FAF">
        <w:rPr>
          <w:rFonts w:ascii="Times New Roman" w:hAnsi="Times New Roman" w:cs="Times New Roman"/>
          <w:lang w:val="en"/>
        </w:rPr>
        <w:t>).</w:t>
      </w:r>
    </w:p>
    <w:p w14:paraId="75152121" w14:textId="77777777" w:rsidR="00BB40CB" w:rsidRDefault="00BB40CB" w:rsidP="0082080B">
      <w:pPr>
        <w:ind w:left="450" w:hanging="450"/>
        <w:rPr>
          <w:rFonts w:ascii="Times New Roman" w:hAnsi="Times New Roman" w:cs="Times New Roman"/>
          <w:lang w:val="en"/>
        </w:rPr>
      </w:pPr>
    </w:p>
    <w:p w14:paraId="46A4F230" w14:textId="2932D97B" w:rsidR="00BB40CB" w:rsidRDefault="00BB40CB" w:rsidP="0082080B">
      <w:pPr>
        <w:ind w:left="450" w:hanging="450"/>
        <w:rPr>
          <w:rFonts w:ascii="Times New Roman" w:hAnsi="Times New Roman" w:cs="Times New Roman"/>
          <w:lang w:val="en"/>
        </w:rPr>
      </w:pPr>
      <w:r>
        <w:rPr>
          <w:rFonts w:ascii="Times New Roman" w:hAnsi="Times New Roman" w:cs="Times New Roman"/>
          <w:lang w:val="en"/>
        </w:rPr>
        <w:t xml:space="preserve">Reis, Elizabeth. </w:t>
      </w:r>
      <w:r w:rsidR="00D96DAE">
        <w:rPr>
          <w:rFonts w:ascii="Times New Roman" w:hAnsi="Times New Roman" w:cs="Times New Roman"/>
          <w:lang w:val="en"/>
        </w:rPr>
        <w:t>“</w:t>
      </w:r>
      <w:r w:rsidR="00D96DAE" w:rsidRPr="00D96DAE">
        <w:rPr>
          <w:rFonts w:ascii="Times New Roman" w:hAnsi="Times New Roman" w:cs="Times New Roman"/>
          <w:lang w:val="en"/>
        </w:rPr>
        <w:t>Confess or De</w:t>
      </w:r>
      <w:r w:rsidR="00D96DAE">
        <w:rPr>
          <w:rFonts w:ascii="Times New Roman" w:hAnsi="Times New Roman" w:cs="Times New Roman"/>
          <w:lang w:val="en"/>
        </w:rPr>
        <w:t>ny? What’s a ‘Witch’ to Do?</w:t>
      </w:r>
      <w:r w:rsidR="00D96DAE" w:rsidRPr="00D96DAE">
        <w:rPr>
          <w:rFonts w:ascii="Times New Roman" w:hAnsi="Times New Roman" w:cs="Times New Roman"/>
          <w:lang w:val="en"/>
        </w:rPr>
        <w:t xml:space="preserve">” </w:t>
      </w:r>
      <w:r w:rsidR="00D96DAE" w:rsidRPr="00D96DAE">
        <w:rPr>
          <w:rFonts w:ascii="Times New Roman" w:hAnsi="Times New Roman" w:cs="Times New Roman"/>
          <w:i/>
          <w:lang w:val="en"/>
        </w:rPr>
        <w:t>OAH Magazine of History</w:t>
      </w:r>
      <w:r w:rsidR="00945552">
        <w:rPr>
          <w:rFonts w:ascii="Times New Roman" w:hAnsi="Times New Roman" w:cs="Times New Roman"/>
          <w:lang w:val="en"/>
        </w:rPr>
        <w:t xml:space="preserve"> 17, no. 4</w:t>
      </w:r>
      <w:r w:rsidR="00D96DAE">
        <w:rPr>
          <w:rFonts w:ascii="Times New Roman" w:hAnsi="Times New Roman" w:cs="Times New Roman"/>
          <w:lang w:val="en"/>
        </w:rPr>
        <w:t xml:space="preserve"> (2003), </w:t>
      </w:r>
      <w:hyperlink r:id="rId22" w:history="1">
        <w:r w:rsidR="00D96DAE" w:rsidRPr="006D341F">
          <w:rPr>
            <w:rStyle w:val="Hyperlink"/>
            <w:rFonts w:ascii="Times New Roman" w:hAnsi="Times New Roman" w:cs="Times New Roman"/>
            <w:lang w:val="en"/>
          </w:rPr>
          <w:t>http://www.jstor.org/stable/25163615</w:t>
        </w:r>
      </w:hyperlink>
      <w:r w:rsidR="00D96DAE">
        <w:rPr>
          <w:rFonts w:ascii="Times New Roman" w:hAnsi="Times New Roman" w:cs="Times New Roman"/>
          <w:lang w:val="en"/>
        </w:rPr>
        <w:t xml:space="preserve"> (accessed May 9, 2014). </w:t>
      </w:r>
    </w:p>
    <w:p w14:paraId="36331F14" w14:textId="77777777" w:rsidR="00453E9E" w:rsidRDefault="00453E9E" w:rsidP="0082080B">
      <w:pPr>
        <w:ind w:left="450" w:hanging="450"/>
        <w:rPr>
          <w:rFonts w:ascii="Times New Roman" w:hAnsi="Times New Roman" w:cs="Times New Roman"/>
          <w:lang w:val="en"/>
        </w:rPr>
      </w:pPr>
    </w:p>
    <w:p w14:paraId="623C106A" w14:textId="0B357DC8" w:rsidR="00453E9E" w:rsidRPr="004977A5" w:rsidRDefault="00453E9E" w:rsidP="0082080B">
      <w:pPr>
        <w:ind w:left="450" w:hanging="450"/>
        <w:rPr>
          <w:rFonts w:ascii="Times New Roman" w:hAnsi="Times New Roman" w:cs="Times New Roman"/>
        </w:rPr>
      </w:pPr>
      <w:r w:rsidRPr="004977A5">
        <w:rPr>
          <w:rFonts w:ascii="Times New Roman" w:hAnsi="Times New Roman" w:cs="Times New Roman"/>
          <w:lang w:val="en"/>
        </w:rPr>
        <w:t>---. “</w:t>
      </w:r>
      <w:r w:rsidRPr="004977A5">
        <w:rPr>
          <w:rFonts w:ascii="Times New Roman" w:hAnsi="Times New Roman" w:cs="Times New Roman"/>
        </w:rPr>
        <w:t xml:space="preserve">The Devil, the Body, and the Feminine Soul in Puritan New England.” </w:t>
      </w:r>
      <w:r w:rsidRPr="004977A5">
        <w:rPr>
          <w:rFonts w:ascii="Times New Roman" w:hAnsi="Times New Roman" w:cs="Times New Roman"/>
          <w:i/>
        </w:rPr>
        <w:t xml:space="preserve">The Journal of American History </w:t>
      </w:r>
      <w:r w:rsidRPr="004977A5">
        <w:rPr>
          <w:rFonts w:ascii="Times New Roman" w:hAnsi="Times New Roman" w:cs="Times New Roman"/>
        </w:rPr>
        <w:t>82, no. 1 (1995),</w:t>
      </w:r>
      <w:r w:rsidR="004977A5" w:rsidRPr="004977A5">
        <w:rPr>
          <w:rFonts w:ascii="Times New Roman" w:hAnsi="Times New Roman" w:cs="Times New Roman"/>
        </w:rPr>
        <w:t xml:space="preserve"> </w:t>
      </w:r>
      <w:hyperlink r:id="rId23" w:history="1">
        <w:r w:rsidR="004977A5" w:rsidRPr="004977A5">
          <w:rPr>
            <w:rStyle w:val="Hyperlink"/>
            <w:rFonts w:ascii="Times New Roman" w:hAnsi="Times New Roman" w:cs="Times New Roman"/>
            <w:lang w:val="en"/>
          </w:rPr>
          <w:t>http://www.jstor.org/stable/2081913</w:t>
        </w:r>
      </w:hyperlink>
      <w:r w:rsidR="004977A5" w:rsidRPr="004977A5">
        <w:rPr>
          <w:rStyle w:val="Hyperlink"/>
          <w:rFonts w:ascii="Times New Roman" w:hAnsi="Times New Roman" w:cs="Times New Roman"/>
          <w:lang w:val="en"/>
        </w:rPr>
        <w:t xml:space="preserve"> </w:t>
      </w:r>
      <w:r w:rsidRPr="004977A5">
        <w:rPr>
          <w:rFonts w:ascii="Times New Roman" w:hAnsi="Times New Roman" w:cs="Times New Roman"/>
        </w:rPr>
        <w:t xml:space="preserve"> </w:t>
      </w:r>
      <w:r w:rsidR="004977A5" w:rsidRPr="004977A5">
        <w:rPr>
          <w:rFonts w:ascii="Times New Roman" w:hAnsi="Times New Roman" w:cs="Times New Roman"/>
        </w:rPr>
        <w:t>(accessed May 9, 2014).</w:t>
      </w:r>
      <w:r w:rsidRPr="004977A5">
        <w:rPr>
          <w:rFonts w:ascii="Times New Roman" w:hAnsi="Times New Roman" w:cs="Times New Roman"/>
          <w:lang w:val="en"/>
        </w:rPr>
        <w:t xml:space="preserve"> </w:t>
      </w:r>
      <w:r w:rsidRPr="004977A5">
        <w:rPr>
          <w:rFonts w:ascii="Times New Roman" w:hAnsi="Times New Roman" w:cs="Times New Roman"/>
        </w:rPr>
        <w:t xml:space="preserve"> </w:t>
      </w:r>
    </w:p>
    <w:p w14:paraId="3784F7EA" w14:textId="77777777" w:rsidR="0082080B" w:rsidRDefault="0082080B" w:rsidP="0082080B">
      <w:pPr>
        <w:ind w:left="720" w:hanging="720"/>
        <w:rPr>
          <w:rFonts w:ascii="Times New Roman" w:hAnsi="Times New Roman" w:cs="Times New Roman"/>
        </w:rPr>
      </w:pPr>
    </w:p>
    <w:p w14:paraId="2D4485BA" w14:textId="15546793" w:rsidR="0082080B" w:rsidRPr="00697E4C" w:rsidRDefault="0082080B" w:rsidP="0082080B">
      <w:pPr>
        <w:ind w:left="720" w:hanging="720"/>
        <w:rPr>
          <w:rFonts w:ascii="Times New Roman" w:hAnsi="Times New Roman" w:cs="Times New Roman"/>
        </w:rPr>
      </w:pPr>
      <w:r w:rsidRPr="00B43C1E">
        <w:rPr>
          <w:rFonts w:ascii="Times New Roman" w:hAnsi="Times New Roman" w:cs="Times New Roman"/>
        </w:rPr>
        <w:t xml:space="preserve">Rosenthal, Bernard. “Puritan Conscience and New England Slavery.” </w:t>
      </w:r>
      <w:r w:rsidRPr="00951909">
        <w:rPr>
          <w:rFonts w:ascii="Times New Roman" w:hAnsi="Times New Roman" w:cs="Times New Roman"/>
          <w:i/>
        </w:rPr>
        <w:t>The New England Quarterly</w:t>
      </w:r>
      <w:r w:rsidR="00951909">
        <w:rPr>
          <w:rFonts w:ascii="Times New Roman" w:hAnsi="Times New Roman" w:cs="Times New Roman"/>
        </w:rPr>
        <w:t xml:space="preserve"> 46, no. 1 (1993), </w:t>
      </w:r>
      <w:hyperlink r:id="rId24" w:history="1">
        <w:r w:rsidR="00951909" w:rsidRPr="006D341F">
          <w:rPr>
            <w:rStyle w:val="Hyperlink"/>
            <w:rFonts w:ascii="Times New Roman" w:hAnsi="Times New Roman" w:cs="Times New Roman"/>
          </w:rPr>
          <w:t>http://www.jstor.org/stable/364886</w:t>
        </w:r>
      </w:hyperlink>
      <w:r w:rsidR="00951909">
        <w:rPr>
          <w:rFonts w:ascii="Times New Roman" w:hAnsi="Times New Roman" w:cs="Times New Roman"/>
        </w:rPr>
        <w:t xml:space="preserve"> </w:t>
      </w:r>
      <w:r w:rsidR="00951909" w:rsidRPr="00951909">
        <w:rPr>
          <w:rFonts w:ascii="Times New Roman" w:hAnsi="Times New Roman" w:cs="Times New Roman"/>
        </w:rPr>
        <w:t xml:space="preserve">(accessed May 9, 2014). </w:t>
      </w:r>
    </w:p>
    <w:p w14:paraId="767311F6" w14:textId="77777777" w:rsidR="0082080B" w:rsidRDefault="0082080B" w:rsidP="0082080B">
      <w:pPr>
        <w:pStyle w:val="ListParagraph"/>
        <w:ind w:left="446" w:hanging="446"/>
        <w:rPr>
          <w:rFonts w:ascii="Times New Roman" w:hAnsi="Times New Roman" w:cs="Times New Roman"/>
        </w:rPr>
      </w:pPr>
    </w:p>
    <w:p w14:paraId="38CAF222" w14:textId="2C687714" w:rsidR="0082080B" w:rsidRDefault="0082080B" w:rsidP="0082080B">
      <w:pPr>
        <w:pStyle w:val="ListParagraph"/>
        <w:ind w:left="446" w:hanging="446"/>
        <w:rPr>
          <w:rFonts w:ascii="Times New Roman" w:hAnsi="Times New Roman" w:cs="Times New Roman"/>
        </w:rPr>
      </w:pPr>
      <w:r>
        <w:rPr>
          <w:rFonts w:ascii="Times New Roman" w:hAnsi="Times New Roman" w:cs="Times New Roman"/>
        </w:rPr>
        <w:t>---</w:t>
      </w:r>
      <w:r w:rsidRPr="002B3BB2">
        <w:rPr>
          <w:rFonts w:ascii="Times New Roman" w:hAnsi="Times New Roman" w:cs="Times New Roman"/>
        </w:rPr>
        <w:t xml:space="preserve">. “Tituba.” </w:t>
      </w:r>
      <w:r w:rsidRPr="002B3BB2">
        <w:rPr>
          <w:rFonts w:ascii="Times New Roman" w:hAnsi="Times New Roman" w:cs="Times New Roman"/>
          <w:i/>
        </w:rPr>
        <w:t>OAH Magazine of History</w:t>
      </w:r>
      <w:r w:rsidRPr="002B3BB2">
        <w:rPr>
          <w:rFonts w:ascii="Times New Roman" w:hAnsi="Times New Roman" w:cs="Times New Roman"/>
        </w:rPr>
        <w:t xml:space="preserve"> 17</w:t>
      </w:r>
      <w:r>
        <w:rPr>
          <w:rFonts w:ascii="Times New Roman" w:hAnsi="Times New Roman" w:cs="Times New Roman"/>
        </w:rPr>
        <w:t>,</w:t>
      </w:r>
      <w:r w:rsidR="00951909">
        <w:rPr>
          <w:rFonts w:ascii="Times New Roman" w:hAnsi="Times New Roman" w:cs="Times New Roman"/>
        </w:rPr>
        <w:t xml:space="preserve"> no. 4 (2003), </w:t>
      </w:r>
      <w:hyperlink r:id="rId25" w:history="1">
        <w:r w:rsidR="00951909" w:rsidRPr="006D341F">
          <w:rPr>
            <w:rStyle w:val="Hyperlink"/>
            <w:rFonts w:ascii="Times New Roman" w:hAnsi="Times New Roman" w:cs="Times New Roman"/>
          </w:rPr>
          <w:t>http://www.jstor.org/stable/25163623</w:t>
        </w:r>
      </w:hyperlink>
      <w:r w:rsidR="00951909">
        <w:rPr>
          <w:rFonts w:ascii="Times New Roman" w:hAnsi="Times New Roman" w:cs="Times New Roman"/>
        </w:rPr>
        <w:t xml:space="preserve"> </w:t>
      </w:r>
      <w:r>
        <w:rPr>
          <w:rFonts w:ascii="Times New Roman" w:hAnsi="Times New Roman" w:cs="Times New Roman"/>
        </w:rPr>
        <w:t>(accessed December 4</w:t>
      </w:r>
      <w:r w:rsidRPr="002B3BB2">
        <w:rPr>
          <w:rFonts w:ascii="Times New Roman" w:hAnsi="Times New Roman" w:cs="Times New Roman"/>
        </w:rPr>
        <w:t>, 2011)</w:t>
      </w:r>
      <w:r>
        <w:rPr>
          <w:rFonts w:ascii="Times New Roman" w:hAnsi="Times New Roman" w:cs="Times New Roman"/>
        </w:rPr>
        <w:t>.</w:t>
      </w:r>
    </w:p>
    <w:p w14:paraId="5CB7D9B7" w14:textId="77777777" w:rsidR="0082080B" w:rsidRDefault="0082080B" w:rsidP="0082080B">
      <w:pPr>
        <w:pStyle w:val="ListParagraph"/>
        <w:ind w:left="446" w:hanging="446"/>
        <w:rPr>
          <w:rFonts w:ascii="Times New Roman" w:hAnsi="Times New Roman" w:cs="Times New Roman"/>
        </w:rPr>
      </w:pPr>
    </w:p>
    <w:p w14:paraId="142839BE" w14:textId="4749AF84" w:rsidR="0082080B" w:rsidRPr="00B43C1E" w:rsidRDefault="0082080B" w:rsidP="0082080B">
      <w:pPr>
        <w:pStyle w:val="ListParagraph"/>
        <w:ind w:left="446" w:hanging="446"/>
        <w:rPr>
          <w:rFonts w:ascii="Times New Roman" w:hAnsi="Times New Roman" w:cs="Times New Roman"/>
        </w:rPr>
      </w:pPr>
      <w:r>
        <w:rPr>
          <w:rFonts w:ascii="Times New Roman" w:hAnsi="Times New Roman" w:cs="Times New Roman"/>
        </w:rPr>
        <w:t>---</w:t>
      </w:r>
      <w:r w:rsidRPr="002B3BB2">
        <w:rPr>
          <w:rFonts w:ascii="Times New Roman" w:hAnsi="Times New Roman" w:cs="Times New Roman"/>
        </w:rPr>
        <w:t xml:space="preserve">. “Tituba’s Story.” </w:t>
      </w:r>
      <w:r w:rsidRPr="002B3BB2">
        <w:rPr>
          <w:rFonts w:ascii="Times New Roman" w:hAnsi="Times New Roman" w:cs="Times New Roman"/>
          <w:i/>
        </w:rPr>
        <w:t>The New England Quarterly</w:t>
      </w:r>
      <w:r w:rsidRPr="002B3BB2">
        <w:rPr>
          <w:rFonts w:ascii="Times New Roman" w:hAnsi="Times New Roman" w:cs="Times New Roman"/>
        </w:rPr>
        <w:t xml:space="preserve"> 71</w:t>
      </w:r>
      <w:r>
        <w:rPr>
          <w:rFonts w:ascii="Times New Roman" w:hAnsi="Times New Roman" w:cs="Times New Roman"/>
        </w:rPr>
        <w:t>,</w:t>
      </w:r>
      <w:r w:rsidR="00951909">
        <w:rPr>
          <w:rFonts w:ascii="Times New Roman" w:hAnsi="Times New Roman" w:cs="Times New Roman"/>
        </w:rPr>
        <w:t xml:space="preserve"> no. 2 (1998), </w:t>
      </w:r>
      <w:hyperlink r:id="rId26" w:history="1">
        <w:r w:rsidR="00951909" w:rsidRPr="006D341F">
          <w:rPr>
            <w:rStyle w:val="Hyperlink"/>
            <w:rFonts w:ascii="Times New Roman" w:hAnsi="Times New Roman" w:cs="Times New Roman"/>
          </w:rPr>
          <w:t>http://www.jstor.org/stable/366502</w:t>
        </w:r>
      </w:hyperlink>
      <w:r w:rsidR="00951909">
        <w:rPr>
          <w:rFonts w:ascii="Times New Roman" w:hAnsi="Times New Roman" w:cs="Times New Roman"/>
        </w:rPr>
        <w:t xml:space="preserve"> (accessed May 9, 2014</w:t>
      </w:r>
      <w:r w:rsidRPr="00B43C1E">
        <w:rPr>
          <w:rFonts w:ascii="Times New Roman" w:hAnsi="Times New Roman" w:cs="Times New Roman"/>
        </w:rPr>
        <w:t>).</w:t>
      </w:r>
    </w:p>
    <w:p w14:paraId="7E662A74" w14:textId="77777777" w:rsidR="0082080B" w:rsidRDefault="0082080B" w:rsidP="0082080B">
      <w:pPr>
        <w:ind w:left="450" w:hanging="450"/>
        <w:rPr>
          <w:rFonts w:ascii="Times New Roman" w:hAnsi="Times New Roman" w:cs="Times New Roman"/>
        </w:rPr>
      </w:pPr>
    </w:p>
    <w:p w14:paraId="663BF5F4" w14:textId="3BE89C39" w:rsidR="0082080B" w:rsidRDefault="0082080B" w:rsidP="0082080B">
      <w:pPr>
        <w:ind w:left="450" w:hanging="450"/>
        <w:rPr>
          <w:rFonts w:ascii="Times New Roman" w:hAnsi="Times New Roman" w:cs="Times New Roman"/>
        </w:rPr>
      </w:pPr>
      <w:r w:rsidRPr="002B3BB2">
        <w:rPr>
          <w:rFonts w:ascii="Times New Roman" w:hAnsi="Times New Roman" w:cs="Times New Roman"/>
        </w:rPr>
        <w:t xml:space="preserve">Smith Tucker, </w:t>
      </w:r>
      <w:proofErr w:type="spellStart"/>
      <w:r w:rsidRPr="002B3BB2">
        <w:rPr>
          <w:rFonts w:ascii="Times New Roman" w:hAnsi="Times New Roman" w:cs="Times New Roman"/>
        </w:rPr>
        <w:t>Veta</w:t>
      </w:r>
      <w:proofErr w:type="spellEnd"/>
      <w:r w:rsidRPr="002B3BB2">
        <w:rPr>
          <w:rFonts w:ascii="Times New Roman" w:hAnsi="Times New Roman" w:cs="Times New Roman"/>
        </w:rPr>
        <w:t xml:space="preserve">.  “Purloined Identity: The Racial Metamorphosis of Tituba of Salem Village.” </w:t>
      </w:r>
      <w:r w:rsidRPr="002B3BB2">
        <w:rPr>
          <w:rFonts w:ascii="Times New Roman" w:hAnsi="Times New Roman" w:cs="Times New Roman"/>
          <w:i/>
        </w:rPr>
        <w:t>Journal of Black Studies</w:t>
      </w:r>
      <w:r w:rsidR="00951909">
        <w:rPr>
          <w:rFonts w:ascii="Times New Roman" w:hAnsi="Times New Roman" w:cs="Times New Roman"/>
        </w:rPr>
        <w:t xml:space="preserve"> 30, no. 4 (2000),</w:t>
      </w:r>
      <w:r w:rsidRPr="002B3BB2">
        <w:rPr>
          <w:rFonts w:ascii="Times New Roman" w:hAnsi="Times New Roman" w:cs="Times New Roman"/>
        </w:rPr>
        <w:t xml:space="preserve"> </w:t>
      </w:r>
      <w:hyperlink r:id="rId27" w:history="1">
        <w:r w:rsidRPr="00130963">
          <w:rPr>
            <w:rStyle w:val="Hyperlink"/>
            <w:rFonts w:ascii="Times New Roman" w:hAnsi="Times New Roman" w:cs="Times New Roman"/>
          </w:rPr>
          <w:t>http://www.jstor.org/stable/2645907</w:t>
        </w:r>
      </w:hyperlink>
      <w:r w:rsidR="00951909">
        <w:rPr>
          <w:rFonts w:ascii="Times New Roman" w:hAnsi="Times New Roman" w:cs="Times New Roman"/>
        </w:rPr>
        <w:t xml:space="preserve">  (accessed May 9, 2014</w:t>
      </w:r>
      <w:r w:rsidRPr="002B3BB2">
        <w:rPr>
          <w:rFonts w:ascii="Times New Roman" w:hAnsi="Times New Roman" w:cs="Times New Roman"/>
        </w:rPr>
        <w:t>).</w:t>
      </w:r>
    </w:p>
    <w:p w14:paraId="27EB0687" w14:textId="77777777" w:rsidR="0082080B" w:rsidRDefault="0082080B" w:rsidP="0082080B">
      <w:pPr>
        <w:ind w:left="450" w:hanging="450"/>
        <w:rPr>
          <w:rFonts w:ascii="Times New Roman" w:hAnsi="Times New Roman" w:cs="Times New Roman"/>
        </w:rPr>
      </w:pPr>
    </w:p>
    <w:p w14:paraId="255779DE" w14:textId="3587123D" w:rsidR="0082080B" w:rsidRDefault="0082080B" w:rsidP="0082080B">
      <w:pPr>
        <w:ind w:left="450" w:hanging="450"/>
        <w:rPr>
          <w:rFonts w:ascii="Times New Roman" w:hAnsi="Times New Roman" w:cs="Times New Roman"/>
        </w:rPr>
      </w:pPr>
      <w:r w:rsidRPr="002B3BB2">
        <w:rPr>
          <w:rFonts w:ascii="Times New Roman" w:hAnsi="Times New Roman" w:cs="Times New Roman"/>
        </w:rPr>
        <w:t xml:space="preserve">Trask, Richard B. Introduction to </w:t>
      </w:r>
      <w:r w:rsidRPr="002B3BB2">
        <w:rPr>
          <w:rFonts w:ascii="Times New Roman" w:hAnsi="Times New Roman" w:cs="Times New Roman"/>
          <w:i/>
        </w:rPr>
        <w:t>“’The Devil Hath Been Raised’”: A Documentary History of the Salem Village Witchcraft Outbreak of March 1692</w:t>
      </w:r>
      <w:r w:rsidRPr="002B3BB2">
        <w:rPr>
          <w:rFonts w:ascii="Times New Roman" w:hAnsi="Times New Roman" w:cs="Times New Roman"/>
        </w:rPr>
        <w:t xml:space="preserve">. Massachusetts: Yeoman Press, 1992. </w:t>
      </w:r>
      <w:hyperlink r:id="rId28" w:history="1">
        <w:r w:rsidR="00951909" w:rsidRPr="006D341F">
          <w:rPr>
            <w:rStyle w:val="Hyperlink"/>
            <w:rFonts w:ascii="Times New Roman" w:hAnsi="Times New Roman" w:cs="Times New Roman"/>
          </w:rPr>
          <w:t>http://etext.virginia.edu/salem/witchcraft/Intro.html</w:t>
        </w:r>
      </w:hyperlink>
      <w:r w:rsidR="00951909">
        <w:rPr>
          <w:rFonts w:ascii="Times New Roman" w:hAnsi="Times New Roman" w:cs="Times New Roman"/>
        </w:rPr>
        <w:t xml:space="preserve"> (accessed May 9, 2014</w:t>
      </w:r>
      <w:r w:rsidRPr="002B3BB2">
        <w:rPr>
          <w:rFonts w:ascii="Times New Roman" w:hAnsi="Times New Roman" w:cs="Times New Roman"/>
        </w:rPr>
        <w:t>)</w:t>
      </w:r>
      <w:r>
        <w:rPr>
          <w:rFonts w:ascii="Times New Roman" w:hAnsi="Times New Roman" w:cs="Times New Roman"/>
        </w:rPr>
        <w:t>.</w:t>
      </w:r>
    </w:p>
    <w:p w14:paraId="1073672F" w14:textId="77777777" w:rsidR="0024570B" w:rsidRDefault="0024570B" w:rsidP="0082080B">
      <w:pPr>
        <w:ind w:left="450" w:hanging="450"/>
        <w:rPr>
          <w:rFonts w:ascii="Times New Roman" w:hAnsi="Times New Roman" w:cs="Times New Roman"/>
        </w:rPr>
      </w:pPr>
    </w:p>
    <w:p w14:paraId="721C2F23" w14:textId="4EE9236A" w:rsidR="0082080B" w:rsidRDefault="0024570B" w:rsidP="0013519B">
      <w:pPr>
        <w:ind w:left="450" w:hanging="450"/>
        <w:rPr>
          <w:rFonts w:ascii="Times New Roman" w:hAnsi="Times New Roman" w:cs="Times New Roman"/>
        </w:rPr>
      </w:pPr>
      <w:r>
        <w:rPr>
          <w:rFonts w:ascii="Times New Roman" w:hAnsi="Times New Roman" w:cs="Times New Roman"/>
        </w:rPr>
        <w:t>---. “</w:t>
      </w:r>
      <w:r w:rsidRPr="0024570B">
        <w:rPr>
          <w:rFonts w:ascii="Times New Roman" w:hAnsi="Times New Roman" w:cs="Times New Roman"/>
        </w:rPr>
        <w:t xml:space="preserve">Chronology of Events Relating </w:t>
      </w:r>
      <w:r>
        <w:rPr>
          <w:rFonts w:ascii="Times New Roman" w:hAnsi="Times New Roman" w:cs="Times New Roman"/>
        </w:rPr>
        <w:t xml:space="preserve">to the Salem Witchcraft Trials” </w:t>
      </w:r>
      <w:r w:rsidRPr="0024570B">
        <w:rPr>
          <w:rFonts w:ascii="Times New Roman" w:hAnsi="Times New Roman" w:cs="Times New Roman"/>
        </w:rPr>
        <w:t>under “Proj</w:t>
      </w:r>
      <w:r>
        <w:rPr>
          <w:rFonts w:ascii="Times New Roman" w:hAnsi="Times New Roman" w:cs="Times New Roman"/>
        </w:rPr>
        <w:t xml:space="preserve">ect Information: Danvers, Mass.” Massachusetts: Yeoman Press, 1992. </w:t>
      </w:r>
      <w:hyperlink r:id="rId29" w:history="1">
        <w:r w:rsidRPr="006D341F">
          <w:rPr>
            <w:rStyle w:val="Hyperlink"/>
            <w:rFonts w:ascii="Times New Roman" w:hAnsi="Times New Roman" w:cs="Times New Roman"/>
          </w:rPr>
          <w:t>http://etext.virginia.edu/salem/witchcraft/Intro.html</w:t>
        </w:r>
      </w:hyperlink>
      <w:r>
        <w:rPr>
          <w:rFonts w:ascii="Times New Roman" w:hAnsi="Times New Roman" w:cs="Times New Roman"/>
        </w:rPr>
        <w:t xml:space="preserve"> (accessed May 9, 2014).</w:t>
      </w:r>
    </w:p>
    <w:p w14:paraId="61007EF6" w14:textId="77777777" w:rsidR="0013519B" w:rsidRPr="0013519B" w:rsidRDefault="0013519B" w:rsidP="0013519B">
      <w:pPr>
        <w:ind w:left="450" w:hanging="450"/>
        <w:rPr>
          <w:rFonts w:ascii="Times New Roman" w:hAnsi="Times New Roman" w:cs="Times New Roman"/>
        </w:rPr>
      </w:pPr>
    </w:p>
    <w:p w14:paraId="63C9C721" w14:textId="77777777" w:rsidR="0013519B" w:rsidRDefault="0013519B" w:rsidP="0013519B">
      <w:pPr>
        <w:pStyle w:val="ListParagraph"/>
        <w:ind w:left="446" w:hanging="446"/>
        <w:rPr>
          <w:rFonts w:ascii="Times New Roman" w:hAnsi="Times New Roman" w:cs="Times New Roman"/>
        </w:rPr>
      </w:pPr>
      <w:proofErr w:type="spellStart"/>
      <w:r>
        <w:rPr>
          <w:rFonts w:ascii="Times New Roman" w:hAnsi="Times New Roman" w:cs="Times New Roman"/>
        </w:rPr>
        <w:t>Upham</w:t>
      </w:r>
      <w:proofErr w:type="spellEnd"/>
      <w:r>
        <w:rPr>
          <w:rFonts w:ascii="Times New Roman" w:hAnsi="Times New Roman" w:cs="Times New Roman"/>
        </w:rPr>
        <w:t xml:space="preserve">, Charles. Salem Witchcraft. Vol. 2 of </w:t>
      </w:r>
      <w:r w:rsidRPr="002B3BB2">
        <w:rPr>
          <w:rFonts w:ascii="Times New Roman" w:hAnsi="Times New Roman" w:cs="Times New Roman"/>
          <w:i/>
        </w:rPr>
        <w:t>An Account of Salem Village and A History of Opinions on Witchcraft and Kindred Subjects.</w:t>
      </w:r>
      <w:r w:rsidRPr="002B3BB2">
        <w:rPr>
          <w:rFonts w:ascii="Times New Roman" w:hAnsi="Times New Roman" w:cs="Times New Roman"/>
        </w:rPr>
        <w:t xml:space="preserve"> Massachusetts: Corner House Publishers, 1867.</w:t>
      </w:r>
    </w:p>
    <w:p w14:paraId="4E13AC67" w14:textId="77777777" w:rsidR="0013519B" w:rsidRDefault="0013519B" w:rsidP="003058E1">
      <w:pPr>
        <w:spacing w:line="480" w:lineRule="auto"/>
        <w:rPr>
          <w:rFonts w:ascii="Times New Roman" w:hAnsi="Times New Roman" w:cs="Times New Roman"/>
          <w:b/>
        </w:rPr>
      </w:pPr>
    </w:p>
    <w:p w14:paraId="63CEB136" w14:textId="77777777" w:rsidR="003058E1" w:rsidRPr="00CB797A" w:rsidRDefault="003058E1" w:rsidP="003058E1">
      <w:pPr>
        <w:spacing w:line="480" w:lineRule="auto"/>
        <w:rPr>
          <w:rFonts w:ascii="Times New Roman" w:hAnsi="Times New Roman" w:cs="Times New Roman"/>
          <w:b/>
        </w:rPr>
      </w:pPr>
    </w:p>
    <w:p w14:paraId="0473FC8E" w14:textId="352BF137" w:rsidR="00FC2055" w:rsidRPr="00421093" w:rsidRDefault="00FC2055" w:rsidP="00345511">
      <w:pPr>
        <w:spacing w:line="480" w:lineRule="auto"/>
        <w:rPr>
          <w:rFonts w:ascii="Times New Roman" w:hAnsi="Times New Roman" w:cs="Times New Roman"/>
        </w:rPr>
      </w:pPr>
    </w:p>
    <w:sectPr w:rsidR="00FC2055" w:rsidRPr="00421093" w:rsidSect="00162FA4">
      <w:headerReference w:type="even" r:id="rId30"/>
      <w:headerReference w:type="default" r:id="rId31"/>
      <w:pgSz w:w="12240" w:h="15840"/>
      <w:pgMar w:top="1440" w:right="198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50983B" w14:textId="77777777" w:rsidR="00C76774" w:rsidRDefault="00C76774" w:rsidP="00CA7F1D">
      <w:r>
        <w:separator/>
      </w:r>
    </w:p>
  </w:endnote>
  <w:endnote w:type="continuationSeparator" w:id="0">
    <w:p w14:paraId="6C2BDD3A" w14:textId="77777777" w:rsidR="00C76774" w:rsidRDefault="00C76774" w:rsidP="00CA7F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FF30FA" w14:textId="77777777" w:rsidR="00C76774" w:rsidRDefault="00C76774" w:rsidP="00CA7F1D">
      <w:r>
        <w:separator/>
      </w:r>
    </w:p>
  </w:footnote>
  <w:footnote w:type="continuationSeparator" w:id="0">
    <w:p w14:paraId="09F42FBB" w14:textId="77777777" w:rsidR="00C76774" w:rsidRDefault="00C76774" w:rsidP="00CA7F1D">
      <w:r>
        <w:continuationSeparator/>
      </w:r>
    </w:p>
  </w:footnote>
  <w:footnote w:id="1">
    <w:p w14:paraId="041042FA" w14:textId="77777777" w:rsidR="00C76774" w:rsidRDefault="00C76774" w:rsidP="00C03271">
      <w:pPr>
        <w:pStyle w:val="FootnoteText"/>
        <w:spacing w:beforeAutospacing="0" w:afterAutospacing="0"/>
      </w:pPr>
      <w:r>
        <w:rPr>
          <w:rStyle w:val="FootnoteReference"/>
        </w:rPr>
        <w:footnoteRef/>
      </w:r>
      <w:r>
        <w:t xml:space="preserve"> </w:t>
      </w:r>
      <w:r w:rsidRPr="00F30E00">
        <w:t>Charles W.</w:t>
      </w:r>
      <w:r>
        <w:t xml:space="preserve"> </w:t>
      </w:r>
      <w:proofErr w:type="spellStart"/>
      <w:r>
        <w:t>Upham</w:t>
      </w:r>
      <w:proofErr w:type="spellEnd"/>
      <w:r>
        <w:t>,</w:t>
      </w:r>
      <w:r w:rsidRPr="00F30E00">
        <w:t xml:space="preserve"> </w:t>
      </w:r>
      <w:r w:rsidRPr="00F30E00">
        <w:rPr>
          <w:i/>
        </w:rPr>
        <w:t>Salem Witchcraft</w:t>
      </w:r>
      <w:r>
        <w:t>, v</w:t>
      </w:r>
      <w:r w:rsidRPr="00F30E00">
        <w:t xml:space="preserve">ol. 2 of </w:t>
      </w:r>
      <w:r w:rsidRPr="00F30E00">
        <w:rPr>
          <w:i/>
        </w:rPr>
        <w:t>An Account of Salem Village and A History of Opinions on Witchcraft and Kindred Subjects</w:t>
      </w:r>
      <w:r w:rsidRPr="00F30E00">
        <w:t xml:space="preserve"> </w:t>
      </w:r>
      <w:r>
        <w:t>(</w:t>
      </w:r>
      <w:r w:rsidRPr="00F30E00">
        <w:t>Massachusetts: Corner House Publishers, 1867</w:t>
      </w:r>
      <w:r>
        <w:t>), 3.</w:t>
      </w:r>
    </w:p>
  </w:footnote>
  <w:footnote w:id="2">
    <w:p w14:paraId="7EE62604" w14:textId="0ED6FE8A" w:rsidR="00C76774" w:rsidRDefault="00C76774" w:rsidP="005A1D33">
      <w:pPr>
        <w:pStyle w:val="FootnoteText"/>
        <w:spacing w:before="100" w:after="100"/>
      </w:pPr>
      <w:r>
        <w:rPr>
          <w:rStyle w:val="FootnoteReference"/>
        </w:rPr>
        <w:footnoteRef/>
      </w:r>
      <w:r>
        <w:t xml:space="preserve"> </w:t>
      </w:r>
      <w:r w:rsidRPr="006F705D">
        <w:t>Jona</w:t>
      </w:r>
      <w:r>
        <w:t>thon Corwin and John Hathorne, “</w:t>
      </w:r>
      <w:r w:rsidRPr="006F705D">
        <w:t>Warrant v. Ti</w:t>
      </w:r>
      <w:r>
        <w:t xml:space="preserve">tuba and Sarah </w:t>
      </w:r>
      <w:proofErr w:type="spellStart"/>
      <w:r>
        <w:t>Osbourne</w:t>
      </w:r>
      <w:proofErr w:type="spellEnd"/>
      <w:r>
        <w:t>, 1691/2”,</w:t>
      </w:r>
      <w:r w:rsidRPr="006F705D">
        <w:t xml:space="preserve"> under “Tituba,” ed. Paul Boyer and Stephen </w:t>
      </w:r>
      <w:proofErr w:type="spellStart"/>
      <w:r w:rsidRPr="006F705D">
        <w:t>Nissenbaum</w:t>
      </w:r>
      <w:proofErr w:type="spellEnd"/>
      <w:r w:rsidRPr="006F705D">
        <w:t xml:space="preserve">, Tituba Case File, vol. 3 </w:t>
      </w:r>
      <w:r w:rsidRPr="00384674">
        <w:t>of</w:t>
      </w:r>
      <w:r w:rsidRPr="00B94269">
        <w:rPr>
          <w:i/>
        </w:rPr>
        <w:t xml:space="preserve"> The Salem Witchcraft Papers:  Verbatim Transcriptions of the Court Records</w:t>
      </w:r>
      <w:r w:rsidRPr="006F705D">
        <w:t xml:space="preserve">, (New York: Da Capo Press, 1977), </w:t>
      </w:r>
      <w:r>
        <w:t xml:space="preserve">accessed February 4, 2014, </w:t>
      </w:r>
      <w:hyperlink r:id="rId1" w:history="1">
        <w:r w:rsidRPr="000430DA">
          <w:rPr>
            <w:rStyle w:val="Hyperlink"/>
          </w:rPr>
          <w:t>http://salem.lib.virginia.edu/texts/tei/BoySal3R?div_id=n125</w:t>
        </w:r>
      </w:hyperlink>
      <w:r>
        <w:t xml:space="preserve">.  </w:t>
      </w:r>
    </w:p>
  </w:footnote>
  <w:footnote w:id="3">
    <w:p w14:paraId="5E4D71CD" w14:textId="1C41A644" w:rsidR="00C76774" w:rsidRDefault="00C76774" w:rsidP="005A1D33">
      <w:pPr>
        <w:pStyle w:val="FootnoteText"/>
        <w:spacing w:before="100" w:after="100"/>
      </w:pPr>
      <w:r>
        <w:rPr>
          <w:rStyle w:val="FootnoteReference"/>
        </w:rPr>
        <w:footnoteRef/>
      </w:r>
      <w:r>
        <w:t xml:space="preserve"> </w:t>
      </w:r>
      <w:r>
        <w:rPr>
          <w:lang w:val="en"/>
        </w:rPr>
        <w:t>Richard B. Trask,</w:t>
      </w:r>
      <w:r w:rsidRPr="00B95215">
        <w:rPr>
          <w:lang w:val="en"/>
        </w:rPr>
        <w:t xml:space="preserve"> </w:t>
      </w:r>
      <w:r>
        <w:rPr>
          <w:lang w:val="en"/>
        </w:rPr>
        <w:t>i</w:t>
      </w:r>
      <w:r w:rsidRPr="00B95215">
        <w:rPr>
          <w:lang w:val="en"/>
        </w:rPr>
        <w:t xml:space="preserve">ntroduction to </w:t>
      </w:r>
      <w:r w:rsidRPr="00B95215">
        <w:rPr>
          <w:i/>
          <w:lang w:val="en"/>
        </w:rPr>
        <w:t>“’The Devil Hath Been Raised’”: A Documentary History of the Salem Village Wi</w:t>
      </w:r>
      <w:r>
        <w:rPr>
          <w:i/>
          <w:lang w:val="en"/>
        </w:rPr>
        <w:t xml:space="preserve">tchcraft Outbreak of March 1692.  </w:t>
      </w:r>
      <w:r>
        <w:rPr>
          <w:lang w:val="en"/>
        </w:rPr>
        <w:t>(</w:t>
      </w:r>
      <w:r w:rsidRPr="00B95215">
        <w:rPr>
          <w:lang w:val="en"/>
        </w:rPr>
        <w:t>Mas</w:t>
      </w:r>
      <w:r>
        <w:rPr>
          <w:lang w:val="en"/>
        </w:rPr>
        <w:t>sachusetts: Yeoman Press, 1992), under “Project Information: Danvers, Mass”,</w:t>
      </w:r>
      <w:r w:rsidRPr="00086812">
        <w:rPr>
          <w:lang w:val="en"/>
        </w:rPr>
        <w:t xml:space="preserve"> </w:t>
      </w:r>
      <w:r>
        <w:rPr>
          <w:lang w:val="en"/>
        </w:rPr>
        <w:t xml:space="preserve">accessed February 4, 2014, </w:t>
      </w:r>
      <w:hyperlink r:id="rId2" w:history="1">
        <w:r w:rsidRPr="00B95215">
          <w:rPr>
            <w:rStyle w:val="Hyperlink"/>
            <w:lang w:val="en"/>
          </w:rPr>
          <w:t>http://etext.virginia.edu/salem/witchcraft/Intro.html</w:t>
        </w:r>
      </w:hyperlink>
      <w:r>
        <w:rPr>
          <w:lang w:val="en"/>
        </w:rPr>
        <w:t>.</w:t>
      </w:r>
    </w:p>
  </w:footnote>
  <w:footnote w:id="4">
    <w:p w14:paraId="5C13BA49" w14:textId="7B22D6C9" w:rsidR="00C76774" w:rsidRDefault="00C76774" w:rsidP="005A1D33">
      <w:pPr>
        <w:pStyle w:val="FootnoteText"/>
        <w:spacing w:before="100" w:after="100"/>
      </w:pPr>
      <w:r>
        <w:rPr>
          <w:rStyle w:val="FootnoteReference"/>
        </w:rPr>
        <w:footnoteRef/>
      </w:r>
      <w:r>
        <w:t xml:space="preserve"> </w:t>
      </w:r>
      <w:r w:rsidRPr="003665E4">
        <w:t>Bernard</w:t>
      </w:r>
      <w:r>
        <w:t xml:space="preserve"> Rosenthal, “Tituba’s Story,</w:t>
      </w:r>
      <w:r w:rsidRPr="003665E4">
        <w:t xml:space="preserve">” </w:t>
      </w:r>
      <w:r w:rsidRPr="003665E4">
        <w:rPr>
          <w:i/>
        </w:rPr>
        <w:t>The New England Quarterly</w:t>
      </w:r>
      <w:r>
        <w:t xml:space="preserve"> 71, no. 2 (June 1998):</w:t>
      </w:r>
      <w:r w:rsidRPr="003665E4">
        <w:t xml:space="preserve"> </w:t>
      </w:r>
      <w:r>
        <w:t xml:space="preserve">190, accessed December 4, 2013, </w:t>
      </w:r>
      <w:r w:rsidRPr="003665E4">
        <w:t>http://www.jstor.org/s</w:t>
      </w:r>
      <w:r>
        <w:t>table/366502.</w:t>
      </w:r>
    </w:p>
  </w:footnote>
  <w:footnote w:id="5">
    <w:p w14:paraId="45F0DC67" w14:textId="0B1D1FFD" w:rsidR="00C76774" w:rsidRDefault="00C76774" w:rsidP="00E83E01">
      <w:pPr>
        <w:pStyle w:val="FootnoteText"/>
        <w:spacing w:before="100" w:after="100"/>
      </w:pPr>
      <w:r>
        <w:rPr>
          <w:rStyle w:val="FootnoteReference"/>
        </w:rPr>
        <w:footnoteRef/>
      </w:r>
      <w:r>
        <w:t xml:space="preserve"> </w:t>
      </w:r>
      <w:r>
        <w:rPr>
          <w:lang w:val="en"/>
        </w:rPr>
        <w:t>Richard B. Trask</w:t>
      </w:r>
      <w:r>
        <w:rPr>
          <w:i/>
          <w:lang w:val="en"/>
        </w:rPr>
        <w:t xml:space="preserve">, </w:t>
      </w:r>
      <w:r>
        <w:rPr>
          <w:lang w:val="en"/>
        </w:rPr>
        <w:t>“Chronology of Events Relating to the Salem Witchcraft Trials”,</w:t>
      </w:r>
      <w:r>
        <w:rPr>
          <w:i/>
          <w:lang w:val="en"/>
        </w:rPr>
        <w:t xml:space="preserve"> (</w:t>
      </w:r>
      <w:r w:rsidRPr="00B95215">
        <w:rPr>
          <w:lang w:val="en"/>
        </w:rPr>
        <w:t>Mas</w:t>
      </w:r>
      <w:r>
        <w:rPr>
          <w:lang w:val="en"/>
        </w:rPr>
        <w:t xml:space="preserve">sachusetts: Yeoman Press, 1992), under “Project Information: Danvers, Mass”, accessed January 27, 2014, </w:t>
      </w:r>
      <w:hyperlink r:id="rId3" w:history="1">
        <w:r w:rsidRPr="00B95215">
          <w:rPr>
            <w:rStyle w:val="Hyperlink"/>
            <w:lang w:val="en"/>
          </w:rPr>
          <w:t>http://etext.virginia.edu/salem/witchcraft/Intro.html</w:t>
        </w:r>
      </w:hyperlink>
      <w:r>
        <w:rPr>
          <w:lang w:val="en"/>
        </w:rPr>
        <w:t xml:space="preserve">. </w:t>
      </w:r>
    </w:p>
  </w:footnote>
  <w:footnote w:id="6">
    <w:p w14:paraId="0A2BBD6D" w14:textId="03DA0F8B" w:rsidR="00C76774" w:rsidRDefault="00C76774" w:rsidP="001F606A">
      <w:pPr>
        <w:pStyle w:val="FootnoteText"/>
        <w:spacing w:before="100" w:after="100"/>
      </w:pPr>
      <w:r>
        <w:rPr>
          <w:rStyle w:val="FootnoteReference"/>
        </w:rPr>
        <w:footnoteRef/>
      </w:r>
      <w:r>
        <w:t xml:space="preserve"> Paul J. </w:t>
      </w:r>
      <w:proofErr w:type="spellStart"/>
      <w:r>
        <w:t>Lindholt</w:t>
      </w:r>
      <w:proofErr w:type="spellEnd"/>
      <w:r>
        <w:t>, “</w:t>
      </w:r>
      <w:r>
        <w:rPr>
          <w:lang w:val="en"/>
        </w:rPr>
        <w:t xml:space="preserve">Crimes of Gender in Puritan America,” </w:t>
      </w:r>
      <w:r w:rsidRPr="00D0511C">
        <w:rPr>
          <w:i/>
          <w:lang w:val="en"/>
        </w:rPr>
        <w:t>American Quarterly</w:t>
      </w:r>
      <w:r>
        <w:rPr>
          <w:lang w:val="en"/>
        </w:rPr>
        <w:t xml:space="preserve"> 40, no. 4</w:t>
      </w:r>
      <w:r>
        <w:t xml:space="preserve"> (December 1988): 563, accessed February 4, 2014, </w:t>
      </w:r>
      <w:hyperlink r:id="rId4" w:history="1">
        <w:r w:rsidRPr="000430DA">
          <w:rPr>
            <w:rStyle w:val="Hyperlink"/>
            <w:lang w:val="en"/>
          </w:rPr>
          <w:t>http://www.jstor.org/stable/2713005</w:t>
        </w:r>
      </w:hyperlink>
      <w:r>
        <w:rPr>
          <w:lang w:val="en"/>
        </w:rPr>
        <w:t xml:space="preserve">. </w:t>
      </w:r>
    </w:p>
  </w:footnote>
  <w:footnote w:id="7">
    <w:p w14:paraId="7401FC47" w14:textId="4AE0732F" w:rsidR="00C76774" w:rsidRDefault="00C76774" w:rsidP="001F606A">
      <w:pPr>
        <w:pStyle w:val="FootnoteText"/>
        <w:spacing w:before="100" w:after="100"/>
      </w:pPr>
      <w:r>
        <w:rPr>
          <w:rStyle w:val="FootnoteReference"/>
        </w:rPr>
        <w:footnoteRef/>
      </w:r>
      <w:r>
        <w:t xml:space="preserve"> Elizabeth Reis, “Confess or Deny? What’s a ‘Witch’ to Do?,” </w:t>
      </w:r>
      <w:r w:rsidRPr="00951CC3">
        <w:rPr>
          <w:i/>
        </w:rPr>
        <w:t>OAH Magazine of History</w:t>
      </w:r>
      <w:r>
        <w:rPr>
          <w:i/>
        </w:rPr>
        <w:t xml:space="preserve"> </w:t>
      </w:r>
      <w:r>
        <w:t xml:space="preserve">17, no. 4, (July 2003): 11, accessed March 3, 2014, </w:t>
      </w:r>
      <w:hyperlink r:id="rId5" w:history="1">
        <w:r w:rsidRPr="000430DA">
          <w:rPr>
            <w:rStyle w:val="Hyperlink"/>
            <w:lang w:val="en"/>
          </w:rPr>
          <w:t>http://www.jstor.org/stable/25163615</w:t>
        </w:r>
      </w:hyperlink>
      <w:r>
        <w:rPr>
          <w:lang w:val="en"/>
        </w:rPr>
        <w:t xml:space="preserve">. </w:t>
      </w:r>
    </w:p>
  </w:footnote>
  <w:footnote w:id="8">
    <w:p w14:paraId="164F5F85" w14:textId="302FA21A" w:rsidR="00C76774" w:rsidRDefault="00C76774" w:rsidP="00E83E01">
      <w:pPr>
        <w:pStyle w:val="FootnoteText"/>
        <w:spacing w:before="100" w:after="100"/>
      </w:pPr>
      <w:r>
        <w:rPr>
          <w:rStyle w:val="FootnoteReference"/>
        </w:rPr>
        <w:footnoteRef/>
      </w:r>
      <w:r>
        <w:t xml:space="preserve"> Elizabeth Reis, “The Devil, the Body, and the Feminine Soul in Puritan New England,” </w:t>
      </w:r>
      <w:r w:rsidRPr="00951CC3">
        <w:rPr>
          <w:i/>
        </w:rPr>
        <w:t>The Journal of American History</w:t>
      </w:r>
      <w:r>
        <w:rPr>
          <w:i/>
        </w:rPr>
        <w:t xml:space="preserve"> </w:t>
      </w:r>
      <w:r>
        <w:t xml:space="preserve">82, no. 1 (June 1995): 15, accessed March 3, 2014, </w:t>
      </w:r>
      <w:hyperlink r:id="rId6" w:history="1">
        <w:r w:rsidRPr="000430DA">
          <w:rPr>
            <w:rStyle w:val="Hyperlink"/>
            <w:lang w:val="en"/>
          </w:rPr>
          <w:t>http://www.jstor.org/stable/2081913</w:t>
        </w:r>
      </w:hyperlink>
      <w:r>
        <w:rPr>
          <w:lang w:val="en"/>
        </w:rPr>
        <w:t xml:space="preserve">. </w:t>
      </w:r>
      <w:r>
        <w:t xml:space="preserve"> </w:t>
      </w:r>
    </w:p>
  </w:footnote>
  <w:footnote w:id="9">
    <w:p w14:paraId="2B4A314D" w14:textId="42D0EBD6" w:rsidR="00C76774" w:rsidRDefault="00C76774" w:rsidP="00E83E01">
      <w:pPr>
        <w:pStyle w:val="FootnoteText"/>
        <w:spacing w:before="100" w:after="100"/>
      </w:pPr>
      <w:r>
        <w:rPr>
          <w:rStyle w:val="FootnoteReference"/>
        </w:rPr>
        <w:footnoteRef/>
      </w:r>
      <w:r>
        <w:t xml:space="preserve"> Ibid., 18. </w:t>
      </w:r>
    </w:p>
  </w:footnote>
  <w:footnote w:id="10">
    <w:p w14:paraId="62F84EE3" w14:textId="395BF145" w:rsidR="00C76774" w:rsidRPr="00E83E01" w:rsidRDefault="00C76774" w:rsidP="00E83E01">
      <w:pPr>
        <w:pStyle w:val="FootnoteText"/>
        <w:spacing w:before="100" w:after="100"/>
      </w:pPr>
      <w:r w:rsidRPr="00E83E01">
        <w:rPr>
          <w:rStyle w:val="FootnoteReference"/>
        </w:rPr>
        <w:footnoteRef/>
      </w:r>
      <w:r w:rsidRPr="00E83E01">
        <w:t xml:space="preserve"> Ibid., 16. </w:t>
      </w:r>
    </w:p>
  </w:footnote>
  <w:footnote w:id="11">
    <w:p w14:paraId="3B0B9C04" w14:textId="6F9725BE" w:rsidR="00C76774" w:rsidRDefault="00C76774" w:rsidP="00E83E01">
      <w:pPr>
        <w:pStyle w:val="FootnoteText"/>
        <w:spacing w:before="100" w:after="100"/>
      </w:pPr>
      <w:r w:rsidRPr="00E83E01">
        <w:rPr>
          <w:rStyle w:val="FootnoteReference"/>
        </w:rPr>
        <w:footnoteRef/>
      </w:r>
      <w:r w:rsidRPr="00E83E01">
        <w:t xml:space="preserve"> </w:t>
      </w:r>
      <w:proofErr w:type="spellStart"/>
      <w:r w:rsidRPr="00E83E01">
        <w:t>Lindholt</w:t>
      </w:r>
      <w:proofErr w:type="spellEnd"/>
      <w:r w:rsidRPr="00E83E01">
        <w:t xml:space="preserve">, “Crimes of Gender in Puritan America,” 564. </w:t>
      </w:r>
    </w:p>
  </w:footnote>
  <w:footnote w:id="12">
    <w:p w14:paraId="3EF6161D" w14:textId="45950402" w:rsidR="00C76774" w:rsidRDefault="00C76774" w:rsidP="00E83E01">
      <w:pPr>
        <w:pStyle w:val="FootnoteText"/>
        <w:spacing w:before="100" w:after="100"/>
      </w:pPr>
      <w:r>
        <w:rPr>
          <w:rStyle w:val="FootnoteReference"/>
        </w:rPr>
        <w:footnoteRef/>
      </w:r>
      <w:r>
        <w:t xml:space="preserve"> Reis, “The Devil, the Body and the Feminine Soul,” 27. </w:t>
      </w:r>
    </w:p>
  </w:footnote>
  <w:footnote w:id="13">
    <w:p w14:paraId="01BB26DD" w14:textId="300969C0" w:rsidR="00C76774" w:rsidRDefault="00C76774" w:rsidP="00E83E01">
      <w:pPr>
        <w:pStyle w:val="FootnoteText"/>
        <w:spacing w:before="100" w:after="100"/>
      </w:pPr>
      <w:r>
        <w:rPr>
          <w:rStyle w:val="FootnoteReference"/>
        </w:rPr>
        <w:footnoteRef/>
      </w:r>
      <w:r>
        <w:t xml:space="preserve"> Ibid., 35. </w:t>
      </w:r>
    </w:p>
  </w:footnote>
  <w:footnote w:id="14">
    <w:p w14:paraId="66713BD0" w14:textId="657EE1A8" w:rsidR="00C76774" w:rsidRDefault="00C76774" w:rsidP="00E83E01">
      <w:pPr>
        <w:pStyle w:val="FootnoteText"/>
        <w:spacing w:before="100" w:after="100"/>
      </w:pPr>
      <w:r>
        <w:rPr>
          <w:rStyle w:val="FootnoteReference"/>
        </w:rPr>
        <w:footnoteRef/>
      </w:r>
      <w:r>
        <w:t xml:space="preserve"> Ibid., 25. </w:t>
      </w:r>
    </w:p>
  </w:footnote>
  <w:footnote w:id="15">
    <w:p w14:paraId="4DCBA373" w14:textId="7B438738" w:rsidR="00C76774" w:rsidRDefault="00C76774" w:rsidP="00E83E01">
      <w:pPr>
        <w:pStyle w:val="FootnoteText"/>
        <w:spacing w:before="100" w:after="100"/>
      </w:pPr>
      <w:r>
        <w:rPr>
          <w:rStyle w:val="FootnoteReference"/>
        </w:rPr>
        <w:footnoteRef/>
      </w:r>
      <w:r>
        <w:t xml:space="preserve"> Reis, “Confess or Deny? What’s a ‘Witch’ to Do?,” 12. </w:t>
      </w:r>
    </w:p>
  </w:footnote>
  <w:footnote w:id="16">
    <w:p w14:paraId="731C04E0" w14:textId="2F376AD5" w:rsidR="00C76774" w:rsidRDefault="00C76774" w:rsidP="00E83E01">
      <w:pPr>
        <w:pStyle w:val="FootnoteText"/>
        <w:spacing w:before="100" w:after="100"/>
      </w:pPr>
      <w:r>
        <w:rPr>
          <w:rStyle w:val="FootnoteReference"/>
        </w:rPr>
        <w:footnoteRef/>
      </w:r>
      <w:r>
        <w:t xml:space="preserve"> Ibid. </w:t>
      </w:r>
    </w:p>
  </w:footnote>
  <w:footnote w:id="17">
    <w:p w14:paraId="251C2E95" w14:textId="2A9C3905" w:rsidR="00C76774" w:rsidRDefault="00C76774" w:rsidP="00E83E01">
      <w:pPr>
        <w:pStyle w:val="FootnoteText"/>
        <w:spacing w:before="100" w:after="100"/>
      </w:pPr>
      <w:r w:rsidRPr="00E83E01">
        <w:rPr>
          <w:rStyle w:val="FootnoteReference"/>
        </w:rPr>
        <w:footnoteRef/>
      </w:r>
      <w:r>
        <w:t xml:space="preserve">  </w:t>
      </w:r>
      <w:r w:rsidRPr="006F705D">
        <w:t>Jona</w:t>
      </w:r>
      <w:r>
        <w:t xml:space="preserve">thon Corwin and John Hathorne, “Examination of Sarah Good”, under “Sarah Good” </w:t>
      </w:r>
      <w:r w:rsidRPr="006F705D">
        <w:t xml:space="preserve">ed. Paul Boyer and Stephen </w:t>
      </w:r>
      <w:proofErr w:type="spellStart"/>
      <w:r w:rsidRPr="006F705D">
        <w:t>Nissenbaum</w:t>
      </w:r>
      <w:proofErr w:type="spellEnd"/>
      <w:r>
        <w:t xml:space="preserve">, Sarah Good Case File, vol. 1 </w:t>
      </w:r>
      <w:r w:rsidRPr="006F705D">
        <w:t xml:space="preserve">of </w:t>
      </w:r>
      <w:r w:rsidRPr="00B94269">
        <w:rPr>
          <w:i/>
        </w:rPr>
        <w:t>The Salem Witchcraft Papers:  Verbatim Transcriptions of the Court Records</w:t>
      </w:r>
      <w:r w:rsidRPr="006F705D">
        <w:t xml:space="preserve">, (New York: Da Capo Press, 1977), </w:t>
      </w:r>
      <w:r>
        <w:t xml:space="preserve">accessed February 4, 2014, </w:t>
      </w:r>
      <w:hyperlink r:id="rId7" w:history="1">
        <w:r w:rsidRPr="000430DA">
          <w:rPr>
            <w:rStyle w:val="Hyperlink"/>
          </w:rPr>
          <w:t>http://salem.lib.virginia.edu/texts/tei/BoySalCombined?div_id=n63</w:t>
        </w:r>
      </w:hyperlink>
      <w:r>
        <w:t xml:space="preserve">. </w:t>
      </w:r>
    </w:p>
  </w:footnote>
  <w:footnote w:id="18">
    <w:p w14:paraId="7DBFE193" w14:textId="15656288" w:rsidR="00C76774" w:rsidRDefault="00C76774" w:rsidP="00E83E01">
      <w:pPr>
        <w:pStyle w:val="FootnoteText"/>
        <w:spacing w:before="100" w:after="100"/>
      </w:pPr>
      <w:r>
        <w:rPr>
          <w:rStyle w:val="FootnoteReference"/>
        </w:rPr>
        <w:footnoteRef/>
      </w:r>
      <w:r>
        <w:t xml:space="preserve"> Reis, “Confess or Deny? What’s a ‘Witch’ to Do?,” 12. </w:t>
      </w:r>
    </w:p>
  </w:footnote>
  <w:footnote w:id="19">
    <w:p w14:paraId="17E17033" w14:textId="26B89290" w:rsidR="00C76774" w:rsidRPr="002563D6" w:rsidRDefault="00C76774" w:rsidP="002563D6">
      <w:pPr>
        <w:pStyle w:val="FootnoteText"/>
        <w:spacing w:before="100" w:after="100"/>
      </w:pPr>
      <w:r>
        <w:rPr>
          <w:rStyle w:val="FootnoteReference"/>
        </w:rPr>
        <w:footnoteRef/>
      </w:r>
      <w:r>
        <w:t xml:space="preserve"> William Stoughton, “</w:t>
      </w:r>
      <w:r w:rsidRPr="002563D6">
        <w:t>Death Warrant for Sarah Good , Rebecca Nurse, Susannah Martin , Elizabeth How , and Sarah Wilds</w:t>
      </w:r>
      <w:r>
        <w:t xml:space="preserve">”, under “Sarah Good” ed. Paul </w:t>
      </w:r>
      <w:r w:rsidRPr="006F705D">
        <w:t xml:space="preserve">Boyer and Stephen </w:t>
      </w:r>
      <w:proofErr w:type="spellStart"/>
      <w:r w:rsidRPr="006F705D">
        <w:t>Nissenbaum</w:t>
      </w:r>
      <w:proofErr w:type="spellEnd"/>
      <w:r>
        <w:t xml:space="preserve">, Sarah Good Case File, vol. 1 </w:t>
      </w:r>
      <w:r w:rsidRPr="006F705D">
        <w:t xml:space="preserve">of </w:t>
      </w:r>
      <w:r w:rsidRPr="00B94269">
        <w:rPr>
          <w:i/>
        </w:rPr>
        <w:t>The Salem Witchcraft Papers:  Verbatim Transcriptions of the Court Records</w:t>
      </w:r>
      <w:r w:rsidRPr="006F705D">
        <w:t xml:space="preserve">, (New York: Da Capo Press, 1977), </w:t>
      </w:r>
      <w:r>
        <w:t xml:space="preserve">accessed February 4, 2014, </w:t>
      </w:r>
      <w:hyperlink r:id="rId8" w:history="1">
        <w:r w:rsidRPr="000430DA">
          <w:rPr>
            <w:rStyle w:val="Hyperlink"/>
          </w:rPr>
          <w:t>http://salem.lib.virginia.edu/texts/tei/BoySalCombined?div_id=n63</w:t>
        </w:r>
      </w:hyperlink>
      <w:r>
        <w:t>.</w:t>
      </w:r>
    </w:p>
  </w:footnote>
  <w:footnote w:id="20">
    <w:p w14:paraId="0D9DD5E6" w14:textId="4E04B587" w:rsidR="00C76774" w:rsidRPr="002563D6" w:rsidRDefault="00C76774" w:rsidP="002563D6">
      <w:pPr>
        <w:pStyle w:val="FootnoteText"/>
        <w:spacing w:before="100" w:after="100"/>
      </w:pPr>
      <w:r w:rsidRPr="002563D6">
        <w:rPr>
          <w:rStyle w:val="FootnoteReference"/>
        </w:rPr>
        <w:footnoteRef/>
      </w:r>
      <w:r w:rsidRPr="002563D6">
        <w:t xml:space="preserve"> </w:t>
      </w:r>
      <w:r w:rsidRPr="006F705D">
        <w:t>Jona</w:t>
      </w:r>
      <w:r>
        <w:t xml:space="preserve">thon Corwin and John Hathorne, “Examination of Sarah Osborne”, under “Sarah Osborne” </w:t>
      </w:r>
      <w:r w:rsidRPr="006F705D">
        <w:t xml:space="preserve">ed. Paul Boyer and Stephen </w:t>
      </w:r>
      <w:proofErr w:type="spellStart"/>
      <w:r w:rsidRPr="006F705D">
        <w:t>Nissenbaum</w:t>
      </w:r>
      <w:proofErr w:type="spellEnd"/>
      <w:r>
        <w:t xml:space="preserve">, Sarah Osborne Case File, vol. 1 </w:t>
      </w:r>
      <w:r w:rsidRPr="006F705D">
        <w:t xml:space="preserve">of </w:t>
      </w:r>
      <w:r w:rsidRPr="00B94269">
        <w:rPr>
          <w:i/>
        </w:rPr>
        <w:t>The Salem Witchcraft Papers:  Verbatim Transcriptions of the Court Records</w:t>
      </w:r>
      <w:r w:rsidRPr="006F705D">
        <w:t xml:space="preserve">, (New York: Da Capo Press, 1977), </w:t>
      </w:r>
      <w:r>
        <w:t xml:space="preserve">accessed February 4, 2014, </w:t>
      </w:r>
      <w:hyperlink r:id="rId9" w:history="1">
        <w:r w:rsidRPr="000430DA">
          <w:rPr>
            <w:rStyle w:val="Hyperlink"/>
          </w:rPr>
          <w:t>http://salem.lib.virginia.edu/texts/tei/BoySalCombined?div_id=n95</w:t>
        </w:r>
      </w:hyperlink>
      <w:r>
        <w:t xml:space="preserve">. </w:t>
      </w:r>
    </w:p>
  </w:footnote>
  <w:footnote w:id="21">
    <w:p w14:paraId="250E4320" w14:textId="4AA84079" w:rsidR="00C76774" w:rsidRPr="004C3565" w:rsidRDefault="00C76774" w:rsidP="002563D6">
      <w:pPr>
        <w:pStyle w:val="FootnoteText"/>
        <w:spacing w:before="100" w:after="100"/>
        <w:rPr>
          <w:highlight w:val="yellow"/>
        </w:rPr>
      </w:pPr>
      <w:r w:rsidRPr="002563D6">
        <w:rPr>
          <w:rStyle w:val="FootnoteReference"/>
        </w:rPr>
        <w:footnoteRef/>
      </w:r>
      <w:r w:rsidRPr="002563D6">
        <w:t xml:space="preserve"> </w:t>
      </w:r>
      <w:r>
        <w:t xml:space="preserve">Ibid. </w:t>
      </w:r>
    </w:p>
  </w:footnote>
  <w:footnote w:id="22">
    <w:p w14:paraId="1E8BB77D" w14:textId="0035CC20" w:rsidR="00C76774" w:rsidRDefault="00C76774" w:rsidP="00EE5002">
      <w:pPr>
        <w:pStyle w:val="FootnoteText"/>
        <w:spacing w:before="100" w:after="100"/>
      </w:pPr>
      <w:r w:rsidRPr="00EE5002">
        <w:rPr>
          <w:rStyle w:val="FootnoteReference"/>
        </w:rPr>
        <w:footnoteRef/>
      </w:r>
      <w:r w:rsidRPr="00EE5002">
        <w:t xml:space="preserve"> </w:t>
      </w:r>
      <w:r>
        <w:t xml:space="preserve">Ibid. </w:t>
      </w:r>
    </w:p>
  </w:footnote>
  <w:footnote w:id="23">
    <w:p w14:paraId="0E19DA46" w14:textId="3AD4AACE" w:rsidR="00C76774" w:rsidRDefault="00C76774" w:rsidP="00EE5002">
      <w:pPr>
        <w:pStyle w:val="FootnoteText"/>
        <w:spacing w:before="100" w:after="100"/>
      </w:pPr>
      <w:r>
        <w:rPr>
          <w:rStyle w:val="FootnoteReference"/>
        </w:rPr>
        <w:footnoteRef/>
      </w:r>
      <w:r>
        <w:t xml:space="preserve"> </w:t>
      </w:r>
      <w:r w:rsidRPr="006F705D">
        <w:t>Jona</w:t>
      </w:r>
      <w:r>
        <w:t>thon Corwin and John Hathorne, “Examination of Tituba”,</w:t>
      </w:r>
      <w:r w:rsidRPr="006F705D">
        <w:t xml:space="preserve"> under “Tituba,” ed. Paul Boyer and Stephen </w:t>
      </w:r>
      <w:proofErr w:type="spellStart"/>
      <w:r w:rsidRPr="006F705D">
        <w:t>Nissenbaum</w:t>
      </w:r>
      <w:proofErr w:type="spellEnd"/>
      <w:r w:rsidRPr="006F705D">
        <w:t xml:space="preserve">, Tituba Case File, vol. 3 </w:t>
      </w:r>
      <w:r w:rsidRPr="00384674">
        <w:t>of</w:t>
      </w:r>
      <w:r w:rsidRPr="00B94269">
        <w:rPr>
          <w:i/>
        </w:rPr>
        <w:t xml:space="preserve"> The Salem Witchcraft Papers:  Verbatim Transcriptions of the Court Records</w:t>
      </w:r>
      <w:r w:rsidRPr="006F705D">
        <w:t xml:space="preserve">, (New York: Da Capo Press, 1977), </w:t>
      </w:r>
      <w:r>
        <w:t xml:space="preserve">accessed February 4, 2014, </w:t>
      </w:r>
      <w:r w:rsidRPr="006F705D">
        <w:t>http://salem.lib.virginia.edu/texts/tei/BoySal3R?div_id=</w:t>
      </w:r>
      <w:r>
        <w:t xml:space="preserve">n125.  </w:t>
      </w:r>
    </w:p>
  </w:footnote>
  <w:footnote w:id="24">
    <w:p w14:paraId="6D81CAAE" w14:textId="14B20CFE" w:rsidR="00C76774" w:rsidRPr="007133BC" w:rsidRDefault="00C76774" w:rsidP="00E82F62">
      <w:pPr>
        <w:pStyle w:val="FootnoteText"/>
        <w:spacing w:before="100" w:after="100"/>
      </w:pPr>
      <w:r>
        <w:rPr>
          <w:rStyle w:val="FootnoteReference"/>
        </w:rPr>
        <w:footnoteRef/>
      </w:r>
      <w:r>
        <w:t xml:space="preserve"> Reis, “Confess or Deny? What’s a ‘Witch’ to Do?,” 12. </w:t>
      </w:r>
    </w:p>
    <w:p w14:paraId="5262BB3F" w14:textId="0DA92153" w:rsidR="00C76774" w:rsidRDefault="00C76774">
      <w:pPr>
        <w:pStyle w:val="FootnoteText"/>
      </w:pPr>
    </w:p>
  </w:footnote>
  <w:footnote w:id="25">
    <w:p w14:paraId="4AAF6F9E" w14:textId="77777777" w:rsidR="00DF3FF3" w:rsidRDefault="00DF3FF3" w:rsidP="00DF3FF3">
      <w:pPr>
        <w:pStyle w:val="FootnoteText"/>
        <w:spacing w:before="100" w:after="100"/>
      </w:pPr>
      <w:r>
        <w:rPr>
          <w:rStyle w:val="FootnoteReference"/>
        </w:rPr>
        <w:footnoteRef/>
      </w:r>
      <w:r>
        <w:t xml:space="preserve"> Reis, “The Devil, the Body, and the Feminine Soul,” 15. </w:t>
      </w:r>
    </w:p>
  </w:footnote>
  <w:footnote w:id="26">
    <w:p w14:paraId="4759CED9" w14:textId="77777777" w:rsidR="00DF3FF3" w:rsidRDefault="00DF3FF3" w:rsidP="00DF3FF3">
      <w:pPr>
        <w:pStyle w:val="FootnoteText"/>
        <w:spacing w:before="100" w:after="100"/>
      </w:pPr>
      <w:r>
        <w:rPr>
          <w:rStyle w:val="FootnoteReference"/>
        </w:rPr>
        <w:footnoteRef/>
      </w:r>
      <w:r>
        <w:t xml:space="preserve"> Tucker, “</w:t>
      </w:r>
      <w:r>
        <w:rPr>
          <w:lang w:val="en"/>
        </w:rPr>
        <w:t xml:space="preserve">Purloined Identity: The Racial Metamorphosis of Tituba of Salem Village,” </w:t>
      </w:r>
      <w:r>
        <w:t>628.</w:t>
      </w:r>
    </w:p>
  </w:footnote>
  <w:footnote w:id="27">
    <w:p w14:paraId="5B24D6C3" w14:textId="34E674D9" w:rsidR="00C76774" w:rsidRPr="004C3565" w:rsidRDefault="00C76774" w:rsidP="00E82F62">
      <w:pPr>
        <w:pStyle w:val="FootnoteText"/>
        <w:spacing w:before="100" w:after="100"/>
        <w:rPr>
          <w:highlight w:val="yellow"/>
        </w:rPr>
      </w:pPr>
      <w:r w:rsidRPr="00E82F62">
        <w:rPr>
          <w:rStyle w:val="FootnoteReference"/>
        </w:rPr>
        <w:footnoteRef/>
      </w:r>
      <w:r w:rsidRPr="00E82F62">
        <w:t xml:space="preserve"> </w:t>
      </w:r>
      <w:r>
        <w:t xml:space="preserve">Corwin and </w:t>
      </w:r>
      <w:proofErr w:type="spellStart"/>
      <w:r>
        <w:t>Hathorne</w:t>
      </w:r>
      <w:proofErr w:type="spellEnd"/>
      <w:r>
        <w:t>, “Warrant v. Tituba and Sarah Osborne, 1691/2.”</w:t>
      </w:r>
      <w:r w:rsidRPr="00E82F62">
        <w:t xml:space="preserve"> </w:t>
      </w:r>
    </w:p>
  </w:footnote>
  <w:footnote w:id="28">
    <w:p w14:paraId="2F4FD03B" w14:textId="0481F62A" w:rsidR="00C76774" w:rsidRDefault="00C76774" w:rsidP="00E82F62">
      <w:pPr>
        <w:pStyle w:val="FootnoteText"/>
        <w:spacing w:before="100" w:after="100"/>
      </w:pPr>
      <w:r w:rsidRPr="00E82F62">
        <w:rPr>
          <w:rStyle w:val="FootnoteReference"/>
        </w:rPr>
        <w:footnoteRef/>
      </w:r>
      <w:proofErr w:type="spellStart"/>
      <w:r>
        <w:t>Ezekiell</w:t>
      </w:r>
      <w:proofErr w:type="spellEnd"/>
      <w:r>
        <w:t xml:space="preserve"> </w:t>
      </w:r>
      <w:proofErr w:type="spellStart"/>
      <w:r>
        <w:t>Chevers</w:t>
      </w:r>
      <w:proofErr w:type="spellEnd"/>
      <w:r>
        <w:t>, “Examination of Tituba”,</w:t>
      </w:r>
      <w:r w:rsidRPr="006F705D">
        <w:t xml:space="preserve"> under “Tituba,” ed. Paul Boyer and Stephen </w:t>
      </w:r>
      <w:proofErr w:type="spellStart"/>
      <w:r w:rsidRPr="006F705D">
        <w:t>Nissenbaum</w:t>
      </w:r>
      <w:proofErr w:type="spellEnd"/>
      <w:r w:rsidRPr="006F705D">
        <w:t xml:space="preserve">, Tituba Case File, vol. 3 </w:t>
      </w:r>
      <w:r w:rsidRPr="00384674">
        <w:t>of</w:t>
      </w:r>
      <w:r w:rsidRPr="00B94269">
        <w:rPr>
          <w:i/>
        </w:rPr>
        <w:t xml:space="preserve"> The Salem Witchcraft Papers:  Verbatim Transcriptions of the Court Records</w:t>
      </w:r>
      <w:r w:rsidRPr="006F705D">
        <w:t xml:space="preserve">, (New York: Da Capo Press, 1977), </w:t>
      </w:r>
      <w:r>
        <w:t xml:space="preserve">accessed February 4, 2014, </w:t>
      </w:r>
      <w:hyperlink r:id="rId10" w:history="1">
        <w:r w:rsidRPr="000430DA">
          <w:rPr>
            <w:rStyle w:val="Hyperlink"/>
          </w:rPr>
          <w:t>http://salem.lib.virginia.edu/texts/tei/BoySal3R?div_id=n125</w:t>
        </w:r>
      </w:hyperlink>
      <w:r>
        <w:t xml:space="preserve">.  </w:t>
      </w:r>
    </w:p>
  </w:footnote>
  <w:footnote w:id="29">
    <w:p w14:paraId="4A441D95" w14:textId="566D1A4B" w:rsidR="00C76774" w:rsidRDefault="00C76774" w:rsidP="007F42C5">
      <w:pPr>
        <w:pStyle w:val="FootnoteText"/>
        <w:spacing w:before="100" w:after="100"/>
      </w:pPr>
      <w:r>
        <w:rPr>
          <w:rStyle w:val="FootnoteReference"/>
        </w:rPr>
        <w:footnoteRef/>
      </w:r>
      <w:r>
        <w:t xml:space="preserve"> </w:t>
      </w:r>
      <w:r w:rsidRPr="001A7560">
        <w:t>Elaine</w:t>
      </w:r>
      <w:r>
        <w:t xml:space="preserve"> Breslaw,</w:t>
      </w:r>
      <w:r w:rsidRPr="001A7560">
        <w:t xml:space="preserve"> “Tituba's Confession: The Multicultural Dimensio</w:t>
      </w:r>
      <w:r>
        <w:t>ns of the 1692 Salem Witch-Hunt,</w:t>
      </w:r>
      <w:r w:rsidRPr="001A7560">
        <w:t xml:space="preserve">” </w:t>
      </w:r>
      <w:proofErr w:type="spellStart"/>
      <w:r w:rsidRPr="001A7560">
        <w:rPr>
          <w:i/>
        </w:rPr>
        <w:t>Ethnohistory</w:t>
      </w:r>
      <w:proofErr w:type="spellEnd"/>
      <w:r w:rsidRPr="001A7560">
        <w:rPr>
          <w:i/>
        </w:rPr>
        <w:t xml:space="preserve"> </w:t>
      </w:r>
      <w:r>
        <w:t xml:space="preserve">44, no. 3 (Summer 1997): 537, accessed December 22, 2013, </w:t>
      </w:r>
      <w:hyperlink r:id="rId11" w:history="1">
        <w:r w:rsidRPr="000430DA">
          <w:rPr>
            <w:rStyle w:val="Hyperlink"/>
            <w:lang w:val="en"/>
          </w:rPr>
          <w:t>http://www.jstor.org/stable/483035</w:t>
        </w:r>
      </w:hyperlink>
      <w:r>
        <w:rPr>
          <w:lang w:val="en"/>
        </w:rPr>
        <w:t xml:space="preserve">. </w:t>
      </w:r>
      <w:r>
        <w:t xml:space="preserve"> </w:t>
      </w:r>
    </w:p>
  </w:footnote>
  <w:footnote w:id="30">
    <w:p w14:paraId="322FBE76" w14:textId="35A5314F" w:rsidR="00C76774" w:rsidRDefault="00C76774" w:rsidP="007F42C5">
      <w:pPr>
        <w:pStyle w:val="FootnoteText"/>
        <w:spacing w:before="100" w:after="100"/>
      </w:pPr>
      <w:r>
        <w:rPr>
          <w:rStyle w:val="FootnoteReference"/>
        </w:rPr>
        <w:footnoteRef/>
      </w:r>
      <w:r>
        <w:t xml:space="preserve"> Breslaw,</w:t>
      </w:r>
      <w:r w:rsidRPr="001A7560">
        <w:t xml:space="preserve"> “Tituba's Confession: The Multicultural Dimensio</w:t>
      </w:r>
      <w:r>
        <w:t>ns of the 1692 Salem Witch-Hunt,</w:t>
      </w:r>
      <w:r w:rsidRPr="001A7560">
        <w:t>”</w:t>
      </w:r>
      <w:r>
        <w:t xml:space="preserve"> 537. </w:t>
      </w:r>
      <w:r w:rsidRPr="001A7560">
        <w:t xml:space="preserve"> </w:t>
      </w:r>
    </w:p>
  </w:footnote>
  <w:footnote w:id="31">
    <w:p w14:paraId="03E6DA41" w14:textId="03A33EE8" w:rsidR="00C76774" w:rsidRDefault="00C76774" w:rsidP="004B081C">
      <w:pPr>
        <w:pStyle w:val="FootnoteText"/>
        <w:spacing w:before="100" w:after="100"/>
      </w:pPr>
      <w:r>
        <w:rPr>
          <w:rStyle w:val="FootnoteReference"/>
        </w:rPr>
        <w:footnoteRef/>
      </w:r>
      <w:r>
        <w:t xml:space="preserve"> C</w:t>
      </w:r>
      <w:r w:rsidRPr="00093002">
        <w:t>hadwick</w:t>
      </w:r>
      <w:r>
        <w:t xml:space="preserve"> Hansen,</w:t>
      </w:r>
      <w:r w:rsidRPr="00093002">
        <w:t xml:space="preserve"> “The Metamorphosis of Tituba: or Why American Intellectuals Can't Te</w:t>
      </w:r>
      <w:r>
        <w:t>ll an Indian Witch from a Negro,</w:t>
      </w:r>
      <w:r w:rsidRPr="00093002">
        <w:t xml:space="preserve">” </w:t>
      </w:r>
      <w:r w:rsidRPr="00093002">
        <w:rPr>
          <w:i/>
        </w:rPr>
        <w:t>The New England Quarterly</w:t>
      </w:r>
      <w:r w:rsidRPr="00093002">
        <w:t xml:space="preserve"> 47</w:t>
      </w:r>
      <w:r>
        <w:t xml:space="preserve">, no. 1 (1974): 5,  accessed January 27, 2014, </w:t>
      </w:r>
      <w:hyperlink r:id="rId12" w:history="1">
        <w:r w:rsidRPr="000430DA">
          <w:rPr>
            <w:rStyle w:val="Hyperlink"/>
          </w:rPr>
          <w:t>http://www.jstor.org/stable/364324</w:t>
        </w:r>
      </w:hyperlink>
      <w:r>
        <w:t xml:space="preserve">.  </w:t>
      </w:r>
    </w:p>
  </w:footnote>
  <w:footnote w:id="32">
    <w:p w14:paraId="4A4FA26A" w14:textId="79709F06" w:rsidR="00C76774" w:rsidRDefault="00C76774" w:rsidP="004B081C">
      <w:pPr>
        <w:pStyle w:val="FootnoteText"/>
        <w:spacing w:before="100" w:after="100"/>
      </w:pPr>
      <w:r>
        <w:rPr>
          <w:rStyle w:val="FootnoteReference"/>
        </w:rPr>
        <w:footnoteRef/>
      </w:r>
      <w:r>
        <w:t xml:space="preserve"> </w:t>
      </w:r>
      <w:proofErr w:type="spellStart"/>
      <w:r>
        <w:t>Veta</w:t>
      </w:r>
      <w:proofErr w:type="spellEnd"/>
      <w:r>
        <w:t xml:space="preserve"> Smith Tucker, “Purloined Identity: The Racial Metamorphosis of Tituba of Salem Village,” </w:t>
      </w:r>
      <w:r w:rsidRPr="00EF22DF">
        <w:rPr>
          <w:i/>
        </w:rPr>
        <w:t>Journal of Black Studies</w:t>
      </w:r>
      <w:r>
        <w:t xml:space="preserve"> 30, no. 4 (March 2000): 628, accessed December 3, 2013, </w:t>
      </w:r>
      <w:hyperlink r:id="rId13" w:history="1">
        <w:r w:rsidRPr="000430DA">
          <w:rPr>
            <w:rStyle w:val="Hyperlink"/>
            <w:lang w:val="en"/>
          </w:rPr>
          <w:t>http://www.jstor.org/stable/2645907</w:t>
        </w:r>
      </w:hyperlink>
      <w:r>
        <w:rPr>
          <w:lang w:val="en"/>
        </w:rPr>
        <w:t xml:space="preserve">. </w:t>
      </w:r>
    </w:p>
  </w:footnote>
  <w:footnote w:id="33">
    <w:p w14:paraId="23F44120" w14:textId="516EB214" w:rsidR="00C76774" w:rsidRDefault="00C76774" w:rsidP="004B081C">
      <w:pPr>
        <w:pStyle w:val="FootnoteText"/>
        <w:spacing w:before="100" w:after="100"/>
      </w:pPr>
      <w:r>
        <w:rPr>
          <w:rStyle w:val="FootnoteReference"/>
        </w:rPr>
        <w:footnoteRef/>
      </w:r>
      <w:r>
        <w:t xml:space="preserve"> Ibid., 627.</w:t>
      </w:r>
    </w:p>
  </w:footnote>
  <w:footnote w:id="34">
    <w:p w14:paraId="6C732C5C" w14:textId="27433A6E" w:rsidR="00C76774" w:rsidRDefault="00C76774" w:rsidP="004B081C">
      <w:pPr>
        <w:pStyle w:val="FootnoteText"/>
        <w:spacing w:before="100" w:after="100"/>
      </w:pPr>
      <w:r>
        <w:rPr>
          <w:rStyle w:val="FootnoteReference"/>
        </w:rPr>
        <w:footnoteRef/>
      </w:r>
      <w:r>
        <w:t xml:space="preserve"> Ibid. </w:t>
      </w:r>
    </w:p>
  </w:footnote>
  <w:footnote w:id="35">
    <w:p w14:paraId="1979A70E" w14:textId="65B4AE0F" w:rsidR="00C76774" w:rsidRDefault="00C76774" w:rsidP="004B081C">
      <w:pPr>
        <w:pStyle w:val="FootnoteText"/>
        <w:spacing w:before="100" w:after="100"/>
      </w:pPr>
      <w:r>
        <w:rPr>
          <w:rStyle w:val="FootnoteReference"/>
        </w:rPr>
        <w:footnoteRef/>
      </w:r>
      <w:r>
        <w:t xml:space="preserve"> Ibid., 634. </w:t>
      </w:r>
    </w:p>
  </w:footnote>
  <w:footnote w:id="36">
    <w:p w14:paraId="654853AE" w14:textId="7D379AEB" w:rsidR="00C76774" w:rsidRDefault="00C76774" w:rsidP="004B081C">
      <w:pPr>
        <w:pStyle w:val="FootnoteText"/>
        <w:spacing w:before="100" w:after="100"/>
      </w:pPr>
      <w:r>
        <w:rPr>
          <w:rStyle w:val="FootnoteReference"/>
        </w:rPr>
        <w:footnoteRef/>
      </w:r>
      <w:r>
        <w:t xml:space="preserve"> John Hathorne, “Examination of Candy”, under “Candy</w:t>
      </w:r>
      <w:r w:rsidRPr="006F705D">
        <w:t>,” ed. Paul Boye</w:t>
      </w:r>
      <w:r>
        <w:t xml:space="preserve">r and Stephen </w:t>
      </w:r>
      <w:proofErr w:type="spellStart"/>
      <w:r>
        <w:t>Nissenbaum</w:t>
      </w:r>
      <w:proofErr w:type="spellEnd"/>
      <w:r>
        <w:t xml:space="preserve">, Candy Case File, </w:t>
      </w:r>
      <w:r w:rsidRPr="00384674">
        <w:t>of</w:t>
      </w:r>
      <w:r w:rsidRPr="00B94269">
        <w:rPr>
          <w:i/>
        </w:rPr>
        <w:t xml:space="preserve"> The Salem Witchcraft Papers:  Verbatim Transcriptions of the Court Records</w:t>
      </w:r>
      <w:r w:rsidRPr="006F705D">
        <w:t xml:space="preserve">, (New York: Da Capo Press, 1977), </w:t>
      </w:r>
      <w:r>
        <w:t xml:space="preserve">accessed February 4, 2014, </w:t>
      </w:r>
      <w:hyperlink r:id="rId14" w:history="1">
        <w:r w:rsidRPr="000430DA">
          <w:rPr>
            <w:rStyle w:val="Hyperlink"/>
          </w:rPr>
          <w:t>http://salem.lib.virginia.edu/texts/tei/BoySalCombined?div_id=n23</w:t>
        </w:r>
      </w:hyperlink>
      <w:r>
        <w:t xml:space="preserve">.   </w:t>
      </w:r>
    </w:p>
  </w:footnote>
  <w:footnote w:id="37">
    <w:p w14:paraId="17FE3CB1" w14:textId="126ED2A7" w:rsidR="00C76774" w:rsidRDefault="00C76774" w:rsidP="004B081C">
      <w:pPr>
        <w:pStyle w:val="FootnoteText"/>
        <w:spacing w:before="100" w:after="100"/>
      </w:pPr>
      <w:r>
        <w:rPr>
          <w:rStyle w:val="FootnoteReference"/>
        </w:rPr>
        <w:footnoteRef/>
      </w:r>
      <w:r>
        <w:t xml:space="preserve"> Hansen, “The Metamorphosis of Tituba, or Why American Intellectuals Can’t Tell an Indian Witch from a Negro,” 6. </w:t>
      </w:r>
    </w:p>
  </w:footnote>
  <w:footnote w:id="38">
    <w:p w14:paraId="0F74DB11" w14:textId="77B6C846" w:rsidR="00C76774" w:rsidRDefault="00C76774" w:rsidP="004B081C">
      <w:pPr>
        <w:pStyle w:val="FootnoteText"/>
        <w:spacing w:before="100" w:after="100"/>
      </w:pPr>
      <w:r>
        <w:rPr>
          <w:rStyle w:val="FootnoteReference"/>
        </w:rPr>
        <w:footnoteRef/>
      </w:r>
      <w:r>
        <w:t xml:space="preserve"> Henry Wadsworth Longfellow, </w:t>
      </w:r>
      <w:r w:rsidRPr="00FE631A">
        <w:rPr>
          <w:i/>
        </w:rPr>
        <w:t>Giles Corey of the Salem Farms</w:t>
      </w:r>
      <w:r>
        <w:t xml:space="preserve"> in </w:t>
      </w:r>
      <w:r w:rsidRPr="00FE631A">
        <w:rPr>
          <w:i/>
        </w:rPr>
        <w:t>The New-England Tragedies</w:t>
      </w:r>
      <w:r>
        <w:t xml:space="preserve"> (Boston, 1868), quoted in Hansen, 6. </w:t>
      </w:r>
    </w:p>
  </w:footnote>
  <w:footnote w:id="39">
    <w:p w14:paraId="1090FF88" w14:textId="54B7F054" w:rsidR="00C76774" w:rsidRDefault="00C76774" w:rsidP="004B081C">
      <w:pPr>
        <w:pStyle w:val="FootnoteText"/>
        <w:spacing w:before="100" w:after="100"/>
      </w:pPr>
      <w:r>
        <w:rPr>
          <w:rStyle w:val="FootnoteReference"/>
        </w:rPr>
        <w:footnoteRef/>
      </w:r>
      <w:r>
        <w:t xml:space="preserve"> Marion L. Starkey, </w:t>
      </w:r>
      <w:r w:rsidRPr="006E5479">
        <w:rPr>
          <w:i/>
        </w:rPr>
        <w:t>The Devil in Massachusetts</w:t>
      </w:r>
      <w:r>
        <w:t xml:space="preserve"> (New York, 1950) quoted in Hansen, 8-9.   </w:t>
      </w:r>
    </w:p>
  </w:footnote>
  <w:footnote w:id="40">
    <w:p w14:paraId="1801E9E1" w14:textId="2F8BBB68" w:rsidR="00C76774" w:rsidRDefault="00C76774" w:rsidP="004B081C">
      <w:pPr>
        <w:pStyle w:val="FootnoteText"/>
        <w:spacing w:before="100" w:after="100"/>
      </w:pPr>
      <w:r>
        <w:rPr>
          <w:rStyle w:val="FootnoteReference"/>
        </w:rPr>
        <w:footnoteRef/>
      </w:r>
      <w:r>
        <w:t xml:space="preserve"> Arthur Miller, </w:t>
      </w:r>
      <w:r w:rsidRPr="008D3F79">
        <w:rPr>
          <w:i/>
        </w:rPr>
        <w:t>The Crucible</w:t>
      </w:r>
      <w:r>
        <w:t xml:space="preserve"> (New York, 1953) quoted in Hansen, 10. </w:t>
      </w:r>
    </w:p>
  </w:footnote>
  <w:footnote w:id="41">
    <w:p w14:paraId="0583AC68" w14:textId="6F3D5D9A" w:rsidR="00C76774" w:rsidRDefault="00C76774" w:rsidP="004B081C">
      <w:pPr>
        <w:pStyle w:val="FootnoteText"/>
        <w:spacing w:before="100" w:after="100"/>
      </w:pPr>
      <w:r>
        <w:rPr>
          <w:rStyle w:val="FootnoteReference"/>
        </w:rPr>
        <w:footnoteRef/>
      </w:r>
      <w:r>
        <w:t xml:space="preserve"> </w:t>
      </w:r>
      <w:r w:rsidRPr="000B551D">
        <w:t xml:space="preserve">Peter W. </w:t>
      </w:r>
      <w:proofErr w:type="spellStart"/>
      <w:r w:rsidRPr="000B551D">
        <w:t>Mackinlay</w:t>
      </w:r>
      <w:proofErr w:type="spellEnd"/>
      <w:r w:rsidRPr="000B551D">
        <w:t xml:space="preserve">, </w:t>
      </w:r>
      <w:r w:rsidRPr="000B551D">
        <w:rPr>
          <w:i/>
        </w:rPr>
        <w:t>The New England Puritan Attitude Toward Black Slavery</w:t>
      </w:r>
      <w:r w:rsidRPr="000B551D">
        <w:t xml:space="preserve">, vol. 1 of </w:t>
      </w:r>
      <w:r w:rsidRPr="000B551D">
        <w:rPr>
          <w:i/>
        </w:rPr>
        <w:t>The Harvard Guide to African American History</w:t>
      </w:r>
      <w:r w:rsidRPr="000B551D">
        <w:t xml:space="preserve"> (Boston: Harvard University Press, 2001)</w:t>
      </w:r>
      <w:r>
        <w:t xml:space="preserve">: 81, accessed February 18, 2014, </w:t>
      </w:r>
      <w:hyperlink r:id="rId15" w:history="1">
        <w:r w:rsidRPr="000430DA">
          <w:rPr>
            <w:rStyle w:val="Hyperlink"/>
          </w:rPr>
          <w:t>http://www.historicnewengland.org/collections-archives-exhibitions/collections-access/collection-object/capobject?gusn=GUSN-169825</w:t>
        </w:r>
      </w:hyperlink>
      <w:r>
        <w:t xml:space="preserve">. </w:t>
      </w:r>
    </w:p>
  </w:footnote>
  <w:footnote w:id="42">
    <w:p w14:paraId="2779C542" w14:textId="363A41AE" w:rsidR="00C76774" w:rsidRDefault="00C76774" w:rsidP="004B081C">
      <w:pPr>
        <w:pStyle w:val="FootnoteText"/>
        <w:spacing w:before="100" w:after="100"/>
      </w:pPr>
      <w:r>
        <w:rPr>
          <w:rStyle w:val="FootnoteReference"/>
        </w:rPr>
        <w:footnoteRef/>
      </w:r>
      <w:r>
        <w:t xml:space="preserve"> Massachusetts Legislation,</w:t>
      </w:r>
      <w:r w:rsidRPr="003274E7">
        <w:t xml:space="preserve"> </w:t>
      </w:r>
      <w:r>
        <w:t xml:space="preserve">“Liberties of </w:t>
      </w:r>
      <w:proofErr w:type="spellStart"/>
      <w:r>
        <w:t>Forreiners</w:t>
      </w:r>
      <w:proofErr w:type="spellEnd"/>
      <w:r>
        <w:t xml:space="preserve"> and Strangers,” (1641) quoted  in </w:t>
      </w:r>
      <w:proofErr w:type="spellStart"/>
      <w:r>
        <w:t>Mackinlay</w:t>
      </w:r>
      <w:proofErr w:type="spellEnd"/>
      <w:r>
        <w:t xml:space="preserve">, 81. </w:t>
      </w:r>
    </w:p>
  </w:footnote>
  <w:footnote w:id="43">
    <w:p w14:paraId="52194B19" w14:textId="4F1CBB45" w:rsidR="00C76774" w:rsidRDefault="00C76774" w:rsidP="004B081C">
      <w:pPr>
        <w:pStyle w:val="FootnoteText"/>
        <w:spacing w:before="100" w:after="100"/>
      </w:pPr>
      <w:r>
        <w:rPr>
          <w:rStyle w:val="FootnoteReference"/>
        </w:rPr>
        <w:footnoteRef/>
      </w:r>
      <w:r>
        <w:t xml:space="preserve"> </w:t>
      </w:r>
      <w:r w:rsidRPr="000B551D">
        <w:t>Bernard Rosenthal, “</w:t>
      </w:r>
      <w:r w:rsidRPr="000B551D">
        <w:rPr>
          <w:lang w:val="en"/>
        </w:rPr>
        <w:t xml:space="preserve">Puritan Conscience and New England Slavery,” </w:t>
      </w:r>
      <w:r w:rsidRPr="000B551D">
        <w:rPr>
          <w:i/>
        </w:rPr>
        <w:t>The New England Quarterly</w:t>
      </w:r>
      <w:r>
        <w:t xml:space="preserve"> 46, no. 1 (March 1973): 62, accessed December 3, 2013, </w:t>
      </w:r>
      <w:r w:rsidRPr="000B551D">
        <w:t xml:space="preserve"> </w:t>
      </w:r>
      <w:hyperlink r:id="rId16" w:history="1">
        <w:r w:rsidRPr="000430DA">
          <w:rPr>
            <w:rStyle w:val="Hyperlink"/>
            <w:lang w:val="en"/>
          </w:rPr>
          <w:t>http://www.jstor.org/stable/364886</w:t>
        </w:r>
      </w:hyperlink>
      <w:r>
        <w:rPr>
          <w:lang w:val="en"/>
        </w:rPr>
        <w:t xml:space="preserve">. </w:t>
      </w:r>
    </w:p>
    <w:p w14:paraId="059146A7" w14:textId="45394497" w:rsidR="00C76774" w:rsidRDefault="00C76774" w:rsidP="00824823">
      <w:pPr>
        <w:pStyle w:val="FootnoteText"/>
      </w:pPr>
    </w:p>
  </w:footnote>
  <w:footnote w:id="44">
    <w:p w14:paraId="315027B2" w14:textId="559E5986" w:rsidR="00C76774" w:rsidRDefault="00C76774" w:rsidP="004B081C">
      <w:pPr>
        <w:pStyle w:val="FootnoteText"/>
        <w:spacing w:before="100" w:after="100"/>
      </w:pPr>
      <w:r>
        <w:rPr>
          <w:rStyle w:val="FootnoteReference"/>
        </w:rPr>
        <w:footnoteRef/>
      </w:r>
      <w:r>
        <w:t xml:space="preserve"> Tucker, “</w:t>
      </w:r>
      <w:r>
        <w:rPr>
          <w:lang w:val="en"/>
        </w:rPr>
        <w:t xml:space="preserve">Purloined Identity: The Racial Metamorphosis of Tituba of Salem Village,” </w:t>
      </w:r>
      <w:r>
        <w:t xml:space="preserve">624-626. </w:t>
      </w:r>
    </w:p>
  </w:footnote>
  <w:footnote w:id="45">
    <w:p w14:paraId="76BBC7EF" w14:textId="7703F38D" w:rsidR="00C76774" w:rsidRDefault="00C76774">
      <w:pPr>
        <w:pStyle w:val="FootnoteText"/>
      </w:pPr>
      <w:r w:rsidRPr="004B081C">
        <w:rPr>
          <w:rStyle w:val="FootnoteReference"/>
        </w:rPr>
        <w:footnoteRef/>
      </w:r>
      <w:r w:rsidRPr="004B081C">
        <w:t xml:space="preserve"> </w:t>
      </w:r>
      <w:r>
        <w:t xml:space="preserve">Corwin and </w:t>
      </w:r>
      <w:proofErr w:type="spellStart"/>
      <w:r>
        <w:t>Hathorne</w:t>
      </w:r>
      <w:proofErr w:type="spellEnd"/>
      <w:r>
        <w:t>, “</w:t>
      </w:r>
      <w:r w:rsidRPr="004B081C">
        <w:t>Examination of Tituba</w:t>
      </w:r>
      <w:r>
        <w:t>.”</w:t>
      </w:r>
      <w:r w:rsidRPr="004B081C">
        <w:t xml:space="preserve"> </w:t>
      </w:r>
    </w:p>
  </w:footnote>
  <w:footnote w:id="46">
    <w:p w14:paraId="71801375" w14:textId="1146D94A" w:rsidR="00C76774" w:rsidRDefault="00C76774" w:rsidP="001D52A2">
      <w:pPr>
        <w:pStyle w:val="FootnoteText"/>
        <w:spacing w:before="100" w:after="100"/>
      </w:pPr>
      <w:r w:rsidRPr="001D52A2">
        <w:rPr>
          <w:rStyle w:val="FootnoteReference"/>
        </w:rPr>
        <w:footnoteRef/>
      </w:r>
      <w:r w:rsidRPr="001D52A2">
        <w:t xml:space="preserve"> </w:t>
      </w:r>
      <w:proofErr w:type="spellStart"/>
      <w:r>
        <w:t>Hathorne</w:t>
      </w:r>
      <w:proofErr w:type="spellEnd"/>
      <w:r>
        <w:t>, “</w:t>
      </w:r>
      <w:r w:rsidRPr="001D52A2">
        <w:t>Examination of Candy</w:t>
      </w:r>
      <w:r>
        <w:t>.”</w:t>
      </w:r>
      <w:r w:rsidRPr="001D52A2">
        <w:t xml:space="preserve"> </w:t>
      </w:r>
    </w:p>
  </w:footnote>
  <w:footnote w:id="47">
    <w:p w14:paraId="3BCD2FF8" w14:textId="5BF4737D" w:rsidR="00C76774" w:rsidRPr="008278E7" w:rsidRDefault="00C76774" w:rsidP="001D52A2">
      <w:pPr>
        <w:pStyle w:val="FootnoteText"/>
        <w:spacing w:before="100" w:after="100"/>
        <w:rPr>
          <w:highlight w:val="yellow"/>
        </w:rPr>
      </w:pPr>
      <w:r w:rsidRPr="001D52A2">
        <w:rPr>
          <w:rStyle w:val="FootnoteReference"/>
        </w:rPr>
        <w:footnoteRef/>
      </w:r>
      <w:r>
        <w:t xml:space="preserve"> </w:t>
      </w:r>
      <w:r>
        <w:rPr>
          <w:lang w:val="en"/>
        </w:rPr>
        <w:t>Trask</w:t>
      </w:r>
      <w:r>
        <w:rPr>
          <w:i/>
          <w:lang w:val="en"/>
        </w:rPr>
        <w:t xml:space="preserve">, </w:t>
      </w:r>
      <w:r>
        <w:rPr>
          <w:lang w:val="en"/>
        </w:rPr>
        <w:t>“Chronology of Events Relating to the Salem Witchcraft Trials.”</w:t>
      </w:r>
      <w:r w:rsidRPr="001D52A2">
        <w:t xml:space="preserve"> </w:t>
      </w:r>
    </w:p>
  </w:footnote>
  <w:footnote w:id="48">
    <w:p w14:paraId="29035C70" w14:textId="660AA8F3" w:rsidR="00C76774" w:rsidRDefault="00C76774" w:rsidP="001D52A2">
      <w:pPr>
        <w:pStyle w:val="FootnoteText"/>
        <w:spacing w:before="100" w:after="100"/>
      </w:pPr>
      <w:r w:rsidRPr="001D52A2">
        <w:rPr>
          <w:rStyle w:val="FootnoteReference"/>
        </w:rPr>
        <w:footnoteRef/>
      </w:r>
      <w:r w:rsidRPr="001D52A2">
        <w:t xml:space="preserve">  </w:t>
      </w:r>
      <w:proofErr w:type="spellStart"/>
      <w:r>
        <w:t>Hathorne</w:t>
      </w:r>
      <w:proofErr w:type="spellEnd"/>
      <w:r>
        <w:t>, “</w:t>
      </w:r>
      <w:r w:rsidRPr="001D52A2">
        <w:t>Examination of Candy</w:t>
      </w:r>
      <w:r>
        <w:t>.”</w:t>
      </w:r>
    </w:p>
  </w:footnote>
  <w:footnote w:id="49">
    <w:p w14:paraId="6FB4CC67" w14:textId="22DF0490" w:rsidR="00C76774" w:rsidRDefault="00C76774" w:rsidP="006F3C7E">
      <w:pPr>
        <w:pStyle w:val="FootnoteText"/>
        <w:spacing w:before="100" w:after="100"/>
      </w:pPr>
      <w:r>
        <w:rPr>
          <w:rStyle w:val="FootnoteReference"/>
        </w:rPr>
        <w:footnoteRef/>
      </w:r>
      <w:r>
        <w:t xml:space="preserve"> Reis, “Confess or Deny, What’s a Witch to Do?,” 13. </w:t>
      </w:r>
    </w:p>
  </w:footnote>
  <w:footnote w:id="50">
    <w:p w14:paraId="27916EA7" w14:textId="11C538AD" w:rsidR="00C76774" w:rsidRDefault="00C76774" w:rsidP="006F3C7E">
      <w:pPr>
        <w:pStyle w:val="FootnoteText"/>
        <w:spacing w:before="100" w:after="100"/>
      </w:pPr>
      <w:r>
        <w:rPr>
          <w:rStyle w:val="FootnoteReference"/>
        </w:rPr>
        <w:footnoteRef/>
      </w:r>
      <w:r>
        <w:t xml:space="preserve"> John Hathorne, “Giles Corey Pressed to Death, September 16, 1692”, under “Giles Corey</w:t>
      </w:r>
      <w:r w:rsidRPr="006F705D">
        <w:t>,” ed. Paul Boye</w:t>
      </w:r>
      <w:r>
        <w:t xml:space="preserve">r and Stephen </w:t>
      </w:r>
      <w:proofErr w:type="spellStart"/>
      <w:r>
        <w:t>Nissenbaum</w:t>
      </w:r>
      <w:proofErr w:type="spellEnd"/>
      <w:r>
        <w:t xml:space="preserve">, Giles Corey Case File, </w:t>
      </w:r>
      <w:r w:rsidRPr="00384674">
        <w:t>of</w:t>
      </w:r>
      <w:r w:rsidRPr="00B94269">
        <w:rPr>
          <w:i/>
        </w:rPr>
        <w:t xml:space="preserve"> The Salem Witchcraft Papers:  Verbatim Transcriptions of the Court Records</w:t>
      </w:r>
      <w:r w:rsidRPr="006F705D">
        <w:t xml:space="preserve">, (New York: Da Capo Press, 1977), </w:t>
      </w:r>
      <w:r>
        <w:t xml:space="preserve">accessed April 13, 2014, </w:t>
      </w:r>
      <w:hyperlink r:id="rId17" w:history="1">
        <w:r w:rsidRPr="001821B9">
          <w:rPr>
            <w:rStyle w:val="Hyperlink"/>
          </w:rPr>
          <w:t>http://salem.lib.virginia.edu/texts/tei/BoySal1R?div_id=n37</w:t>
        </w:r>
      </w:hyperlink>
      <w:r>
        <w:t xml:space="preserve">.    </w:t>
      </w:r>
    </w:p>
  </w:footnote>
  <w:footnote w:id="51">
    <w:p w14:paraId="00E37FFD" w14:textId="06902C35" w:rsidR="00C76774" w:rsidRDefault="00C76774" w:rsidP="006F3C7E">
      <w:pPr>
        <w:pStyle w:val="FootnoteText"/>
        <w:spacing w:before="100" w:after="100"/>
      </w:pPr>
      <w:r>
        <w:rPr>
          <w:rStyle w:val="FootnoteReference"/>
        </w:rPr>
        <w:footnoteRef/>
      </w:r>
      <w:r>
        <w:t xml:space="preserve"> John Hathorne, “Examination of Giles Corey,” under “Giles Corey,” ed. Paul Boyer and Stephen </w:t>
      </w:r>
      <w:proofErr w:type="spellStart"/>
      <w:r>
        <w:t>Nissenbaum</w:t>
      </w:r>
      <w:proofErr w:type="spellEnd"/>
      <w:r>
        <w:t xml:space="preserve">, Giles Corey Case File of The Salem Witchcraft Papers: Verbatim Transcriptions of the Court Records, (New York: Da Capo Press, 1977), accessed April 13, 2014, </w:t>
      </w:r>
      <w:hyperlink r:id="rId18" w:history="1">
        <w:r w:rsidRPr="001821B9">
          <w:rPr>
            <w:rStyle w:val="Hyperlink"/>
          </w:rPr>
          <w:t>http://salem.lib.virginia.edu/texts/tei/BoySal1R?div_id=n37</w:t>
        </w:r>
      </w:hyperlink>
      <w:r>
        <w:t xml:space="preserve">. </w:t>
      </w:r>
    </w:p>
  </w:footnote>
  <w:footnote w:id="52">
    <w:p w14:paraId="1CE6395C" w14:textId="4DE9EA9C" w:rsidR="00C76774" w:rsidRDefault="00C76774">
      <w:pPr>
        <w:pStyle w:val="FootnoteText"/>
      </w:pPr>
      <w:r>
        <w:rPr>
          <w:rStyle w:val="FootnoteReference"/>
        </w:rPr>
        <w:footnoteRef/>
      </w:r>
      <w:r>
        <w:t xml:space="preserve"> Corwin and </w:t>
      </w:r>
      <w:proofErr w:type="spellStart"/>
      <w:r>
        <w:t>Hathorne</w:t>
      </w:r>
      <w:proofErr w:type="spellEnd"/>
      <w:r>
        <w:t>, “</w:t>
      </w:r>
      <w:r w:rsidRPr="004B081C">
        <w:t>Examination of Tituba</w:t>
      </w:r>
      <w:r>
        <w:t>.”</w:t>
      </w:r>
    </w:p>
  </w:footnote>
  <w:footnote w:id="53">
    <w:p w14:paraId="5733DCBB" w14:textId="41E498BF" w:rsidR="00C76774" w:rsidRDefault="00C76774" w:rsidP="00D76E2C">
      <w:pPr>
        <w:pStyle w:val="FootnoteText"/>
      </w:pPr>
      <w:r>
        <w:rPr>
          <w:rStyle w:val="FootnoteReference"/>
        </w:rPr>
        <w:footnoteRef/>
      </w:r>
      <w:r>
        <w:t xml:space="preserve"> Rosenthal, “Tituba’s Story”, </w:t>
      </w:r>
      <w:r w:rsidRPr="003665E4">
        <w:t>.</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C0A8A2" w14:textId="77777777" w:rsidR="00C76774" w:rsidRDefault="00C76774" w:rsidP="00162FA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979DA83" w14:textId="77777777" w:rsidR="00C76774" w:rsidRDefault="00C76774" w:rsidP="00DB3EB0">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481C6" w14:textId="77777777" w:rsidR="00C76774" w:rsidRDefault="00C76774" w:rsidP="00162FA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C06FB">
      <w:rPr>
        <w:rStyle w:val="PageNumber"/>
        <w:noProof/>
      </w:rPr>
      <w:t>2</w:t>
    </w:r>
    <w:r>
      <w:rPr>
        <w:rStyle w:val="PageNumber"/>
      </w:rPr>
      <w:fldChar w:fldCharType="end"/>
    </w:r>
  </w:p>
  <w:p w14:paraId="189E753E" w14:textId="77777777" w:rsidR="00C76774" w:rsidRDefault="00C76774" w:rsidP="00DB3EB0">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6032828"/>
    <w:multiLevelType w:val="hybridMultilevel"/>
    <w:tmpl w:val="455C4D14"/>
    <w:lvl w:ilvl="0" w:tplc="E9120EB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8564307"/>
    <w:multiLevelType w:val="hybridMultilevel"/>
    <w:tmpl w:val="1E26F92C"/>
    <w:lvl w:ilvl="0" w:tplc="68D893F2">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67C1"/>
    <w:rsid w:val="000031DA"/>
    <w:rsid w:val="00003733"/>
    <w:rsid w:val="00007A62"/>
    <w:rsid w:val="00013892"/>
    <w:rsid w:val="0002143E"/>
    <w:rsid w:val="00024222"/>
    <w:rsid w:val="00024988"/>
    <w:rsid w:val="00027C5C"/>
    <w:rsid w:val="00027D8D"/>
    <w:rsid w:val="00027F5C"/>
    <w:rsid w:val="0003036C"/>
    <w:rsid w:val="00031A8F"/>
    <w:rsid w:val="00032E1C"/>
    <w:rsid w:val="000403D3"/>
    <w:rsid w:val="0004123E"/>
    <w:rsid w:val="00043020"/>
    <w:rsid w:val="00052679"/>
    <w:rsid w:val="0005288D"/>
    <w:rsid w:val="00060177"/>
    <w:rsid w:val="00060244"/>
    <w:rsid w:val="00060831"/>
    <w:rsid w:val="0006601E"/>
    <w:rsid w:val="00067E3F"/>
    <w:rsid w:val="000714C7"/>
    <w:rsid w:val="000728E1"/>
    <w:rsid w:val="00077D63"/>
    <w:rsid w:val="00081ACD"/>
    <w:rsid w:val="00086404"/>
    <w:rsid w:val="00086812"/>
    <w:rsid w:val="00087709"/>
    <w:rsid w:val="00090CB4"/>
    <w:rsid w:val="000935F1"/>
    <w:rsid w:val="000945AE"/>
    <w:rsid w:val="00094FFF"/>
    <w:rsid w:val="000962FB"/>
    <w:rsid w:val="000964AC"/>
    <w:rsid w:val="000966FE"/>
    <w:rsid w:val="000A03CA"/>
    <w:rsid w:val="000A0DDC"/>
    <w:rsid w:val="000A1741"/>
    <w:rsid w:val="000A1C19"/>
    <w:rsid w:val="000A6370"/>
    <w:rsid w:val="000B4446"/>
    <w:rsid w:val="000C412B"/>
    <w:rsid w:val="000E055E"/>
    <w:rsid w:val="000E1265"/>
    <w:rsid w:val="000E2072"/>
    <w:rsid w:val="000E3E2F"/>
    <w:rsid w:val="000E42BD"/>
    <w:rsid w:val="000F08D4"/>
    <w:rsid w:val="000F4435"/>
    <w:rsid w:val="000F4B86"/>
    <w:rsid w:val="000F675E"/>
    <w:rsid w:val="000F73F2"/>
    <w:rsid w:val="00105BE1"/>
    <w:rsid w:val="00106086"/>
    <w:rsid w:val="00106655"/>
    <w:rsid w:val="00114641"/>
    <w:rsid w:val="001257A6"/>
    <w:rsid w:val="00133C7B"/>
    <w:rsid w:val="0013519B"/>
    <w:rsid w:val="00143E88"/>
    <w:rsid w:val="001550F1"/>
    <w:rsid w:val="00157688"/>
    <w:rsid w:val="001600B8"/>
    <w:rsid w:val="00162FA4"/>
    <w:rsid w:val="00163AD8"/>
    <w:rsid w:val="0016424B"/>
    <w:rsid w:val="00172712"/>
    <w:rsid w:val="001750D4"/>
    <w:rsid w:val="00180905"/>
    <w:rsid w:val="0018441C"/>
    <w:rsid w:val="00184B77"/>
    <w:rsid w:val="00190A16"/>
    <w:rsid w:val="001A43A8"/>
    <w:rsid w:val="001A4A4A"/>
    <w:rsid w:val="001A67C1"/>
    <w:rsid w:val="001A68AB"/>
    <w:rsid w:val="001A6FCC"/>
    <w:rsid w:val="001A7383"/>
    <w:rsid w:val="001B7F31"/>
    <w:rsid w:val="001C20C3"/>
    <w:rsid w:val="001C56E4"/>
    <w:rsid w:val="001D3AA2"/>
    <w:rsid w:val="001D4B0D"/>
    <w:rsid w:val="001D52A2"/>
    <w:rsid w:val="001E17F8"/>
    <w:rsid w:val="001E1B1A"/>
    <w:rsid w:val="001E369B"/>
    <w:rsid w:val="001E59E8"/>
    <w:rsid w:val="001F57AE"/>
    <w:rsid w:val="001F606A"/>
    <w:rsid w:val="002011AF"/>
    <w:rsid w:val="00203157"/>
    <w:rsid w:val="00206010"/>
    <w:rsid w:val="002067F0"/>
    <w:rsid w:val="002075F4"/>
    <w:rsid w:val="00211323"/>
    <w:rsid w:val="00215343"/>
    <w:rsid w:val="00216BB0"/>
    <w:rsid w:val="00220B9E"/>
    <w:rsid w:val="00221D96"/>
    <w:rsid w:val="002238A8"/>
    <w:rsid w:val="00224B81"/>
    <w:rsid w:val="0023529B"/>
    <w:rsid w:val="00235F33"/>
    <w:rsid w:val="00236395"/>
    <w:rsid w:val="00240D3B"/>
    <w:rsid w:val="00242981"/>
    <w:rsid w:val="002432DB"/>
    <w:rsid w:val="00245706"/>
    <w:rsid w:val="0024570B"/>
    <w:rsid w:val="00250DC4"/>
    <w:rsid w:val="002544F8"/>
    <w:rsid w:val="002555CA"/>
    <w:rsid w:val="002563D6"/>
    <w:rsid w:val="00256DF7"/>
    <w:rsid w:val="00260ABB"/>
    <w:rsid w:val="00270ACC"/>
    <w:rsid w:val="0027237B"/>
    <w:rsid w:val="0027589A"/>
    <w:rsid w:val="00276FA4"/>
    <w:rsid w:val="0028169F"/>
    <w:rsid w:val="00282FE7"/>
    <w:rsid w:val="00283FD9"/>
    <w:rsid w:val="00296BC6"/>
    <w:rsid w:val="002A154D"/>
    <w:rsid w:val="002A17E8"/>
    <w:rsid w:val="002B15A7"/>
    <w:rsid w:val="002B5083"/>
    <w:rsid w:val="002B54D5"/>
    <w:rsid w:val="002B74BC"/>
    <w:rsid w:val="002C14E9"/>
    <w:rsid w:val="002C317B"/>
    <w:rsid w:val="002C64DB"/>
    <w:rsid w:val="002D3E0C"/>
    <w:rsid w:val="002D5071"/>
    <w:rsid w:val="002E2ADE"/>
    <w:rsid w:val="002E3E5B"/>
    <w:rsid w:val="002E48F0"/>
    <w:rsid w:val="00300B40"/>
    <w:rsid w:val="003010C1"/>
    <w:rsid w:val="00301EB2"/>
    <w:rsid w:val="00302125"/>
    <w:rsid w:val="00302DCF"/>
    <w:rsid w:val="003058E1"/>
    <w:rsid w:val="00307235"/>
    <w:rsid w:val="00310956"/>
    <w:rsid w:val="00310D1A"/>
    <w:rsid w:val="00312A75"/>
    <w:rsid w:val="0031493C"/>
    <w:rsid w:val="00322CBF"/>
    <w:rsid w:val="003270F8"/>
    <w:rsid w:val="003274E7"/>
    <w:rsid w:val="0033086A"/>
    <w:rsid w:val="003321D4"/>
    <w:rsid w:val="003400CF"/>
    <w:rsid w:val="00341A91"/>
    <w:rsid w:val="00343749"/>
    <w:rsid w:val="00345511"/>
    <w:rsid w:val="003466E0"/>
    <w:rsid w:val="003516A5"/>
    <w:rsid w:val="00352F16"/>
    <w:rsid w:val="00354C1E"/>
    <w:rsid w:val="00357202"/>
    <w:rsid w:val="0036090E"/>
    <w:rsid w:val="00366CEA"/>
    <w:rsid w:val="003750A8"/>
    <w:rsid w:val="003801C9"/>
    <w:rsid w:val="00384674"/>
    <w:rsid w:val="0039174D"/>
    <w:rsid w:val="003931FC"/>
    <w:rsid w:val="003A05F5"/>
    <w:rsid w:val="003A4C6E"/>
    <w:rsid w:val="003A5E34"/>
    <w:rsid w:val="003A6208"/>
    <w:rsid w:val="003A75CA"/>
    <w:rsid w:val="003B0DA9"/>
    <w:rsid w:val="003B42F3"/>
    <w:rsid w:val="003B6266"/>
    <w:rsid w:val="003B66FE"/>
    <w:rsid w:val="003C22FC"/>
    <w:rsid w:val="003C585F"/>
    <w:rsid w:val="003C773E"/>
    <w:rsid w:val="003C7AAE"/>
    <w:rsid w:val="003D6B41"/>
    <w:rsid w:val="003E1A6F"/>
    <w:rsid w:val="003E5BE4"/>
    <w:rsid w:val="003E6EF2"/>
    <w:rsid w:val="003F173F"/>
    <w:rsid w:val="003F1DFC"/>
    <w:rsid w:val="004050AE"/>
    <w:rsid w:val="00406877"/>
    <w:rsid w:val="00407163"/>
    <w:rsid w:val="004142C6"/>
    <w:rsid w:val="004157AA"/>
    <w:rsid w:val="0041623D"/>
    <w:rsid w:val="00421093"/>
    <w:rsid w:val="00425F9D"/>
    <w:rsid w:val="00426621"/>
    <w:rsid w:val="004273F1"/>
    <w:rsid w:val="00427CAB"/>
    <w:rsid w:val="004320B6"/>
    <w:rsid w:val="00434B2B"/>
    <w:rsid w:val="00441EED"/>
    <w:rsid w:val="00445BAB"/>
    <w:rsid w:val="004471B6"/>
    <w:rsid w:val="00453E9E"/>
    <w:rsid w:val="00461655"/>
    <w:rsid w:val="0046196E"/>
    <w:rsid w:val="004621BB"/>
    <w:rsid w:val="004635E0"/>
    <w:rsid w:val="0046389F"/>
    <w:rsid w:val="00463C09"/>
    <w:rsid w:val="00463CE2"/>
    <w:rsid w:val="0047731E"/>
    <w:rsid w:val="00483938"/>
    <w:rsid w:val="00485B0E"/>
    <w:rsid w:val="004921E5"/>
    <w:rsid w:val="004956BA"/>
    <w:rsid w:val="004977A5"/>
    <w:rsid w:val="004A28F5"/>
    <w:rsid w:val="004A3EB3"/>
    <w:rsid w:val="004A513F"/>
    <w:rsid w:val="004A607C"/>
    <w:rsid w:val="004B0090"/>
    <w:rsid w:val="004B081C"/>
    <w:rsid w:val="004B5A20"/>
    <w:rsid w:val="004B668C"/>
    <w:rsid w:val="004B7295"/>
    <w:rsid w:val="004B7558"/>
    <w:rsid w:val="004B7F59"/>
    <w:rsid w:val="004B7F6F"/>
    <w:rsid w:val="004C20EC"/>
    <w:rsid w:val="004C22E8"/>
    <w:rsid w:val="004C3399"/>
    <w:rsid w:val="004C3565"/>
    <w:rsid w:val="004C48D3"/>
    <w:rsid w:val="004C4D02"/>
    <w:rsid w:val="004C6E54"/>
    <w:rsid w:val="004C79A0"/>
    <w:rsid w:val="004D0CC7"/>
    <w:rsid w:val="004D19B8"/>
    <w:rsid w:val="004D34F6"/>
    <w:rsid w:val="004E101B"/>
    <w:rsid w:val="004E22DE"/>
    <w:rsid w:val="004E3D29"/>
    <w:rsid w:val="004E4CC1"/>
    <w:rsid w:val="004E5E2E"/>
    <w:rsid w:val="004F49E1"/>
    <w:rsid w:val="004F6819"/>
    <w:rsid w:val="005002E5"/>
    <w:rsid w:val="00512AF4"/>
    <w:rsid w:val="00514EF1"/>
    <w:rsid w:val="005209EE"/>
    <w:rsid w:val="00526389"/>
    <w:rsid w:val="005419D0"/>
    <w:rsid w:val="005430EF"/>
    <w:rsid w:val="005451E8"/>
    <w:rsid w:val="00547721"/>
    <w:rsid w:val="00550B4C"/>
    <w:rsid w:val="00551F23"/>
    <w:rsid w:val="005528BA"/>
    <w:rsid w:val="00553C18"/>
    <w:rsid w:val="00557DC6"/>
    <w:rsid w:val="00560C9D"/>
    <w:rsid w:val="00566D19"/>
    <w:rsid w:val="00576254"/>
    <w:rsid w:val="00587F8E"/>
    <w:rsid w:val="0059057E"/>
    <w:rsid w:val="0059205F"/>
    <w:rsid w:val="00593E85"/>
    <w:rsid w:val="005A18FF"/>
    <w:rsid w:val="005A1D33"/>
    <w:rsid w:val="005A2C5F"/>
    <w:rsid w:val="005A301D"/>
    <w:rsid w:val="005A60AD"/>
    <w:rsid w:val="005A77A5"/>
    <w:rsid w:val="005B032C"/>
    <w:rsid w:val="005B2F64"/>
    <w:rsid w:val="005B3664"/>
    <w:rsid w:val="005B4BF9"/>
    <w:rsid w:val="005B6833"/>
    <w:rsid w:val="005C1BD7"/>
    <w:rsid w:val="005D375B"/>
    <w:rsid w:val="005D4EBC"/>
    <w:rsid w:val="005E1284"/>
    <w:rsid w:val="005E611E"/>
    <w:rsid w:val="006065B5"/>
    <w:rsid w:val="00607C3D"/>
    <w:rsid w:val="006113A7"/>
    <w:rsid w:val="00611A7F"/>
    <w:rsid w:val="00612EB3"/>
    <w:rsid w:val="0061400F"/>
    <w:rsid w:val="00623F83"/>
    <w:rsid w:val="00632F75"/>
    <w:rsid w:val="00634751"/>
    <w:rsid w:val="006363CA"/>
    <w:rsid w:val="00640A68"/>
    <w:rsid w:val="00641008"/>
    <w:rsid w:val="00653597"/>
    <w:rsid w:val="006767D9"/>
    <w:rsid w:val="00677F49"/>
    <w:rsid w:val="0068105C"/>
    <w:rsid w:val="00687161"/>
    <w:rsid w:val="00691541"/>
    <w:rsid w:val="0069265A"/>
    <w:rsid w:val="006965DD"/>
    <w:rsid w:val="006968A0"/>
    <w:rsid w:val="006A1371"/>
    <w:rsid w:val="006A366A"/>
    <w:rsid w:val="006A4E65"/>
    <w:rsid w:val="006B0BD8"/>
    <w:rsid w:val="006B564B"/>
    <w:rsid w:val="006C049E"/>
    <w:rsid w:val="006C32C8"/>
    <w:rsid w:val="006C39EF"/>
    <w:rsid w:val="006C3C64"/>
    <w:rsid w:val="006D4C97"/>
    <w:rsid w:val="006E5479"/>
    <w:rsid w:val="006F3C7E"/>
    <w:rsid w:val="006F71A0"/>
    <w:rsid w:val="007004F7"/>
    <w:rsid w:val="00702C5A"/>
    <w:rsid w:val="007037BB"/>
    <w:rsid w:val="007054C0"/>
    <w:rsid w:val="00706218"/>
    <w:rsid w:val="007101AB"/>
    <w:rsid w:val="00710588"/>
    <w:rsid w:val="007133BC"/>
    <w:rsid w:val="0072201F"/>
    <w:rsid w:val="007228CA"/>
    <w:rsid w:val="0072696A"/>
    <w:rsid w:val="007307DC"/>
    <w:rsid w:val="0073190E"/>
    <w:rsid w:val="00731F43"/>
    <w:rsid w:val="007337C4"/>
    <w:rsid w:val="007364AB"/>
    <w:rsid w:val="00736756"/>
    <w:rsid w:val="00740DCF"/>
    <w:rsid w:val="00742DD7"/>
    <w:rsid w:val="00743F9E"/>
    <w:rsid w:val="00744B3A"/>
    <w:rsid w:val="007470FA"/>
    <w:rsid w:val="00750DAD"/>
    <w:rsid w:val="00752671"/>
    <w:rsid w:val="00752B8B"/>
    <w:rsid w:val="007555D8"/>
    <w:rsid w:val="0075717D"/>
    <w:rsid w:val="007636F1"/>
    <w:rsid w:val="00764DA4"/>
    <w:rsid w:val="0076658C"/>
    <w:rsid w:val="00767192"/>
    <w:rsid w:val="00772824"/>
    <w:rsid w:val="0077577A"/>
    <w:rsid w:val="007763E3"/>
    <w:rsid w:val="0078096E"/>
    <w:rsid w:val="007821D8"/>
    <w:rsid w:val="00784C29"/>
    <w:rsid w:val="00785978"/>
    <w:rsid w:val="00796912"/>
    <w:rsid w:val="007A0258"/>
    <w:rsid w:val="007A12BC"/>
    <w:rsid w:val="007A1664"/>
    <w:rsid w:val="007A169A"/>
    <w:rsid w:val="007A2261"/>
    <w:rsid w:val="007A5F1E"/>
    <w:rsid w:val="007A7F5F"/>
    <w:rsid w:val="007B1C9D"/>
    <w:rsid w:val="007B5B35"/>
    <w:rsid w:val="007C0C09"/>
    <w:rsid w:val="007D183B"/>
    <w:rsid w:val="007D3EC9"/>
    <w:rsid w:val="007D522D"/>
    <w:rsid w:val="007E0570"/>
    <w:rsid w:val="007E215C"/>
    <w:rsid w:val="007E3BC8"/>
    <w:rsid w:val="007E7E43"/>
    <w:rsid w:val="007F15F9"/>
    <w:rsid w:val="007F2FC4"/>
    <w:rsid w:val="007F42C5"/>
    <w:rsid w:val="007F54D3"/>
    <w:rsid w:val="007F6916"/>
    <w:rsid w:val="00802C90"/>
    <w:rsid w:val="00803C41"/>
    <w:rsid w:val="0082080B"/>
    <w:rsid w:val="008222D7"/>
    <w:rsid w:val="00824823"/>
    <w:rsid w:val="008278E7"/>
    <w:rsid w:val="00827D39"/>
    <w:rsid w:val="0084093A"/>
    <w:rsid w:val="008428CD"/>
    <w:rsid w:val="008455C7"/>
    <w:rsid w:val="00845864"/>
    <w:rsid w:val="00845DB5"/>
    <w:rsid w:val="00850D72"/>
    <w:rsid w:val="00854C6E"/>
    <w:rsid w:val="00862951"/>
    <w:rsid w:val="00865420"/>
    <w:rsid w:val="00867FDF"/>
    <w:rsid w:val="00874F58"/>
    <w:rsid w:val="008755FB"/>
    <w:rsid w:val="00876063"/>
    <w:rsid w:val="00882E37"/>
    <w:rsid w:val="0089290B"/>
    <w:rsid w:val="008931C4"/>
    <w:rsid w:val="00894F40"/>
    <w:rsid w:val="00897771"/>
    <w:rsid w:val="008A19B4"/>
    <w:rsid w:val="008A3642"/>
    <w:rsid w:val="008B3869"/>
    <w:rsid w:val="008B5184"/>
    <w:rsid w:val="008B59C4"/>
    <w:rsid w:val="008B5C99"/>
    <w:rsid w:val="008B7C55"/>
    <w:rsid w:val="008C0BD7"/>
    <w:rsid w:val="008C36BF"/>
    <w:rsid w:val="008C4724"/>
    <w:rsid w:val="008C4BF8"/>
    <w:rsid w:val="008D3F79"/>
    <w:rsid w:val="008D4F8C"/>
    <w:rsid w:val="008D7742"/>
    <w:rsid w:val="008E398E"/>
    <w:rsid w:val="008E7F6F"/>
    <w:rsid w:val="008F06E3"/>
    <w:rsid w:val="008F3422"/>
    <w:rsid w:val="008F42D6"/>
    <w:rsid w:val="008F4742"/>
    <w:rsid w:val="00901981"/>
    <w:rsid w:val="00911D71"/>
    <w:rsid w:val="00912E06"/>
    <w:rsid w:val="00913311"/>
    <w:rsid w:val="009217DC"/>
    <w:rsid w:val="009225B0"/>
    <w:rsid w:val="009232D7"/>
    <w:rsid w:val="009253BB"/>
    <w:rsid w:val="00925BFD"/>
    <w:rsid w:val="00926EBE"/>
    <w:rsid w:val="00931DF8"/>
    <w:rsid w:val="00931F9A"/>
    <w:rsid w:val="00934581"/>
    <w:rsid w:val="00935FEA"/>
    <w:rsid w:val="0093733F"/>
    <w:rsid w:val="0094139D"/>
    <w:rsid w:val="00942834"/>
    <w:rsid w:val="00944DCD"/>
    <w:rsid w:val="00945552"/>
    <w:rsid w:val="00947CA1"/>
    <w:rsid w:val="00951909"/>
    <w:rsid w:val="00951CC3"/>
    <w:rsid w:val="009570F5"/>
    <w:rsid w:val="009623BB"/>
    <w:rsid w:val="00963807"/>
    <w:rsid w:val="00964E8F"/>
    <w:rsid w:val="0096714A"/>
    <w:rsid w:val="00971E3A"/>
    <w:rsid w:val="009729DE"/>
    <w:rsid w:val="00974370"/>
    <w:rsid w:val="00974620"/>
    <w:rsid w:val="009750E3"/>
    <w:rsid w:val="00981B21"/>
    <w:rsid w:val="00982CC9"/>
    <w:rsid w:val="00985444"/>
    <w:rsid w:val="00992D81"/>
    <w:rsid w:val="0099606B"/>
    <w:rsid w:val="009A4E58"/>
    <w:rsid w:val="009A7CF7"/>
    <w:rsid w:val="009B02E5"/>
    <w:rsid w:val="009B69CE"/>
    <w:rsid w:val="009C3DA5"/>
    <w:rsid w:val="009C5016"/>
    <w:rsid w:val="009C5A8F"/>
    <w:rsid w:val="009C7B97"/>
    <w:rsid w:val="009D2530"/>
    <w:rsid w:val="009E4B85"/>
    <w:rsid w:val="009E557A"/>
    <w:rsid w:val="009E6A25"/>
    <w:rsid w:val="009E6D57"/>
    <w:rsid w:val="009F2D30"/>
    <w:rsid w:val="009F3741"/>
    <w:rsid w:val="009F3B2E"/>
    <w:rsid w:val="00A016E3"/>
    <w:rsid w:val="00A072BD"/>
    <w:rsid w:val="00A1430B"/>
    <w:rsid w:val="00A1589E"/>
    <w:rsid w:val="00A15DC3"/>
    <w:rsid w:val="00A2492B"/>
    <w:rsid w:val="00A26F82"/>
    <w:rsid w:val="00A35F55"/>
    <w:rsid w:val="00A37A54"/>
    <w:rsid w:val="00A402D6"/>
    <w:rsid w:val="00A43C50"/>
    <w:rsid w:val="00A4684D"/>
    <w:rsid w:val="00A501D7"/>
    <w:rsid w:val="00A520C4"/>
    <w:rsid w:val="00A53ECB"/>
    <w:rsid w:val="00A54DE4"/>
    <w:rsid w:val="00A60382"/>
    <w:rsid w:val="00A619DC"/>
    <w:rsid w:val="00A73826"/>
    <w:rsid w:val="00A74DB9"/>
    <w:rsid w:val="00A83A84"/>
    <w:rsid w:val="00A933A3"/>
    <w:rsid w:val="00AA140E"/>
    <w:rsid w:val="00AA5840"/>
    <w:rsid w:val="00AA6A87"/>
    <w:rsid w:val="00AA75A9"/>
    <w:rsid w:val="00AB1C46"/>
    <w:rsid w:val="00AB515A"/>
    <w:rsid w:val="00AB6E61"/>
    <w:rsid w:val="00AB6F7F"/>
    <w:rsid w:val="00AC06FB"/>
    <w:rsid w:val="00AC3F6C"/>
    <w:rsid w:val="00AC52E7"/>
    <w:rsid w:val="00AC6230"/>
    <w:rsid w:val="00AC6231"/>
    <w:rsid w:val="00AD099A"/>
    <w:rsid w:val="00AD47EB"/>
    <w:rsid w:val="00AD5E5C"/>
    <w:rsid w:val="00AD5EAA"/>
    <w:rsid w:val="00AE302A"/>
    <w:rsid w:val="00AF7795"/>
    <w:rsid w:val="00B00478"/>
    <w:rsid w:val="00B00916"/>
    <w:rsid w:val="00B01E77"/>
    <w:rsid w:val="00B117B9"/>
    <w:rsid w:val="00B11BD8"/>
    <w:rsid w:val="00B13EB5"/>
    <w:rsid w:val="00B162CF"/>
    <w:rsid w:val="00B17430"/>
    <w:rsid w:val="00B22ACB"/>
    <w:rsid w:val="00B23E0B"/>
    <w:rsid w:val="00B24C48"/>
    <w:rsid w:val="00B25141"/>
    <w:rsid w:val="00B31F39"/>
    <w:rsid w:val="00B47CE0"/>
    <w:rsid w:val="00B524D1"/>
    <w:rsid w:val="00B526AE"/>
    <w:rsid w:val="00B60ED6"/>
    <w:rsid w:val="00B6104F"/>
    <w:rsid w:val="00B61D71"/>
    <w:rsid w:val="00B65454"/>
    <w:rsid w:val="00B705F3"/>
    <w:rsid w:val="00B7324F"/>
    <w:rsid w:val="00B73774"/>
    <w:rsid w:val="00B73E1B"/>
    <w:rsid w:val="00B7417B"/>
    <w:rsid w:val="00B80A76"/>
    <w:rsid w:val="00B822C7"/>
    <w:rsid w:val="00B86E8F"/>
    <w:rsid w:val="00B87BB1"/>
    <w:rsid w:val="00B94269"/>
    <w:rsid w:val="00B942AB"/>
    <w:rsid w:val="00BA38A7"/>
    <w:rsid w:val="00BA68E8"/>
    <w:rsid w:val="00BB40CB"/>
    <w:rsid w:val="00BC1724"/>
    <w:rsid w:val="00BC3AC5"/>
    <w:rsid w:val="00BC3DC0"/>
    <w:rsid w:val="00BD2303"/>
    <w:rsid w:val="00BD25F7"/>
    <w:rsid w:val="00BD7931"/>
    <w:rsid w:val="00BE26A4"/>
    <w:rsid w:val="00BE7002"/>
    <w:rsid w:val="00BF2C46"/>
    <w:rsid w:val="00BF4535"/>
    <w:rsid w:val="00BF7C75"/>
    <w:rsid w:val="00C0004A"/>
    <w:rsid w:val="00C01C4B"/>
    <w:rsid w:val="00C03271"/>
    <w:rsid w:val="00C0365D"/>
    <w:rsid w:val="00C0493C"/>
    <w:rsid w:val="00C11244"/>
    <w:rsid w:val="00C14EE6"/>
    <w:rsid w:val="00C16CB9"/>
    <w:rsid w:val="00C23E38"/>
    <w:rsid w:val="00C275CE"/>
    <w:rsid w:val="00C3108D"/>
    <w:rsid w:val="00C43742"/>
    <w:rsid w:val="00C52A39"/>
    <w:rsid w:val="00C540B5"/>
    <w:rsid w:val="00C546D5"/>
    <w:rsid w:val="00C55A6B"/>
    <w:rsid w:val="00C55E67"/>
    <w:rsid w:val="00C64E94"/>
    <w:rsid w:val="00C67DD1"/>
    <w:rsid w:val="00C70944"/>
    <w:rsid w:val="00C720FF"/>
    <w:rsid w:val="00C731C5"/>
    <w:rsid w:val="00C74114"/>
    <w:rsid w:val="00C76774"/>
    <w:rsid w:val="00C8339F"/>
    <w:rsid w:val="00C83A37"/>
    <w:rsid w:val="00C85A43"/>
    <w:rsid w:val="00C91138"/>
    <w:rsid w:val="00C97748"/>
    <w:rsid w:val="00CA141A"/>
    <w:rsid w:val="00CA142F"/>
    <w:rsid w:val="00CA1F9F"/>
    <w:rsid w:val="00CA3950"/>
    <w:rsid w:val="00CA419B"/>
    <w:rsid w:val="00CA4639"/>
    <w:rsid w:val="00CA48C8"/>
    <w:rsid w:val="00CA7F1D"/>
    <w:rsid w:val="00CA7FD9"/>
    <w:rsid w:val="00CB1FE2"/>
    <w:rsid w:val="00CB30E9"/>
    <w:rsid w:val="00CB37A5"/>
    <w:rsid w:val="00CB42BF"/>
    <w:rsid w:val="00CB505A"/>
    <w:rsid w:val="00CB56A8"/>
    <w:rsid w:val="00CB797A"/>
    <w:rsid w:val="00CC3138"/>
    <w:rsid w:val="00CC708E"/>
    <w:rsid w:val="00CC71DE"/>
    <w:rsid w:val="00CC7AE4"/>
    <w:rsid w:val="00CC7CDE"/>
    <w:rsid w:val="00CD7F4F"/>
    <w:rsid w:val="00CE58BE"/>
    <w:rsid w:val="00CE6C2D"/>
    <w:rsid w:val="00CF0A49"/>
    <w:rsid w:val="00CF4A8C"/>
    <w:rsid w:val="00D0104D"/>
    <w:rsid w:val="00D01982"/>
    <w:rsid w:val="00D03B61"/>
    <w:rsid w:val="00D04D82"/>
    <w:rsid w:val="00D05F19"/>
    <w:rsid w:val="00D15038"/>
    <w:rsid w:val="00D15F1C"/>
    <w:rsid w:val="00D24D87"/>
    <w:rsid w:val="00D265C8"/>
    <w:rsid w:val="00D26C53"/>
    <w:rsid w:val="00D26E61"/>
    <w:rsid w:val="00D3334D"/>
    <w:rsid w:val="00D35A17"/>
    <w:rsid w:val="00D37094"/>
    <w:rsid w:val="00D42A50"/>
    <w:rsid w:val="00D462BD"/>
    <w:rsid w:val="00D537E2"/>
    <w:rsid w:val="00D57B73"/>
    <w:rsid w:val="00D60A4B"/>
    <w:rsid w:val="00D60D9F"/>
    <w:rsid w:val="00D6381E"/>
    <w:rsid w:val="00D66028"/>
    <w:rsid w:val="00D67A63"/>
    <w:rsid w:val="00D67A87"/>
    <w:rsid w:val="00D726F8"/>
    <w:rsid w:val="00D768E6"/>
    <w:rsid w:val="00D76E2C"/>
    <w:rsid w:val="00D80FE5"/>
    <w:rsid w:val="00D84754"/>
    <w:rsid w:val="00D92038"/>
    <w:rsid w:val="00D93841"/>
    <w:rsid w:val="00D94D5F"/>
    <w:rsid w:val="00D9688D"/>
    <w:rsid w:val="00D96DAE"/>
    <w:rsid w:val="00D979BA"/>
    <w:rsid w:val="00D97AB9"/>
    <w:rsid w:val="00DA3BB4"/>
    <w:rsid w:val="00DA7728"/>
    <w:rsid w:val="00DB3EB0"/>
    <w:rsid w:val="00DB55A0"/>
    <w:rsid w:val="00DB6FC3"/>
    <w:rsid w:val="00DB731C"/>
    <w:rsid w:val="00DC0879"/>
    <w:rsid w:val="00DC6E30"/>
    <w:rsid w:val="00DC733D"/>
    <w:rsid w:val="00DD1D8F"/>
    <w:rsid w:val="00DD3F09"/>
    <w:rsid w:val="00DD4337"/>
    <w:rsid w:val="00DE1DF3"/>
    <w:rsid w:val="00DE5417"/>
    <w:rsid w:val="00DE72F6"/>
    <w:rsid w:val="00DF3FF3"/>
    <w:rsid w:val="00DF7A70"/>
    <w:rsid w:val="00E021B0"/>
    <w:rsid w:val="00E03133"/>
    <w:rsid w:val="00E0493E"/>
    <w:rsid w:val="00E0551D"/>
    <w:rsid w:val="00E0564F"/>
    <w:rsid w:val="00E113CA"/>
    <w:rsid w:val="00E12E90"/>
    <w:rsid w:val="00E16782"/>
    <w:rsid w:val="00E3078B"/>
    <w:rsid w:val="00E33D29"/>
    <w:rsid w:val="00E33DFB"/>
    <w:rsid w:val="00E36163"/>
    <w:rsid w:val="00E37179"/>
    <w:rsid w:val="00E37BDC"/>
    <w:rsid w:val="00E41BA1"/>
    <w:rsid w:val="00E42E11"/>
    <w:rsid w:val="00E43B6B"/>
    <w:rsid w:val="00E472C6"/>
    <w:rsid w:val="00E51E0F"/>
    <w:rsid w:val="00E52099"/>
    <w:rsid w:val="00E53674"/>
    <w:rsid w:val="00E54240"/>
    <w:rsid w:val="00E552D0"/>
    <w:rsid w:val="00E57AA3"/>
    <w:rsid w:val="00E72D6C"/>
    <w:rsid w:val="00E76C7B"/>
    <w:rsid w:val="00E8142F"/>
    <w:rsid w:val="00E8186A"/>
    <w:rsid w:val="00E81C1B"/>
    <w:rsid w:val="00E82F62"/>
    <w:rsid w:val="00E83E01"/>
    <w:rsid w:val="00E93956"/>
    <w:rsid w:val="00E944C8"/>
    <w:rsid w:val="00E95186"/>
    <w:rsid w:val="00E96282"/>
    <w:rsid w:val="00E970A5"/>
    <w:rsid w:val="00E97E4E"/>
    <w:rsid w:val="00EA1A1B"/>
    <w:rsid w:val="00EA3DA1"/>
    <w:rsid w:val="00EA5A59"/>
    <w:rsid w:val="00EA5FBE"/>
    <w:rsid w:val="00EA6010"/>
    <w:rsid w:val="00EB4B5F"/>
    <w:rsid w:val="00EC007D"/>
    <w:rsid w:val="00EC050E"/>
    <w:rsid w:val="00EC1D00"/>
    <w:rsid w:val="00EC3FE4"/>
    <w:rsid w:val="00EC70B5"/>
    <w:rsid w:val="00ED4C33"/>
    <w:rsid w:val="00ED68BA"/>
    <w:rsid w:val="00ED7B05"/>
    <w:rsid w:val="00EE12AB"/>
    <w:rsid w:val="00EE155D"/>
    <w:rsid w:val="00EE2AA9"/>
    <w:rsid w:val="00EE5002"/>
    <w:rsid w:val="00EE51A4"/>
    <w:rsid w:val="00EE6D57"/>
    <w:rsid w:val="00EE71F9"/>
    <w:rsid w:val="00EF22DF"/>
    <w:rsid w:val="00EF2E1D"/>
    <w:rsid w:val="00EF2E40"/>
    <w:rsid w:val="00EF3620"/>
    <w:rsid w:val="00F003D1"/>
    <w:rsid w:val="00F0440B"/>
    <w:rsid w:val="00F114BA"/>
    <w:rsid w:val="00F134F8"/>
    <w:rsid w:val="00F15C55"/>
    <w:rsid w:val="00F17A67"/>
    <w:rsid w:val="00F2123B"/>
    <w:rsid w:val="00F212AC"/>
    <w:rsid w:val="00F24EFB"/>
    <w:rsid w:val="00F316D7"/>
    <w:rsid w:val="00F33DC1"/>
    <w:rsid w:val="00F37B6B"/>
    <w:rsid w:val="00F4122E"/>
    <w:rsid w:val="00F415D7"/>
    <w:rsid w:val="00F41B8E"/>
    <w:rsid w:val="00F451D3"/>
    <w:rsid w:val="00F5001D"/>
    <w:rsid w:val="00F51F47"/>
    <w:rsid w:val="00F53D71"/>
    <w:rsid w:val="00F5407A"/>
    <w:rsid w:val="00F54C53"/>
    <w:rsid w:val="00F56C37"/>
    <w:rsid w:val="00F6005F"/>
    <w:rsid w:val="00F6390A"/>
    <w:rsid w:val="00F67191"/>
    <w:rsid w:val="00F708DC"/>
    <w:rsid w:val="00F720D9"/>
    <w:rsid w:val="00F72439"/>
    <w:rsid w:val="00F742A6"/>
    <w:rsid w:val="00F8062F"/>
    <w:rsid w:val="00F84C59"/>
    <w:rsid w:val="00F869CA"/>
    <w:rsid w:val="00F942BE"/>
    <w:rsid w:val="00F96D00"/>
    <w:rsid w:val="00FA0E11"/>
    <w:rsid w:val="00FA1037"/>
    <w:rsid w:val="00FA17E0"/>
    <w:rsid w:val="00FA72C0"/>
    <w:rsid w:val="00FB24A3"/>
    <w:rsid w:val="00FB3445"/>
    <w:rsid w:val="00FB6C71"/>
    <w:rsid w:val="00FB75E0"/>
    <w:rsid w:val="00FC2055"/>
    <w:rsid w:val="00FC3E5B"/>
    <w:rsid w:val="00FD1310"/>
    <w:rsid w:val="00FD21AA"/>
    <w:rsid w:val="00FD337F"/>
    <w:rsid w:val="00FD3A9A"/>
    <w:rsid w:val="00FD6919"/>
    <w:rsid w:val="00FE05D8"/>
    <w:rsid w:val="00FE0E13"/>
    <w:rsid w:val="00FE631A"/>
    <w:rsid w:val="00FE67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54851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A7F1D"/>
    <w:rPr>
      <w:color w:val="0000FF" w:themeColor="hyperlink"/>
      <w:u w:val="single"/>
    </w:rPr>
  </w:style>
  <w:style w:type="paragraph" w:styleId="FootnoteText">
    <w:name w:val="footnote text"/>
    <w:basedOn w:val="Normal"/>
    <w:link w:val="FootnoteTextChar"/>
    <w:uiPriority w:val="99"/>
    <w:unhideWhenUsed/>
    <w:rsid w:val="00CA7F1D"/>
    <w:pPr>
      <w:spacing w:beforeAutospacing="1" w:afterAutospacing="1"/>
    </w:pPr>
    <w:rPr>
      <w:rFonts w:eastAsiaTheme="minorHAnsi"/>
      <w:sz w:val="20"/>
      <w:szCs w:val="20"/>
    </w:rPr>
  </w:style>
  <w:style w:type="character" w:customStyle="1" w:styleId="FootnoteTextChar">
    <w:name w:val="Footnote Text Char"/>
    <w:basedOn w:val="DefaultParagraphFont"/>
    <w:link w:val="FootnoteText"/>
    <w:uiPriority w:val="99"/>
    <w:rsid w:val="00CA7F1D"/>
    <w:rPr>
      <w:rFonts w:eastAsiaTheme="minorHAnsi"/>
      <w:sz w:val="20"/>
      <w:szCs w:val="20"/>
    </w:rPr>
  </w:style>
  <w:style w:type="character" w:styleId="FootnoteReference">
    <w:name w:val="footnote reference"/>
    <w:basedOn w:val="DefaultParagraphFont"/>
    <w:uiPriority w:val="99"/>
    <w:unhideWhenUsed/>
    <w:rsid w:val="00CA7F1D"/>
    <w:rPr>
      <w:vertAlign w:val="superscript"/>
    </w:rPr>
  </w:style>
  <w:style w:type="paragraph" w:styleId="ListParagraph">
    <w:name w:val="List Paragraph"/>
    <w:basedOn w:val="Normal"/>
    <w:uiPriority w:val="34"/>
    <w:qFormat/>
    <w:rsid w:val="006C39EF"/>
    <w:pPr>
      <w:ind w:left="720"/>
      <w:contextualSpacing/>
    </w:pPr>
  </w:style>
  <w:style w:type="paragraph" w:styleId="Header">
    <w:name w:val="header"/>
    <w:basedOn w:val="Normal"/>
    <w:link w:val="HeaderChar"/>
    <w:uiPriority w:val="99"/>
    <w:unhideWhenUsed/>
    <w:rsid w:val="00DB3EB0"/>
    <w:pPr>
      <w:tabs>
        <w:tab w:val="center" w:pos="4320"/>
        <w:tab w:val="right" w:pos="8640"/>
      </w:tabs>
    </w:pPr>
  </w:style>
  <w:style w:type="character" w:customStyle="1" w:styleId="HeaderChar">
    <w:name w:val="Header Char"/>
    <w:basedOn w:val="DefaultParagraphFont"/>
    <w:link w:val="Header"/>
    <w:uiPriority w:val="99"/>
    <w:rsid w:val="00DB3EB0"/>
  </w:style>
  <w:style w:type="character" w:styleId="PageNumber">
    <w:name w:val="page number"/>
    <w:basedOn w:val="DefaultParagraphFont"/>
    <w:uiPriority w:val="99"/>
    <w:semiHidden/>
    <w:unhideWhenUsed/>
    <w:rsid w:val="00DB3EB0"/>
  </w:style>
  <w:style w:type="paragraph" w:styleId="NormalWeb">
    <w:name w:val="Normal (Web)"/>
    <w:basedOn w:val="Normal"/>
    <w:uiPriority w:val="99"/>
    <w:semiHidden/>
    <w:unhideWhenUsed/>
    <w:rsid w:val="00EF2E1D"/>
    <w:pPr>
      <w:spacing w:before="100" w:beforeAutospacing="1" w:after="100" w:afterAutospacing="1"/>
    </w:pPr>
    <w:rPr>
      <w:rFonts w:ascii="Times" w:hAnsi="Times" w:cs="Times New Roman"/>
      <w:sz w:val="20"/>
      <w:szCs w:val="20"/>
    </w:rPr>
  </w:style>
  <w:style w:type="character" w:styleId="FollowedHyperlink">
    <w:name w:val="FollowedHyperlink"/>
    <w:basedOn w:val="DefaultParagraphFont"/>
    <w:uiPriority w:val="99"/>
    <w:semiHidden/>
    <w:unhideWhenUsed/>
    <w:rsid w:val="00E0551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A7F1D"/>
    <w:rPr>
      <w:color w:val="0000FF" w:themeColor="hyperlink"/>
      <w:u w:val="single"/>
    </w:rPr>
  </w:style>
  <w:style w:type="paragraph" w:styleId="FootnoteText">
    <w:name w:val="footnote text"/>
    <w:basedOn w:val="Normal"/>
    <w:link w:val="FootnoteTextChar"/>
    <w:uiPriority w:val="99"/>
    <w:unhideWhenUsed/>
    <w:rsid w:val="00CA7F1D"/>
    <w:pPr>
      <w:spacing w:beforeAutospacing="1" w:afterAutospacing="1"/>
    </w:pPr>
    <w:rPr>
      <w:rFonts w:eastAsiaTheme="minorHAnsi"/>
      <w:sz w:val="20"/>
      <w:szCs w:val="20"/>
    </w:rPr>
  </w:style>
  <w:style w:type="character" w:customStyle="1" w:styleId="FootnoteTextChar">
    <w:name w:val="Footnote Text Char"/>
    <w:basedOn w:val="DefaultParagraphFont"/>
    <w:link w:val="FootnoteText"/>
    <w:uiPriority w:val="99"/>
    <w:rsid w:val="00CA7F1D"/>
    <w:rPr>
      <w:rFonts w:eastAsiaTheme="minorHAnsi"/>
      <w:sz w:val="20"/>
      <w:szCs w:val="20"/>
    </w:rPr>
  </w:style>
  <w:style w:type="character" w:styleId="FootnoteReference">
    <w:name w:val="footnote reference"/>
    <w:basedOn w:val="DefaultParagraphFont"/>
    <w:uiPriority w:val="99"/>
    <w:unhideWhenUsed/>
    <w:rsid w:val="00CA7F1D"/>
    <w:rPr>
      <w:vertAlign w:val="superscript"/>
    </w:rPr>
  </w:style>
  <w:style w:type="paragraph" w:styleId="ListParagraph">
    <w:name w:val="List Paragraph"/>
    <w:basedOn w:val="Normal"/>
    <w:uiPriority w:val="34"/>
    <w:qFormat/>
    <w:rsid w:val="006C39EF"/>
    <w:pPr>
      <w:ind w:left="720"/>
      <w:contextualSpacing/>
    </w:pPr>
  </w:style>
  <w:style w:type="paragraph" w:styleId="Header">
    <w:name w:val="header"/>
    <w:basedOn w:val="Normal"/>
    <w:link w:val="HeaderChar"/>
    <w:uiPriority w:val="99"/>
    <w:unhideWhenUsed/>
    <w:rsid w:val="00DB3EB0"/>
    <w:pPr>
      <w:tabs>
        <w:tab w:val="center" w:pos="4320"/>
        <w:tab w:val="right" w:pos="8640"/>
      </w:tabs>
    </w:pPr>
  </w:style>
  <w:style w:type="character" w:customStyle="1" w:styleId="HeaderChar">
    <w:name w:val="Header Char"/>
    <w:basedOn w:val="DefaultParagraphFont"/>
    <w:link w:val="Header"/>
    <w:uiPriority w:val="99"/>
    <w:rsid w:val="00DB3EB0"/>
  </w:style>
  <w:style w:type="character" w:styleId="PageNumber">
    <w:name w:val="page number"/>
    <w:basedOn w:val="DefaultParagraphFont"/>
    <w:uiPriority w:val="99"/>
    <w:semiHidden/>
    <w:unhideWhenUsed/>
    <w:rsid w:val="00DB3EB0"/>
  </w:style>
  <w:style w:type="paragraph" w:styleId="NormalWeb">
    <w:name w:val="Normal (Web)"/>
    <w:basedOn w:val="Normal"/>
    <w:uiPriority w:val="99"/>
    <w:semiHidden/>
    <w:unhideWhenUsed/>
    <w:rsid w:val="00EF2E1D"/>
    <w:pPr>
      <w:spacing w:before="100" w:beforeAutospacing="1" w:after="100" w:afterAutospacing="1"/>
    </w:pPr>
    <w:rPr>
      <w:rFonts w:ascii="Times" w:hAnsi="Times" w:cs="Times New Roman"/>
      <w:sz w:val="20"/>
      <w:szCs w:val="20"/>
    </w:rPr>
  </w:style>
  <w:style w:type="character" w:styleId="FollowedHyperlink">
    <w:name w:val="FollowedHyperlink"/>
    <w:basedOn w:val="DefaultParagraphFont"/>
    <w:uiPriority w:val="99"/>
    <w:semiHidden/>
    <w:unhideWhenUsed/>
    <w:rsid w:val="00E0551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371114">
      <w:bodyDiv w:val="1"/>
      <w:marLeft w:val="0"/>
      <w:marRight w:val="0"/>
      <w:marTop w:val="0"/>
      <w:marBottom w:val="0"/>
      <w:divBdr>
        <w:top w:val="none" w:sz="0" w:space="0" w:color="auto"/>
        <w:left w:val="none" w:sz="0" w:space="0" w:color="auto"/>
        <w:bottom w:val="none" w:sz="0" w:space="0" w:color="auto"/>
        <w:right w:val="none" w:sz="0" w:space="0" w:color="auto"/>
      </w:divBdr>
    </w:div>
    <w:div w:id="416900729">
      <w:bodyDiv w:val="1"/>
      <w:marLeft w:val="0"/>
      <w:marRight w:val="0"/>
      <w:marTop w:val="0"/>
      <w:marBottom w:val="0"/>
      <w:divBdr>
        <w:top w:val="none" w:sz="0" w:space="0" w:color="auto"/>
        <w:left w:val="none" w:sz="0" w:space="0" w:color="auto"/>
        <w:bottom w:val="none" w:sz="0" w:space="0" w:color="auto"/>
        <w:right w:val="none" w:sz="0" w:space="0" w:color="auto"/>
      </w:divBdr>
    </w:div>
    <w:div w:id="419789090">
      <w:bodyDiv w:val="1"/>
      <w:marLeft w:val="0"/>
      <w:marRight w:val="0"/>
      <w:marTop w:val="0"/>
      <w:marBottom w:val="0"/>
      <w:divBdr>
        <w:top w:val="none" w:sz="0" w:space="0" w:color="auto"/>
        <w:left w:val="none" w:sz="0" w:space="0" w:color="auto"/>
        <w:bottom w:val="none" w:sz="0" w:space="0" w:color="auto"/>
        <w:right w:val="none" w:sz="0" w:space="0" w:color="auto"/>
      </w:divBdr>
    </w:div>
    <w:div w:id="424229864">
      <w:bodyDiv w:val="1"/>
      <w:marLeft w:val="0"/>
      <w:marRight w:val="0"/>
      <w:marTop w:val="0"/>
      <w:marBottom w:val="0"/>
      <w:divBdr>
        <w:top w:val="none" w:sz="0" w:space="0" w:color="auto"/>
        <w:left w:val="none" w:sz="0" w:space="0" w:color="auto"/>
        <w:bottom w:val="none" w:sz="0" w:space="0" w:color="auto"/>
        <w:right w:val="none" w:sz="0" w:space="0" w:color="auto"/>
      </w:divBdr>
    </w:div>
    <w:div w:id="431973176">
      <w:bodyDiv w:val="1"/>
      <w:marLeft w:val="0"/>
      <w:marRight w:val="0"/>
      <w:marTop w:val="0"/>
      <w:marBottom w:val="0"/>
      <w:divBdr>
        <w:top w:val="none" w:sz="0" w:space="0" w:color="auto"/>
        <w:left w:val="none" w:sz="0" w:space="0" w:color="auto"/>
        <w:bottom w:val="none" w:sz="0" w:space="0" w:color="auto"/>
        <w:right w:val="none" w:sz="0" w:space="0" w:color="auto"/>
      </w:divBdr>
    </w:div>
    <w:div w:id="543716622">
      <w:bodyDiv w:val="1"/>
      <w:marLeft w:val="0"/>
      <w:marRight w:val="0"/>
      <w:marTop w:val="0"/>
      <w:marBottom w:val="0"/>
      <w:divBdr>
        <w:top w:val="none" w:sz="0" w:space="0" w:color="auto"/>
        <w:left w:val="none" w:sz="0" w:space="0" w:color="auto"/>
        <w:bottom w:val="none" w:sz="0" w:space="0" w:color="auto"/>
        <w:right w:val="none" w:sz="0" w:space="0" w:color="auto"/>
      </w:divBdr>
    </w:div>
    <w:div w:id="561907930">
      <w:bodyDiv w:val="1"/>
      <w:marLeft w:val="0"/>
      <w:marRight w:val="0"/>
      <w:marTop w:val="0"/>
      <w:marBottom w:val="0"/>
      <w:divBdr>
        <w:top w:val="none" w:sz="0" w:space="0" w:color="auto"/>
        <w:left w:val="none" w:sz="0" w:space="0" w:color="auto"/>
        <w:bottom w:val="none" w:sz="0" w:space="0" w:color="auto"/>
        <w:right w:val="none" w:sz="0" w:space="0" w:color="auto"/>
      </w:divBdr>
    </w:div>
    <w:div w:id="743529835">
      <w:bodyDiv w:val="1"/>
      <w:marLeft w:val="0"/>
      <w:marRight w:val="0"/>
      <w:marTop w:val="0"/>
      <w:marBottom w:val="0"/>
      <w:divBdr>
        <w:top w:val="none" w:sz="0" w:space="0" w:color="auto"/>
        <w:left w:val="none" w:sz="0" w:space="0" w:color="auto"/>
        <w:bottom w:val="none" w:sz="0" w:space="0" w:color="auto"/>
        <w:right w:val="none" w:sz="0" w:space="0" w:color="auto"/>
      </w:divBdr>
    </w:div>
    <w:div w:id="980505157">
      <w:bodyDiv w:val="1"/>
      <w:marLeft w:val="0"/>
      <w:marRight w:val="0"/>
      <w:marTop w:val="0"/>
      <w:marBottom w:val="0"/>
      <w:divBdr>
        <w:top w:val="none" w:sz="0" w:space="0" w:color="auto"/>
        <w:left w:val="none" w:sz="0" w:space="0" w:color="auto"/>
        <w:bottom w:val="none" w:sz="0" w:space="0" w:color="auto"/>
        <w:right w:val="none" w:sz="0" w:space="0" w:color="auto"/>
      </w:divBdr>
    </w:div>
    <w:div w:id="1421025205">
      <w:bodyDiv w:val="1"/>
      <w:marLeft w:val="0"/>
      <w:marRight w:val="0"/>
      <w:marTop w:val="0"/>
      <w:marBottom w:val="0"/>
      <w:divBdr>
        <w:top w:val="none" w:sz="0" w:space="0" w:color="auto"/>
        <w:left w:val="none" w:sz="0" w:space="0" w:color="auto"/>
        <w:bottom w:val="none" w:sz="0" w:space="0" w:color="auto"/>
        <w:right w:val="none" w:sz="0" w:space="0" w:color="auto"/>
      </w:divBdr>
    </w:div>
    <w:div w:id="1593196158">
      <w:bodyDiv w:val="1"/>
      <w:marLeft w:val="0"/>
      <w:marRight w:val="0"/>
      <w:marTop w:val="0"/>
      <w:marBottom w:val="0"/>
      <w:divBdr>
        <w:top w:val="none" w:sz="0" w:space="0" w:color="auto"/>
        <w:left w:val="none" w:sz="0" w:space="0" w:color="auto"/>
        <w:bottom w:val="none" w:sz="0" w:space="0" w:color="auto"/>
        <w:right w:val="none" w:sz="0" w:space="0" w:color="auto"/>
      </w:divBdr>
    </w:div>
    <w:div w:id="1729260002">
      <w:bodyDiv w:val="1"/>
      <w:marLeft w:val="0"/>
      <w:marRight w:val="0"/>
      <w:marTop w:val="0"/>
      <w:marBottom w:val="0"/>
      <w:divBdr>
        <w:top w:val="none" w:sz="0" w:space="0" w:color="auto"/>
        <w:left w:val="none" w:sz="0" w:space="0" w:color="auto"/>
        <w:bottom w:val="none" w:sz="0" w:space="0" w:color="auto"/>
        <w:right w:val="none" w:sz="0" w:space="0" w:color="auto"/>
      </w:divBdr>
    </w:div>
    <w:div w:id="1743412167">
      <w:bodyDiv w:val="1"/>
      <w:marLeft w:val="0"/>
      <w:marRight w:val="0"/>
      <w:marTop w:val="0"/>
      <w:marBottom w:val="0"/>
      <w:divBdr>
        <w:top w:val="none" w:sz="0" w:space="0" w:color="auto"/>
        <w:left w:val="none" w:sz="0" w:space="0" w:color="auto"/>
        <w:bottom w:val="none" w:sz="0" w:space="0" w:color="auto"/>
        <w:right w:val="none" w:sz="0" w:space="0" w:color="auto"/>
      </w:divBdr>
    </w:div>
    <w:div w:id="1823279026">
      <w:bodyDiv w:val="1"/>
      <w:marLeft w:val="0"/>
      <w:marRight w:val="0"/>
      <w:marTop w:val="0"/>
      <w:marBottom w:val="0"/>
      <w:divBdr>
        <w:top w:val="none" w:sz="0" w:space="0" w:color="auto"/>
        <w:left w:val="none" w:sz="0" w:space="0" w:color="auto"/>
        <w:bottom w:val="none" w:sz="0" w:space="0" w:color="auto"/>
        <w:right w:val="none" w:sz="0" w:space="0" w:color="auto"/>
      </w:divBdr>
    </w:div>
    <w:div w:id="191531725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alem.lib.virginia.edu/texts/tei/BoySalCombined?div_id=n23" TargetMode="External"/><Relationship Id="rId18" Type="http://schemas.openxmlformats.org/officeDocument/2006/relationships/hyperlink" Target="http://www.jstor.org/stable/364324" TargetMode="External"/><Relationship Id="rId26" Type="http://schemas.openxmlformats.org/officeDocument/2006/relationships/hyperlink" Target="http://www.jstor.org/stable/366502" TargetMode="External"/><Relationship Id="rId3" Type="http://schemas.openxmlformats.org/officeDocument/2006/relationships/styles" Target="styles.xml"/><Relationship Id="rId21" Type="http://schemas.openxmlformats.org/officeDocument/2006/relationships/hyperlink" Target="http://www.jstor.org/stable/2784416" TargetMode="External"/><Relationship Id="rId7" Type="http://schemas.openxmlformats.org/officeDocument/2006/relationships/footnotes" Target="footnotes.xml"/><Relationship Id="rId12" Type="http://schemas.openxmlformats.org/officeDocument/2006/relationships/hyperlink" Target="http://salem.lib.virginia.edu/texts/tei/BoySal3R?div_id=n125" TargetMode="External"/><Relationship Id="rId17" Type="http://schemas.openxmlformats.org/officeDocument/2006/relationships/hyperlink" Target="http://www.jstor.org/stable/483035" TargetMode="External"/><Relationship Id="rId25" Type="http://schemas.openxmlformats.org/officeDocument/2006/relationships/hyperlink" Target="http://www.jstor.org/stable/25163623"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alem.lib.virginia.edu/texts/tei/BoySalCombined?div_id=n63" TargetMode="External"/><Relationship Id="rId20" Type="http://schemas.openxmlformats.org/officeDocument/2006/relationships/hyperlink" Target="http://hne-rs.s3.amazonaws.com/filestore/1/2/8/3/5_3584a2570122929/12835_0737ee7a923097e.pdf" TargetMode="External"/><Relationship Id="rId29" Type="http://schemas.openxmlformats.org/officeDocument/2006/relationships/hyperlink" Target="http://etext.virginia.edu/salem/witchcraft/Intro.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lem.lib.virginia.edu/texts/tei/BoySal3R?div_id=n125" TargetMode="External"/><Relationship Id="rId24" Type="http://schemas.openxmlformats.org/officeDocument/2006/relationships/hyperlink" Target="http://www.jstor.org/stable/364886"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alem.lib.virginia.edu/texts/tei/BoySal1R?div_id=n37" TargetMode="External"/><Relationship Id="rId23" Type="http://schemas.openxmlformats.org/officeDocument/2006/relationships/hyperlink" Target="http://www.jstor.org/stable/2081913" TargetMode="External"/><Relationship Id="rId28" Type="http://schemas.openxmlformats.org/officeDocument/2006/relationships/hyperlink" Target="http://etext.virginia.edu/salem/witchcraft/Intro.html" TargetMode="External"/><Relationship Id="rId10" Type="http://schemas.openxmlformats.org/officeDocument/2006/relationships/hyperlink" Target="http://salem.lib.virginia.edu/texts/tei/BoySalCombined?div_id=n63" TargetMode="External"/><Relationship Id="rId19" Type="http://schemas.openxmlformats.org/officeDocument/2006/relationships/hyperlink" Target="http://www.jstor.org/stable/2713005" TargetMode="External"/><Relationship Id="rId31"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salem.lib.virginia.edu/texts/tei/BoySal3R?div_id=n125" TargetMode="External"/><Relationship Id="rId14" Type="http://schemas.openxmlformats.org/officeDocument/2006/relationships/hyperlink" Target="http://salem.lib.virginia.edu/texts/tei/BoySal1R?div_id=n37" TargetMode="External"/><Relationship Id="rId22" Type="http://schemas.openxmlformats.org/officeDocument/2006/relationships/hyperlink" Target="http://www.jstor.org/stable/25163615" TargetMode="External"/><Relationship Id="rId27" Type="http://schemas.openxmlformats.org/officeDocument/2006/relationships/hyperlink" Target="http://www.jstor.org/stable/2645907" TargetMode="External"/><Relationship Id="rId30"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alem.lib.virginia.edu/texts/tei/BoySalCombined?div_id=n63" TargetMode="External"/><Relationship Id="rId13" Type="http://schemas.openxmlformats.org/officeDocument/2006/relationships/hyperlink" Target="http://www.jstor.org/stable/2645907" TargetMode="External"/><Relationship Id="rId18" Type="http://schemas.openxmlformats.org/officeDocument/2006/relationships/hyperlink" Target="http://salem.lib.virginia.edu/texts/tei/BoySal1R?div_id=n37" TargetMode="External"/><Relationship Id="rId3" Type="http://schemas.openxmlformats.org/officeDocument/2006/relationships/hyperlink" Target="http://etext.virginia.edu/salem/witchcraft/Intro.html" TargetMode="External"/><Relationship Id="rId7" Type="http://schemas.openxmlformats.org/officeDocument/2006/relationships/hyperlink" Target="http://salem.lib.virginia.edu/texts/tei/BoySalCombined?div_id=n63" TargetMode="External"/><Relationship Id="rId12" Type="http://schemas.openxmlformats.org/officeDocument/2006/relationships/hyperlink" Target="http://www.jstor.org/stable/364324" TargetMode="External"/><Relationship Id="rId17" Type="http://schemas.openxmlformats.org/officeDocument/2006/relationships/hyperlink" Target="http://salem.lib.virginia.edu/texts/tei/BoySal1R?div_id=n37" TargetMode="External"/><Relationship Id="rId2" Type="http://schemas.openxmlformats.org/officeDocument/2006/relationships/hyperlink" Target="http://etext.virginia.edu/salem/witchcraft/Intro.html" TargetMode="External"/><Relationship Id="rId16" Type="http://schemas.openxmlformats.org/officeDocument/2006/relationships/hyperlink" Target="http://www.jstor.org/stable/364886" TargetMode="External"/><Relationship Id="rId1" Type="http://schemas.openxmlformats.org/officeDocument/2006/relationships/hyperlink" Target="http://salem.lib.virginia.edu/texts/tei/BoySal3R?div_id=n125" TargetMode="External"/><Relationship Id="rId6" Type="http://schemas.openxmlformats.org/officeDocument/2006/relationships/hyperlink" Target="http://www.jstor.org/stable/2081913" TargetMode="External"/><Relationship Id="rId11" Type="http://schemas.openxmlformats.org/officeDocument/2006/relationships/hyperlink" Target="http://www.jstor.org/stable/483035" TargetMode="External"/><Relationship Id="rId5" Type="http://schemas.openxmlformats.org/officeDocument/2006/relationships/hyperlink" Target="http://www.jstor.org/stable/25163615" TargetMode="External"/><Relationship Id="rId15" Type="http://schemas.openxmlformats.org/officeDocument/2006/relationships/hyperlink" Target="http://www.historicnewengland.org/collections-archives-exhibitions/collections-access/collection-object/capobject?gusn=GUSN-169825" TargetMode="External"/><Relationship Id="rId10" Type="http://schemas.openxmlformats.org/officeDocument/2006/relationships/hyperlink" Target="http://salem.lib.virginia.edu/texts/tei/BoySal3R?div_id=n125" TargetMode="External"/><Relationship Id="rId4" Type="http://schemas.openxmlformats.org/officeDocument/2006/relationships/hyperlink" Target="http://www.jstor.org/stable/2713005" TargetMode="External"/><Relationship Id="rId9" Type="http://schemas.openxmlformats.org/officeDocument/2006/relationships/hyperlink" Target="http://salem.lib.virginia.edu/texts/tei/BoySalCombined?div_id=n95" TargetMode="External"/><Relationship Id="rId14" Type="http://schemas.openxmlformats.org/officeDocument/2006/relationships/hyperlink" Target="http://salem.lib.virginia.edu/texts/tei/BoySalCombined?div_id=n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B0D005-9DE0-4488-942F-90C591E4F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8935</Words>
  <Characters>50936</Characters>
  <Application>Microsoft Office Word</Application>
  <DocSecurity>4</DocSecurity>
  <Lines>424</Lines>
  <Paragraphs>119</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59752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dc:creator>
  <cp:lastModifiedBy>Keating-Hadlock, Celeste A.</cp:lastModifiedBy>
  <cp:revision>2</cp:revision>
  <dcterms:created xsi:type="dcterms:W3CDTF">2014-05-21T20:19:00Z</dcterms:created>
  <dcterms:modified xsi:type="dcterms:W3CDTF">2014-05-21T20:19:00Z</dcterms:modified>
</cp:coreProperties>
</file>