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E51787" w14:textId="77777777" w:rsidR="00A25790" w:rsidRDefault="00A25790" w:rsidP="00A25790">
      <w:pPr>
        <w:spacing w:line="480" w:lineRule="auto"/>
        <w:contextualSpacing/>
        <w:rPr>
          <w:rFonts w:ascii="Times New Roman" w:hAnsi="Times New Roman"/>
        </w:rPr>
      </w:pPr>
      <w:r>
        <w:rPr>
          <w:rFonts w:ascii="Times New Roman" w:hAnsi="Times New Roman"/>
        </w:rPr>
        <w:t>William Klein</w:t>
      </w:r>
    </w:p>
    <w:p w14:paraId="05C44926" w14:textId="77777777" w:rsidR="00A25790" w:rsidRDefault="00A25790" w:rsidP="00A25790">
      <w:pPr>
        <w:spacing w:line="480" w:lineRule="auto"/>
        <w:contextualSpacing/>
        <w:rPr>
          <w:rFonts w:ascii="Times New Roman" w:hAnsi="Times New Roman"/>
        </w:rPr>
      </w:pPr>
      <w:r>
        <w:rPr>
          <w:rFonts w:ascii="Times New Roman" w:hAnsi="Times New Roman"/>
        </w:rPr>
        <w:t>Dr. Eisen</w:t>
      </w:r>
    </w:p>
    <w:p w14:paraId="5636E5A2" w14:textId="77777777" w:rsidR="00A25790" w:rsidRDefault="00A25790" w:rsidP="00A25790">
      <w:pPr>
        <w:spacing w:line="480" w:lineRule="auto"/>
        <w:contextualSpacing/>
        <w:rPr>
          <w:rFonts w:ascii="Times New Roman" w:hAnsi="Times New Roman"/>
        </w:rPr>
      </w:pPr>
      <w:r>
        <w:rPr>
          <w:rFonts w:ascii="Times New Roman" w:hAnsi="Times New Roman"/>
        </w:rPr>
        <w:t>Senior Capstone Seminar</w:t>
      </w:r>
    </w:p>
    <w:p w14:paraId="131465D9" w14:textId="77777777" w:rsidR="00A25790" w:rsidRDefault="00A25790" w:rsidP="00A25790">
      <w:pPr>
        <w:spacing w:line="480" w:lineRule="auto"/>
        <w:contextualSpacing/>
        <w:rPr>
          <w:rFonts w:ascii="Times New Roman" w:hAnsi="Times New Roman"/>
        </w:rPr>
      </w:pPr>
      <w:r>
        <w:rPr>
          <w:rFonts w:ascii="Times New Roman" w:hAnsi="Times New Roman"/>
        </w:rPr>
        <w:t>13 December 2018</w:t>
      </w:r>
    </w:p>
    <w:p w14:paraId="10940230" w14:textId="77777777" w:rsidR="00A25790" w:rsidRDefault="00A25790" w:rsidP="00A25790">
      <w:pPr>
        <w:spacing w:line="480" w:lineRule="auto"/>
        <w:contextualSpacing/>
        <w:jc w:val="center"/>
        <w:rPr>
          <w:rFonts w:ascii="Times New Roman" w:hAnsi="Times New Roman"/>
        </w:rPr>
      </w:pPr>
      <w:r>
        <w:rPr>
          <w:rFonts w:ascii="Times New Roman" w:hAnsi="Times New Roman"/>
        </w:rPr>
        <w:t>Empowering Women Through The Three R’s:</w:t>
      </w:r>
    </w:p>
    <w:p w14:paraId="1924A270" w14:textId="77777777" w:rsidR="00A25790" w:rsidRDefault="00A25790" w:rsidP="00A25790">
      <w:pPr>
        <w:spacing w:line="480" w:lineRule="auto"/>
        <w:contextualSpacing/>
        <w:jc w:val="center"/>
        <w:rPr>
          <w:rFonts w:ascii="Times New Roman" w:hAnsi="Times New Roman"/>
        </w:rPr>
      </w:pPr>
      <w:r>
        <w:rPr>
          <w:rFonts w:ascii="Times New Roman" w:hAnsi="Times New Roman"/>
        </w:rPr>
        <w:t>Reading, Writing, and Religion among Indonesian Islamic Women’s Groups</w:t>
      </w:r>
    </w:p>
    <w:p w14:paraId="2D78629A" w14:textId="77777777" w:rsidR="00A25790" w:rsidRDefault="00A25790" w:rsidP="00A25790">
      <w:pPr>
        <w:spacing w:line="480" w:lineRule="auto"/>
        <w:contextualSpacing/>
        <w:rPr>
          <w:rFonts w:ascii="Times New Roman" w:hAnsi="Times New Roman"/>
        </w:rPr>
      </w:pPr>
      <w:r>
        <w:rPr>
          <w:rFonts w:ascii="Times New Roman" w:hAnsi="Times New Roman"/>
        </w:rPr>
        <w:tab/>
        <w:t xml:space="preserve">Many people, especially those in the West who have grown up with a Western understanding of liberal feminism, see religion and women’s empowerment as mutually exclusive.  There is a temptation to view women’s empowerment as only a progressive agenda item with religion as its enemy, a force that seeks to oppress women under antiquated systems of belief that prescribe a very strict gender hierarchy.  Conversely, there might also be the view among religious communities that women’s empowerment is a tool of liberal factions to uproot established traditions and install an amoral system upon society in which anything and everything is permissible and in which no space is given for belief and traditions deemed to be outdated or unseemly.  </w:t>
      </w:r>
    </w:p>
    <w:p w14:paraId="7E6B8575" w14:textId="77777777" w:rsidR="00A25790" w:rsidRPr="00B43C5E" w:rsidRDefault="00A25790" w:rsidP="00A25790">
      <w:pPr>
        <w:spacing w:line="480" w:lineRule="auto"/>
        <w:ind w:firstLine="720"/>
        <w:contextualSpacing/>
        <w:rPr>
          <w:rFonts w:ascii="Times New Roman" w:hAnsi="Times New Roman"/>
        </w:rPr>
      </w:pPr>
      <w:r>
        <w:rPr>
          <w:rFonts w:ascii="Times New Roman" w:hAnsi="Times New Roman"/>
        </w:rPr>
        <w:t xml:space="preserve">However, neither of these perspectives leaves space for compromise, and on a more basic level they do not accurately reflect the reality of modern life.  It is possible to be both religious and progressive.  It is possible to be both in favor of established traditions, but at the same time willing to challenge specific practices that limit women’s empowerment.  Islamic women’s groups in Indonesia are perfect examples of this.  While many may view Islam as a particularly strict religion with very little room for progressive ideas and a very narrow vision of women’s gender roles, the country with the world’s largest Muslim population has provided a space in their society where groups like this can flourish.  The two largest Islamic organizations in </w:t>
      </w:r>
      <w:r>
        <w:rPr>
          <w:rFonts w:ascii="Times New Roman" w:hAnsi="Times New Roman"/>
        </w:rPr>
        <w:lastRenderedPageBreak/>
        <w:t xml:space="preserve">Indonesia, </w:t>
      </w:r>
      <w:r w:rsidRPr="00251593">
        <w:rPr>
          <w:rFonts w:ascii="Times New Roman" w:hAnsi="Times New Roman"/>
        </w:rPr>
        <w:t>Muhammadiyah and Nahdlatul Ulama (NU), each have two separate, semi-autonomous women’s branc</w:t>
      </w:r>
      <w:r>
        <w:rPr>
          <w:rFonts w:ascii="Times New Roman" w:hAnsi="Times New Roman"/>
        </w:rPr>
        <w:t xml:space="preserve">hes that promote progressive stances on women’s issues </w:t>
      </w:r>
      <w:r w:rsidRPr="00251593">
        <w:rPr>
          <w:rFonts w:ascii="Times New Roman" w:hAnsi="Times New Roman"/>
        </w:rPr>
        <w:t>and also integrate Islam into their ideas.</w:t>
      </w:r>
      <w:r>
        <w:rPr>
          <w:rFonts w:ascii="Times New Roman" w:hAnsi="Times New Roman"/>
        </w:rPr>
        <w:t xml:space="preserve">  T</w:t>
      </w:r>
      <w:r>
        <w:rPr>
          <w:rFonts w:ascii="Times New Roman" w:hAnsi="Times New Roman" w:cs="Helvetica"/>
        </w:rPr>
        <w:t>hese groups are avowed</w:t>
      </w:r>
      <w:r w:rsidRPr="00251593">
        <w:rPr>
          <w:rFonts w:ascii="Times New Roman" w:hAnsi="Times New Roman" w:cs="Helvetica"/>
        </w:rPr>
        <w:t xml:space="preserve"> Islamic organizations, however at their core they are also social justice organizations promoting an agenda of women’s empowerment, health, and equality.  </w:t>
      </w:r>
    </w:p>
    <w:p w14:paraId="7DEBDFB2" w14:textId="77777777" w:rsidR="00A25790" w:rsidRPr="00B43C5E"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eastAsia="Times New Roman" w:hAnsi="Times New Roman" w:cs="Times New Roman"/>
        </w:rPr>
        <w:tab/>
      </w:r>
      <w:r w:rsidRPr="00B43C5E">
        <w:rPr>
          <w:rFonts w:ascii="Times New Roman" w:eastAsia="Times New Roman" w:hAnsi="Times New Roman" w:cs="Times New Roman"/>
        </w:rPr>
        <w:t>This unique organizational identity deserves m</w:t>
      </w:r>
      <w:r>
        <w:rPr>
          <w:rFonts w:ascii="Times New Roman" w:eastAsia="Times New Roman" w:hAnsi="Times New Roman" w:cs="Times New Roman"/>
        </w:rPr>
        <w:t>uch investigation and I intend</w:t>
      </w:r>
      <w:r w:rsidRPr="00B43C5E">
        <w:rPr>
          <w:rFonts w:ascii="Times New Roman" w:eastAsia="Times New Roman" w:hAnsi="Times New Roman" w:cs="Times New Roman"/>
        </w:rPr>
        <w:t xml:space="preserve"> to</w:t>
      </w:r>
      <w:r>
        <w:rPr>
          <w:rFonts w:ascii="Times New Roman" w:eastAsia="Times New Roman" w:hAnsi="Times New Roman" w:cs="Times New Roman"/>
        </w:rPr>
        <w:t xml:space="preserve"> provide one possible analytical avenue</w:t>
      </w:r>
      <w:r w:rsidRPr="00B43C5E">
        <w:rPr>
          <w:rFonts w:ascii="Times New Roman" w:eastAsia="Times New Roman" w:hAnsi="Times New Roman" w:cs="Times New Roman"/>
        </w:rPr>
        <w:t>.</w:t>
      </w:r>
      <w:r>
        <w:rPr>
          <w:rFonts w:ascii="Times New Roman" w:eastAsia="Times New Roman" w:hAnsi="Times New Roman" w:cs="Times New Roman"/>
        </w:rPr>
        <w:t xml:space="preserve">  These organizations have had marked success in advocating for their social and political goals for a variety of reasons, some of which include the climate within the Indonesian government which has promoted a secularist/pluralist atmosphere as well as the organizations themselves and how they engage in grassroots mobilization.</w:t>
      </w:r>
      <w:r w:rsidRPr="00B43C5E">
        <w:rPr>
          <w:rFonts w:ascii="Times New Roman" w:eastAsia="Times New Roman" w:hAnsi="Times New Roman" w:cs="Times New Roman"/>
        </w:rPr>
        <w:t xml:space="preserve"> </w:t>
      </w:r>
      <w:r>
        <w:rPr>
          <w:rFonts w:ascii="Times New Roman" w:hAnsi="Times New Roman" w:cs="Helvetica"/>
        </w:rPr>
        <w:t xml:space="preserve"> </w:t>
      </w:r>
      <w:r w:rsidRPr="00B43C5E">
        <w:rPr>
          <w:rFonts w:ascii="Times New Roman" w:hAnsi="Times New Roman" w:cs="Helvetica"/>
        </w:rPr>
        <w:t>I will look at how these Indonesian activist</w:t>
      </w:r>
      <w:r>
        <w:rPr>
          <w:rFonts w:ascii="Times New Roman" w:hAnsi="Times New Roman" w:cs="Helvetica"/>
        </w:rPr>
        <w:t>s</w:t>
      </w:r>
      <w:r w:rsidRPr="00B43C5E">
        <w:rPr>
          <w:rFonts w:ascii="Times New Roman" w:hAnsi="Times New Roman" w:cs="Helvetica"/>
        </w:rPr>
        <w:t xml:space="preserve"> translate Islam in</w:t>
      </w:r>
      <w:r>
        <w:rPr>
          <w:rFonts w:ascii="Times New Roman" w:hAnsi="Times New Roman" w:cs="Helvetica"/>
        </w:rPr>
        <w:t>to</w:t>
      </w:r>
      <w:r w:rsidRPr="00B43C5E">
        <w:rPr>
          <w:rFonts w:ascii="Times New Roman" w:hAnsi="Times New Roman" w:cs="Helvetica"/>
        </w:rPr>
        <w:t xml:space="preserve"> there own cultural terms and in light of their lived experiences as Muslim women. Additional</w:t>
      </w:r>
      <w:r>
        <w:rPr>
          <w:rFonts w:ascii="Times New Roman" w:hAnsi="Times New Roman" w:cs="Helvetica"/>
        </w:rPr>
        <w:t>ly,</w:t>
      </w:r>
      <w:r w:rsidRPr="00B43C5E">
        <w:rPr>
          <w:rFonts w:ascii="Times New Roman" w:hAnsi="Times New Roman" w:cs="Helvetica"/>
        </w:rPr>
        <w:t xml:space="preserve"> I am looking at some strategies they have employed, using Islam as a tool for progressive change.</w:t>
      </w:r>
    </w:p>
    <w:p w14:paraId="5CF1BC27"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rPr>
        <w:tab/>
      </w:r>
      <w:r w:rsidRPr="00D8580A">
        <w:rPr>
          <w:rFonts w:ascii="Times New Roman" w:hAnsi="Times New Roman"/>
        </w:rPr>
        <w:t>The two women’s branches of NU are Muslimat NU and Fatayat NU.  Mus</w:t>
      </w:r>
      <w:r>
        <w:rPr>
          <w:rFonts w:ascii="Times New Roman" w:hAnsi="Times New Roman"/>
        </w:rPr>
        <w:t>limat was founded first, in 1940</w:t>
      </w:r>
      <w:r w:rsidRPr="00D8580A">
        <w:rPr>
          <w:rFonts w:ascii="Times New Roman" w:hAnsi="Times New Roman"/>
        </w:rPr>
        <w:t>, and Fatayat was founded 1</w:t>
      </w:r>
      <w:r>
        <w:rPr>
          <w:rFonts w:ascii="Times New Roman" w:hAnsi="Times New Roman"/>
        </w:rPr>
        <w:t>0</w:t>
      </w:r>
      <w:r w:rsidRPr="00D8580A">
        <w:rPr>
          <w:rFonts w:ascii="Times New Roman" w:hAnsi="Times New Roman"/>
        </w:rPr>
        <w:t xml:space="preserve"> years later as a youth women’s branch. Both have gained some measure of semi-independence since they were first formed. </w:t>
      </w:r>
      <w:r>
        <w:rPr>
          <w:rFonts w:ascii="Times New Roman" w:hAnsi="Times New Roman"/>
        </w:rPr>
        <w:t xml:space="preserve"> </w:t>
      </w:r>
      <w:r w:rsidRPr="00D8580A">
        <w:rPr>
          <w:rFonts w:ascii="Times New Roman" w:hAnsi="Times New Roman"/>
        </w:rPr>
        <w:t xml:space="preserve">Muhammadiyah sprouted Aisyiyah and also </w:t>
      </w:r>
      <w:r w:rsidRPr="00D8580A">
        <w:rPr>
          <w:rFonts w:ascii="Times New Roman" w:eastAsia="Times New Roman" w:hAnsi="Times New Roman" w:cs="Times New Roman"/>
          <w:color w:val="222222"/>
        </w:rPr>
        <w:t>Nasyiatul Aisyiyah.  Aisyiyah is the</w:t>
      </w:r>
      <w:r>
        <w:rPr>
          <w:rFonts w:ascii="Times New Roman" w:eastAsia="Times New Roman" w:hAnsi="Times New Roman" w:cs="Times New Roman"/>
          <w:color w:val="222222"/>
        </w:rPr>
        <w:t xml:space="preserve"> older of the two organizations</w:t>
      </w:r>
      <w:r w:rsidRPr="00D8580A">
        <w:rPr>
          <w:rFonts w:ascii="Times New Roman" w:eastAsia="Times New Roman" w:hAnsi="Times New Roman" w:cs="Times New Roman"/>
          <w:color w:val="222222"/>
        </w:rPr>
        <w:t xml:space="preserve"> and </w:t>
      </w:r>
      <w:r>
        <w:rPr>
          <w:rFonts w:ascii="Times New Roman" w:eastAsia="Times New Roman" w:hAnsi="Times New Roman" w:cs="Times New Roman"/>
          <w:color w:val="222222"/>
        </w:rPr>
        <w:t xml:space="preserve">the younger </w:t>
      </w:r>
      <w:r w:rsidRPr="00D8580A">
        <w:rPr>
          <w:rFonts w:ascii="Times New Roman" w:eastAsia="Times New Roman" w:hAnsi="Times New Roman" w:cs="Times New Roman"/>
          <w:color w:val="222222"/>
        </w:rPr>
        <w:t>N</w:t>
      </w:r>
      <w:r>
        <w:rPr>
          <w:rFonts w:ascii="Times New Roman" w:eastAsia="Times New Roman" w:hAnsi="Times New Roman" w:cs="Times New Roman"/>
          <w:color w:val="222222"/>
        </w:rPr>
        <w:t>asyiatul Aisyiyah represents young women</w:t>
      </w:r>
      <w:r w:rsidRPr="00D8580A">
        <w:rPr>
          <w:rFonts w:ascii="Times New Roman" w:eastAsia="Times New Roman" w:hAnsi="Times New Roman" w:cs="Times New Roman"/>
          <w:color w:val="222222"/>
        </w:rPr>
        <w:t>.  In this paper, I will focus on Fatayat NU and Aisyiyah</w:t>
      </w:r>
      <w:r w:rsidRPr="00D8580A">
        <w:rPr>
          <w:rFonts w:ascii="Times New Roman" w:hAnsi="Times New Roman" w:cs="Helvetica"/>
        </w:rPr>
        <w:t xml:space="preserve"> activities surrounding their shared goal of women’s empowerment.  Specifically, I will look at their </w:t>
      </w:r>
      <w:r>
        <w:rPr>
          <w:rFonts w:ascii="Times New Roman" w:hAnsi="Times New Roman" w:cs="Helvetica"/>
        </w:rPr>
        <w:t xml:space="preserve">perspectives regarding women’s empowerment and the </w:t>
      </w:r>
      <w:r w:rsidRPr="00D8580A">
        <w:rPr>
          <w:rFonts w:ascii="Times New Roman" w:hAnsi="Times New Roman" w:cs="Helvetica"/>
        </w:rPr>
        <w:t>activities surrounding their promotion of women’s education through educational systems such as Islamic boarding schools called Pesantren.</w:t>
      </w:r>
      <w:r>
        <w:rPr>
          <w:rFonts w:ascii="Times New Roman" w:hAnsi="Times New Roman" w:cs="Helvetica"/>
        </w:rPr>
        <w:t xml:space="preserve">  I will also</w:t>
      </w:r>
      <w:r w:rsidRPr="00D8580A">
        <w:rPr>
          <w:rFonts w:ascii="Times New Roman" w:hAnsi="Times New Roman" w:cs="Helvetica"/>
        </w:rPr>
        <w:t xml:space="preserve"> discuss several strategies that each organization has </w:t>
      </w:r>
      <w:r>
        <w:rPr>
          <w:rFonts w:ascii="Times New Roman" w:hAnsi="Times New Roman" w:cs="Helvetica"/>
        </w:rPr>
        <w:t xml:space="preserve">utilized to achieve these goals, such as how the organizations utilized interpretation (ijtihad) </w:t>
      </w:r>
      <w:r>
        <w:rPr>
          <w:rFonts w:ascii="Times New Roman" w:hAnsi="Times New Roman" w:cs="Helvetica"/>
        </w:rPr>
        <w:lastRenderedPageBreak/>
        <w:t>based on Islamic scripture and jurisprudence to justify women’s education.</w:t>
      </w:r>
    </w:p>
    <w:p w14:paraId="40CC1430"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What about these organizations and the strategies they have utilized is so special? What are several key unique factors about Fatayat NU’s and Aisyiyah’s approaches to the topic of women’s empowerment in general, and their campaigns for women’s education specifically, that have allowed them to become potentially successful?</w:t>
      </w:r>
      <w:r>
        <w:rPr>
          <w:rFonts w:ascii="Times New Roman" w:hAnsi="Times New Roman"/>
        </w:rPr>
        <w:t xml:space="preserve">  I argue that </w:t>
      </w:r>
      <w:r>
        <w:rPr>
          <w:rFonts w:ascii="Times New Roman" w:hAnsi="Times New Roman" w:cs="Helvetica"/>
        </w:rPr>
        <w:t>the focus Fatayat NU and Aisyiyah place on religious education, combined with each organization’s unique perspective, has played a crucial role in their fight for women’s empowerment.  Their strategies of setting up religious institutions of learning from primary through the university level have drastically increased women’s Islamic knowledge and religious literacy.  This literacy has also allowed them to better fight for their respective social justice agendas.</w:t>
      </w:r>
    </w:p>
    <w:p w14:paraId="702F3E1E"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METHODOLOGY</w:t>
      </w:r>
    </w:p>
    <w:p w14:paraId="5F6EE614"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r>
      <w:r w:rsidRPr="000C2E66">
        <w:rPr>
          <w:rFonts w:ascii="Times New Roman" w:hAnsi="Times New Roman" w:cs="Helvetica"/>
        </w:rPr>
        <w:t xml:space="preserve">In order to support this argument, I will utilize a methodology that incorporates aspects of social movement theory and religious analysis.  </w:t>
      </w:r>
      <w:r>
        <w:rPr>
          <w:rFonts w:ascii="Times New Roman" w:hAnsi="Times New Roman" w:cs="Helvetica"/>
        </w:rPr>
        <w:t>Social Movement Theory (SMT) is a complex system of sociological analysis that seeks to explain the reasons for social change over time</w:t>
      </w:r>
      <w:r w:rsidRPr="000C2E66">
        <w:rPr>
          <w:rFonts w:ascii="Times New Roman" w:hAnsi="Times New Roman" w:cs="Helvetica"/>
        </w:rPr>
        <w:t xml:space="preserve">.  </w:t>
      </w:r>
      <w:r>
        <w:rPr>
          <w:rFonts w:ascii="Times New Roman" w:hAnsi="Times New Roman" w:cs="Helvetica"/>
        </w:rPr>
        <w:t xml:space="preserve">It comprises several different sub-schools and aspects, including framing, imagined solidarities, and resource mobilization theory.  </w:t>
      </w:r>
      <w:r w:rsidRPr="000C2E66">
        <w:rPr>
          <w:rFonts w:ascii="Times New Roman" w:hAnsi="Times New Roman" w:cs="Helvetica"/>
        </w:rPr>
        <w:t>Specifically, I will utilize the resource mobilization strand of</w:t>
      </w:r>
      <w:r>
        <w:rPr>
          <w:rFonts w:ascii="Times New Roman" w:hAnsi="Times New Roman" w:cs="Helvetica"/>
        </w:rPr>
        <w:t xml:space="preserve"> Social Movement Theory</w:t>
      </w:r>
      <w:r w:rsidRPr="000C2E66">
        <w:rPr>
          <w:rFonts w:ascii="Times New Roman" w:hAnsi="Times New Roman" w:cs="Helvetica"/>
        </w:rPr>
        <w:t>, which proposes that social movements organize themselves into structured, rational, and practical organizations that then collect and utilize resources to achieve social change</w:t>
      </w:r>
      <w:r>
        <w:rPr>
          <w:rStyle w:val="FootnoteReference"/>
          <w:rFonts w:ascii="Times New Roman" w:hAnsi="Times New Roman" w:cs="Helvetica"/>
        </w:rPr>
        <w:footnoteReference w:id="1"/>
      </w:r>
      <w:r>
        <w:rPr>
          <w:rFonts w:ascii="Times New Roman" w:hAnsi="Times New Roman" w:cs="Helvetica"/>
        </w:rPr>
        <w:t xml:space="preserve">.  </w:t>
      </w:r>
    </w:p>
    <w:p w14:paraId="3C7D7DBC"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Some argue that this methodology disregards specific grievances in favor of collective ones and thus ignores reality in support of a theory of homogenized organizational structures</w:t>
      </w:r>
      <w:r>
        <w:rPr>
          <w:rStyle w:val="FootnoteReference"/>
          <w:rFonts w:ascii="Times New Roman" w:hAnsi="Times New Roman" w:cs="Helvetica"/>
        </w:rPr>
        <w:footnoteReference w:id="2"/>
      </w:r>
      <w:r>
        <w:rPr>
          <w:rFonts w:ascii="Times New Roman" w:hAnsi="Times New Roman" w:cs="Helvetica"/>
        </w:rPr>
        <w:t xml:space="preserve">.  </w:t>
      </w:r>
      <w:r>
        <w:rPr>
          <w:rFonts w:ascii="Times New Roman" w:hAnsi="Times New Roman" w:cs="Helvetica"/>
        </w:rPr>
        <w:lastRenderedPageBreak/>
        <w:t>However, I believe this methodology is sound because it analyzes social change as not simply a result of random chance or collective anger, but as a rational process that can be practically executed.  I also believe this method applies very well to Fatayat NU and Aisyiyah because they are very large organizations with clear structures that have very precise and rational agendas.</w:t>
      </w:r>
    </w:p>
    <w:p w14:paraId="354D616D" w14:textId="77777777" w:rsidR="00A25790" w:rsidRPr="00BA6CD9"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 xml:space="preserve">In addition, I will also spend some time analyzing Fatayat NU and Aisyiyah as religious institutions.  This is important because these organizations, at least in terms of their leadership, identify as Islamic movements.  </w:t>
      </w:r>
      <w:r w:rsidRPr="00BA6CD9">
        <w:rPr>
          <w:rFonts w:ascii="Times New Roman" w:hAnsi="Times New Roman" w:cs="Helvetica"/>
        </w:rPr>
        <w:t>I will investigate h</w:t>
      </w:r>
      <w:r>
        <w:rPr>
          <w:rFonts w:ascii="Times New Roman" w:hAnsi="Times New Roman" w:cs="Helvetica"/>
        </w:rPr>
        <w:t xml:space="preserve">ow these two organizations </w:t>
      </w:r>
      <w:r w:rsidRPr="00BA6CD9">
        <w:rPr>
          <w:rFonts w:ascii="Times New Roman" w:hAnsi="Times New Roman" w:cs="Helvetica"/>
        </w:rPr>
        <w:t xml:space="preserve">function as religious organizations with unique religious identities and doctrines that are utilized within their advocacy.  I will </w:t>
      </w:r>
      <w:r>
        <w:rPr>
          <w:rFonts w:ascii="Times New Roman" w:hAnsi="Times New Roman" w:cs="Helvetica"/>
        </w:rPr>
        <w:t xml:space="preserve">also </w:t>
      </w:r>
      <w:r w:rsidRPr="00BA6CD9">
        <w:rPr>
          <w:rFonts w:ascii="Times New Roman" w:hAnsi="Times New Roman" w:cs="Helvetica"/>
        </w:rPr>
        <w:t xml:space="preserve">illuminate </w:t>
      </w:r>
      <w:r>
        <w:rPr>
          <w:rFonts w:ascii="Times New Roman" w:hAnsi="Times New Roman" w:cs="Helvetica"/>
        </w:rPr>
        <w:t xml:space="preserve">how </w:t>
      </w:r>
      <w:r w:rsidRPr="00BA6CD9">
        <w:rPr>
          <w:rFonts w:ascii="Times New Roman" w:hAnsi="Times New Roman" w:cs="Helvetica"/>
        </w:rPr>
        <w:t>some of</w:t>
      </w:r>
      <w:r>
        <w:rPr>
          <w:rFonts w:ascii="Times New Roman" w:hAnsi="Times New Roman" w:cs="Helvetica"/>
        </w:rPr>
        <w:t xml:space="preserve"> these religious doctrines are utilized in their respective educational strategies</w:t>
      </w:r>
      <w:r w:rsidRPr="00BA6CD9">
        <w:rPr>
          <w:rFonts w:ascii="Times New Roman" w:hAnsi="Times New Roman" w:cs="Helvetica"/>
        </w:rPr>
        <w:t>.</w:t>
      </w:r>
    </w:p>
    <w:p w14:paraId="749F5B0D"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sidRPr="00F70C4C">
        <w:rPr>
          <w:rFonts w:ascii="Times New Roman" w:hAnsi="Times New Roman" w:cs="Helvetica"/>
        </w:rPr>
        <w:t>HISTORICAL BACKGROUND</w:t>
      </w:r>
    </w:p>
    <w:p w14:paraId="2074F45D"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 xml:space="preserve">It is first necessary to learn at least some background information about the history of these two organizations and the society in which they function in order to better understand how and why they have come to focus on women’s education as a means of achieving empowerment. The older organization, Aisyiyah, was founded in 1917 by Ahmad Dahlan, the same Islamic reformist who established the Muhammadiyah umbrella organization five years prior.  Aisyiyah was set up in order to give voice to Muslim women within Indonesian society.  The organization was heavily influenced by Islamic Reformist thinkers of the time, such as Rashid Rida, who argued for a return to the Quran and Hadith as the only legitimate sources of Islamic legal interpretation.  This had an effect on its perspective that will be discussed later.  </w:t>
      </w:r>
    </w:p>
    <w:p w14:paraId="41CF6A54"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 xml:space="preserve">Aisyiyah originally started to focus on education as a means of teaching women how to read the Quran, thus fighting Dutch colonial influence on Indonesian society and returning to the sources proposed by Islamic reformers.  It focused on reading Quranic injunctions regarding </w:t>
      </w:r>
      <w:r>
        <w:rPr>
          <w:rFonts w:ascii="Times New Roman" w:hAnsi="Times New Roman" w:cs="Helvetica"/>
        </w:rPr>
        <w:lastRenderedPageBreak/>
        <w:t xml:space="preserve">women and started to form a new ideology that gave more religious agency to women.  Eventually, Aisyiyah’s focus expanded to include issues regarding the family, following a model of family planning put forward by Muhammadiyah called </w:t>
      </w:r>
      <w:r w:rsidRPr="001D22F2">
        <w:rPr>
          <w:rFonts w:ascii="Times New Roman" w:hAnsi="Times New Roman" w:cs="Times Roman"/>
          <w:color w:val="000000"/>
        </w:rPr>
        <w:t>Keluarga Sakinah</w:t>
      </w:r>
      <w:r>
        <w:rPr>
          <w:rStyle w:val="FootnoteReference"/>
          <w:rFonts w:ascii="Times New Roman" w:hAnsi="Times New Roman" w:cs="Times Roman"/>
          <w:color w:val="000000"/>
        </w:rPr>
        <w:footnoteReference w:id="3"/>
      </w:r>
      <w:r>
        <w:rPr>
          <w:rFonts w:ascii="Times New Roman" w:hAnsi="Times New Roman" w:cs="Times Roman"/>
          <w:color w:val="000000"/>
        </w:rPr>
        <w:t xml:space="preserve"> </w:t>
      </w:r>
      <w:r w:rsidRPr="001D22F2">
        <w:rPr>
          <w:rFonts w:ascii="Times New Roman" w:hAnsi="Times New Roman" w:cs="Times Roman"/>
          <w:color w:val="000000"/>
        </w:rPr>
        <w:t>(the harmonious family)</w:t>
      </w:r>
      <w:r>
        <w:rPr>
          <w:rFonts w:ascii="Times New Roman" w:hAnsi="Times New Roman" w:cs="Helvetica"/>
        </w:rPr>
        <w:t xml:space="preserve"> that worked in conjunction with a government program of the same name proposed in the 1960’s by the country’s second leader, Suharto.  Now, the organization operates both formal and informal educational systems throughout the country.</w:t>
      </w:r>
      <w:r>
        <w:rPr>
          <w:rStyle w:val="FootnoteReference"/>
          <w:rFonts w:ascii="Times New Roman" w:hAnsi="Times New Roman" w:cs="Helvetica"/>
        </w:rPr>
        <w:footnoteReference w:id="4"/>
      </w:r>
      <w:r>
        <w:rPr>
          <w:rFonts w:ascii="Times New Roman" w:hAnsi="Times New Roman" w:cs="Helvetica"/>
        </w:rPr>
        <w:t xml:space="preserve">  </w:t>
      </w:r>
    </w:p>
    <w:p w14:paraId="4D2EEA7D" w14:textId="77777777" w:rsidR="00A25790"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tab/>
        <w:t>Fatayat NU developed a little bit differently in regards to women’s empowerment through education.  The organization was founded in 1950 as the young women’s wing of the Nahdlatul Ulama organization.  This is significant because, unlike Muhammadiyah, the organization was formed five years after Indonesia had already declared independence from the Dutch, under the country’s first of two dictators, Sukarno.  In addition, NU in general, and thus Fatayat as well, was heavily influenced by Islamic Traditionalist thought, which argued that indigenous practices could be allowed as long as they did not explicitly contradict Islamic religion.   Fatayat was set up as a more active organization for NU’s young women (ages 20 to 40) and eventually gained an even greater measure of semi-independence from its parent organization than did Aisyiyah.  Also, similar to Aisyiyah, Fatayat sought to educate women on how to read, however it tended to focus on rural areas where illiteracy rates among women were significantly higher, especially in comparison to cities like Jakarta.</w:t>
      </w:r>
      <w:r>
        <w:rPr>
          <w:rStyle w:val="FootnoteReference"/>
          <w:rFonts w:ascii="Times New Roman" w:hAnsi="Times New Roman" w:cs="Helvetica"/>
        </w:rPr>
        <w:footnoteReference w:id="5"/>
      </w:r>
      <w:r>
        <w:rPr>
          <w:rFonts w:ascii="Times New Roman" w:hAnsi="Times New Roman" w:cs="Helvetica"/>
        </w:rPr>
        <w:t xml:space="preserve">  Fatayat capitalized on NU’s already very well established system of Pesantren and eventually was able to utilize them as centers to advocate for women’s equality. </w:t>
      </w:r>
    </w:p>
    <w:p w14:paraId="1BE68C50" w14:textId="77777777" w:rsidR="00A25790" w:rsidRPr="00A90575"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ascii="Times New Roman" w:hAnsi="Times New Roman" w:cs="Helvetica"/>
        </w:rPr>
      </w:pPr>
      <w:r>
        <w:rPr>
          <w:rFonts w:ascii="Times New Roman" w:hAnsi="Times New Roman" w:cs="Helvetica"/>
        </w:rPr>
        <w:lastRenderedPageBreak/>
        <w:tab/>
        <w:t>Another key piece of historical and societal context to keep in mind for both of these organizations is the political philosophy held by the government under which they both developed.  Called Pancasila, meaning Five Principles, this political philosophy based Indonesian government on five central ideas: Belief in one God; Indonesian Nationalism; Internationalism, or humanism; democracy; and social prosperity.  The ideology was first proposed by Sukarno in a speech delivered in the year leading up to Indonesian independence in 1945.</w:t>
      </w:r>
      <w:r>
        <w:rPr>
          <w:rStyle w:val="FootnoteReference"/>
          <w:rFonts w:ascii="Times New Roman" w:hAnsi="Times New Roman" w:cs="Helvetica"/>
        </w:rPr>
        <w:footnoteReference w:id="6"/>
      </w:r>
      <w:r>
        <w:rPr>
          <w:rFonts w:ascii="Times New Roman" w:hAnsi="Times New Roman" w:cs="Helvetica"/>
        </w:rPr>
        <w:t xml:space="preserve">  It became the basis for the Indonesian state and was continued by Sukarno’s successor, Suharto, when he took power in 1965.  After the fall of Suharto’s dictatorship in 1998, the new government continued to enshrine Pancasila as its governing philosophy.  Effectively, what this philosophy did was to make pluralism a norm within Indonesian society.  It made it impossible for Islamic groups in general to function without in some way conforming to the idea of a shared identity with minority groups of different faiths.  This played a crucial role in the development of both Fatayat NU and Aisyiyah.</w:t>
      </w:r>
    </w:p>
    <w:p w14:paraId="76A196CD"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DIFFERENT PERSPECTIVES: ISLAMIC TRADITIONALISM VS. ISLAMIC REFORM</w:t>
      </w:r>
    </w:p>
    <w:p w14:paraId="30232A17" w14:textId="77777777" w:rsidR="00A25790" w:rsidRPr="00925609" w:rsidRDefault="00A25790" w:rsidP="00A257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rPr>
          <w:rFonts w:ascii="Times New Roman" w:eastAsia="Times New Roman" w:hAnsi="Times New Roman" w:cs="Times New Roman"/>
        </w:rPr>
      </w:pPr>
      <w:r>
        <w:rPr>
          <w:rFonts w:ascii="Times New Roman" w:eastAsia="Times New Roman" w:hAnsi="Times New Roman" w:cs="Times New Roman"/>
          <w:shd w:val="clear" w:color="auto" w:fill="FFFFFF"/>
        </w:rPr>
        <w:tab/>
        <w:t>Now, with a broader understanding of some of the historical background regarding these organizations and Indonesian society as a whole, I will examine specific strategies and perspectives utilized by these organizations and analyze similarities and differences between them.</w:t>
      </w:r>
      <w:r>
        <w:rPr>
          <w:rFonts w:ascii="Times New Roman" w:eastAsia="Times New Roman" w:hAnsi="Times New Roman" w:cs="Times New Roman"/>
        </w:rPr>
        <w:t xml:space="preserve">  First, it is important to understand that these organizations come from two very different movements and strains of Islamic thought.  Muhammadiyah comes from the tradition of Islamic Reformism; a movement first popularized in Egypt in the late 19</w:t>
      </w:r>
      <w:r w:rsidRPr="00A25078">
        <w:rPr>
          <w:rFonts w:ascii="Times New Roman" w:eastAsia="Times New Roman" w:hAnsi="Times New Roman" w:cs="Times New Roman"/>
          <w:vertAlign w:val="superscript"/>
        </w:rPr>
        <w:t>th</w:t>
      </w:r>
      <w:r>
        <w:rPr>
          <w:rFonts w:ascii="Times New Roman" w:eastAsia="Times New Roman" w:hAnsi="Times New Roman" w:cs="Times New Roman"/>
        </w:rPr>
        <w:t xml:space="preserve"> century by thinkers like Mohammad Abdu and Rashid Rida, which focused on ridding Islam of any outside influences, </w:t>
      </w:r>
      <w:r>
        <w:rPr>
          <w:rFonts w:ascii="Times New Roman" w:eastAsia="Times New Roman" w:hAnsi="Times New Roman" w:cs="Times New Roman"/>
        </w:rPr>
        <w:lastRenderedPageBreak/>
        <w:t>such as westernization or, in the case of Indonesia, local indigenous practices.</w:t>
      </w:r>
      <w:r>
        <w:rPr>
          <w:rStyle w:val="FootnoteReference"/>
          <w:rFonts w:ascii="Times New Roman" w:eastAsia="Times New Roman" w:hAnsi="Times New Roman" w:cs="Times New Roman"/>
        </w:rPr>
        <w:footnoteReference w:id="7"/>
      </w:r>
      <w:r>
        <w:rPr>
          <w:rFonts w:ascii="Times New Roman" w:eastAsia="Times New Roman" w:hAnsi="Times New Roman" w:cs="Times New Roman"/>
        </w:rPr>
        <w:t xml:space="preserve">  When viewed from the perspective of Resource Management Theory, this perspective can be limiting.  If your organization relies exclusively on groups that reject local practices, that can reduce the possible number of organizations that are willing to work with you.  In addition, it can alienate the rural communities in which indigenous practices are more popular and in which both Muhammadiyah and Fatayat are very active.</w:t>
      </w:r>
    </w:p>
    <w:p w14:paraId="50127252" w14:textId="77777777" w:rsidR="00A25790" w:rsidRDefault="00A25790" w:rsidP="00A25790">
      <w:pPr>
        <w:spacing w:line="480" w:lineRule="auto"/>
        <w:contextualSpacing/>
        <w:rPr>
          <w:rFonts w:ascii="Times New Roman" w:eastAsia="Times New Roman" w:hAnsi="Times New Roman" w:cs="Times New Roman"/>
          <w:shd w:val="clear" w:color="auto" w:fill="FFFFFF"/>
        </w:rPr>
      </w:pPr>
      <w:r w:rsidRPr="00925609">
        <w:rPr>
          <w:rFonts w:ascii="Times New Roman" w:eastAsia="Times New Roman" w:hAnsi="Times New Roman" w:cs="Times New Roman"/>
        </w:rPr>
        <w:tab/>
        <w:t>In addition, this reformist mindset affects the sources Muhammadiyah and subsequently Aisyiyah ch</w:t>
      </w:r>
      <w:r>
        <w:rPr>
          <w:rFonts w:ascii="Times New Roman" w:eastAsia="Times New Roman" w:hAnsi="Times New Roman" w:cs="Times New Roman"/>
        </w:rPr>
        <w:t>oose to utilize.  Reformism</w:t>
      </w:r>
      <w:r w:rsidRPr="00925609">
        <w:rPr>
          <w:rFonts w:ascii="Times New Roman" w:eastAsia="Times New Roman" w:hAnsi="Times New Roman" w:cs="Times New Roman"/>
        </w:rPr>
        <w:t xml:space="preserve"> proposes that the Quran and the Sunnah (traditions of the prophet), as the two central holy texts of Islam, should be the only sources utilized within Islamic discourse. </w:t>
      </w:r>
      <w:r>
        <w:rPr>
          <w:rFonts w:ascii="Times New Roman" w:eastAsia="Times New Roman" w:hAnsi="Times New Roman" w:cs="Times New Roman"/>
        </w:rPr>
        <w:t xml:space="preserve"> It </w:t>
      </w:r>
      <w:r w:rsidRPr="00925609">
        <w:rPr>
          <w:rFonts w:ascii="Times New Roman" w:eastAsia="Times New Roman" w:hAnsi="Times New Roman" w:cs="Times New Roman"/>
        </w:rPr>
        <w:t>focus</w:t>
      </w:r>
      <w:r>
        <w:rPr>
          <w:rFonts w:ascii="Times New Roman" w:eastAsia="Times New Roman" w:hAnsi="Times New Roman" w:cs="Times New Roman"/>
        </w:rPr>
        <w:t>es</w:t>
      </w:r>
      <w:r w:rsidRPr="00925609">
        <w:rPr>
          <w:rFonts w:ascii="Times New Roman" w:eastAsia="Times New Roman" w:hAnsi="Times New Roman" w:cs="Times New Roman"/>
        </w:rPr>
        <w:t xml:space="preserve"> </w:t>
      </w:r>
      <w:r>
        <w:rPr>
          <w:rFonts w:ascii="Times New Roman" w:eastAsia="Times New Roman" w:hAnsi="Times New Roman" w:cs="Times New Roman"/>
        </w:rPr>
        <w:t>on these two sources in an attempt at</w:t>
      </w:r>
      <w:r w:rsidRPr="00925609">
        <w:rPr>
          <w:rFonts w:ascii="Times New Roman" w:eastAsia="Times New Roman" w:hAnsi="Times New Roman" w:cs="Times New Roman"/>
        </w:rPr>
        <w:t xml:space="preserve">, as Pieternella Van Doorn-Harder describes in her 2006 book </w:t>
      </w:r>
      <w:r w:rsidRPr="00925609">
        <w:rPr>
          <w:rFonts w:ascii="Times New Roman" w:eastAsia="Times New Roman" w:hAnsi="Times New Roman" w:cs="Times New Roman"/>
          <w:i/>
        </w:rPr>
        <w:t>Women Shaping Islam</w:t>
      </w:r>
      <w:r w:rsidRPr="00925609">
        <w:rPr>
          <w:rFonts w:ascii="Times New Roman" w:eastAsia="Times New Roman" w:hAnsi="Times New Roman" w:cs="Times New Roman"/>
        </w:rPr>
        <w:t>, “</w:t>
      </w:r>
      <w:r w:rsidRPr="00925609">
        <w:rPr>
          <w:rFonts w:ascii="Times New Roman" w:eastAsia="Times New Roman" w:hAnsi="Times New Roman" w:cs="Times New Roman"/>
          <w:shd w:val="clear" w:color="auto" w:fill="FFFFFF"/>
        </w:rPr>
        <w:t>eradicating local practices and beliefs and replacing them with the origin</w:t>
      </w:r>
      <w:r>
        <w:rPr>
          <w:rFonts w:ascii="Times New Roman" w:eastAsia="Times New Roman" w:hAnsi="Times New Roman" w:cs="Times New Roman"/>
          <w:shd w:val="clear" w:color="auto" w:fill="FFFFFF"/>
        </w:rPr>
        <w:t xml:space="preserve">al, pristine teachings of Islam” (51).  </w:t>
      </w:r>
    </w:p>
    <w:p w14:paraId="6EB895F1" w14:textId="77777777" w:rsidR="00A25790" w:rsidRPr="007E4877" w:rsidRDefault="00A25790" w:rsidP="00A25790">
      <w:pPr>
        <w:spacing w:line="480" w:lineRule="auto"/>
        <w:ind w:firstLine="720"/>
        <w:contextualSpacing/>
        <w:rPr>
          <w:rFonts w:ascii="Times New Roman" w:eastAsia="Times New Roman" w:hAnsi="Times New Roman" w:cs="Times New Roman"/>
          <w:shd w:val="clear" w:color="auto" w:fill="FFFFFF"/>
        </w:rPr>
      </w:pPr>
      <w:r>
        <w:rPr>
          <w:rFonts w:ascii="Times New Roman" w:eastAsia="Times New Roman" w:hAnsi="Times New Roman" w:cs="Times New Roman"/>
          <w:shd w:val="clear" w:color="auto" w:fill="FFFFFF"/>
        </w:rPr>
        <w:t xml:space="preserve">However, this reformist approach may lead to the same problems with resource mobilization listed above.  In addition, focus on the Quran and the Hadith as the only adequate sources of Islamic life may leave them at a disadvantage when faced with those who understand certain passages of the Quran and Sunnah to justify actions that go against their message of women’s empowerment. </w:t>
      </w:r>
      <w:r>
        <w:rPr>
          <w:rFonts w:ascii="Times New Roman" w:eastAsia="Times New Roman" w:hAnsi="Times New Roman" w:cs="Times New Roman"/>
        </w:rPr>
        <w:t xml:space="preserve"> However, Aisyiyah has redefined this framework to make it a more empowering message for women.  Aisyiyah teaches that it is the responsibility of the individual, man or woman, to learn as much as they can from the Quran and its morals.</w:t>
      </w:r>
      <w:r>
        <w:rPr>
          <w:rStyle w:val="FootnoteReference"/>
          <w:rFonts w:ascii="Times New Roman" w:eastAsia="Times New Roman" w:hAnsi="Times New Roman" w:cs="Times New Roman"/>
        </w:rPr>
        <w:footnoteReference w:id="8"/>
      </w:r>
      <w:r>
        <w:rPr>
          <w:rFonts w:ascii="Times New Roman" w:eastAsia="Times New Roman" w:hAnsi="Times New Roman" w:cs="Times New Roman"/>
        </w:rPr>
        <w:t xml:space="preserve">  Thus, women are given more self-agency to learn, gain knowledge and then use that knowledge to stand up for themselves.</w:t>
      </w:r>
    </w:p>
    <w:p w14:paraId="3A5D3CCE" w14:textId="77777777" w:rsidR="00A25790" w:rsidRDefault="00A25790" w:rsidP="00A25790">
      <w:pPr>
        <w:spacing w:line="480" w:lineRule="auto"/>
        <w:contextualSpacing/>
        <w:rPr>
          <w:rFonts w:ascii="Times New Roman" w:eastAsia="Times New Roman" w:hAnsi="Times New Roman" w:cs="Times New Roman"/>
        </w:rPr>
      </w:pPr>
      <w:r>
        <w:rPr>
          <w:rFonts w:ascii="Times New Roman" w:eastAsia="Times New Roman" w:hAnsi="Times New Roman" w:cs="Times New Roman"/>
        </w:rPr>
        <w:lastRenderedPageBreak/>
        <w:tab/>
        <w:t>Fatayat, in contrast to Muhammadiyah, comes from the NU framework that was heavily influenced by Islamic traditionalism, which tolerates indigenous practices as long as they do not directly contradict Islamic law.</w:t>
      </w:r>
      <w:r>
        <w:rPr>
          <w:rStyle w:val="FootnoteReference"/>
          <w:rFonts w:ascii="Times New Roman" w:eastAsia="Times New Roman" w:hAnsi="Times New Roman" w:cs="Times New Roman"/>
        </w:rPr>
        <w:footnoteReference w:id="9"/>
      </w:r>
      <w:r>
        <w:rPr>
          <w:rFonts w:ascii="Times New Roman" w:eastAsia="Times New Roman" w:hAnsi="Times New Roman" w:cs="Times New Roman"/>
        </w:rPr>
        <w:t xml:space="preserve">  Islamic Traditionalism also proposes that the Quran and the Hadith should not be the only sources of Islamic knowledge, but also the vast body of Islamic Jurisprudence (</w:t>
      </w:r>
      <w:r>
        <w:rPr>
          <w:rFonts w:ascii="Times New Roman" w:eastAsia="Times New Roman" w:hAnsi="Times New Roman" w:cs="Times New Roman"/>
          <w:i/>
        </w:rPr>
        <w:t>Fiqh</w:t>
      </w:r>
      <w:r>
        <w:rPr>
          <w:rFonts w:ascii="Times New Roman" w:eastAsia="Times New Roman" w:hAnsi="Times New Roman" w:cs="Times New Roman"/>
        </w:rPr>
        <w:t xml:space="preserve">) that has been written since the time of Mohammad.  As Van Doorn-Harder again illustrates in </w:t>
      </w:r>
      <w:r>
        <w:rPr>
          <w:rFonts w:ascii="Times New Roman" w:eastAsia="Times New Roman" w:hAnsi="Times New Roman" w:cs="Times New Roman"/>
          <w:i/>
        </w:rPr>
        <w:t>Women Shaping Islam</w:t>
      </w:r>
      <w:r>
        <w:rPr>
          <w:rFonts w:ascii="Times New Roman" w:eastAsia="Times New Roman" w:hAnsi="Times New Roman" w:cs="Times New Roman"/>
        </w:rPr>
        <w:t>, “They argue that ignoring this vast body of knowledge developed during the first centuries after the birth of Islam and limiting one’s reading to the basic texts of the Quran and Hadith impoverishes the vast heritage of Islamic learning …” (pg. 2-3).  This expands the number of sources Fatayat is willing to teach within its educational system and, at least on a doctrinal level, makes it more open to different points of view.  This, in turn, is useful on a practical level because, if the organization is open to including sources other then the scriptures, then it might be easier to make alliances with other organizations, pool resources, and achieve common goals.</w:t>
      </w:r>
    </w:p>
    <w:p w14:paraId="25F28739" w14:textId="77777777" w:rsidR="00A25790" w:rsidRPr="00AF201A" w:rsidRDefault="00A25790" w:rsidP="00A25790">
      <w:pPr>
        <w:spacing w:line="480" w:lineRule="auto"/>
        <w:contextualSpacing/>
        <w:rPr>
          <w:rFonts w:ascii="Times New Roman" w:eastAsia="Times New Roman" w:hAnsi="Times New Roman" w:cs="Times New Roman"/>
        </w:rPr>
      </w:pPr>
      <w:r>
        <w:rPr>
          <w:rFonts w:ascii="Times New Roman" w:eastAsia="Times New Roman" w:hAnsi="Times New Roman" w:cs="Times New Roman"/>
        </w:rPr>
        <w:tab/>
        <w:t xml:space="preserve">However, this traditionalism does not mean that Fatayat lacks its share of philosophical pit-falls because of its framework.  For example, Indonesian indigenous practices in some provinces include the tradition of female circumcision; a hot-button issue that many activists in Indonesia say is detrimental to women’s health while others say Islam condones it.  Islam is sometimes used as a justification for this practice.  However, Fatayat has come out against the procedure and has utilized religious education as a way to decrease the prevalence of the practice.  For example, in a seminar in 2008, Fatayat had a Kyai (Indonesian Islamic Scholar) discuss with other activists about Islamic arguments against female circumcision, and the </w:t>
      </w:r>
      <w:r>
        <w:rPr>
          <w:rFonts w:ascii="Times New Roman" w:eastAsia="Times New Roman" w:hAnsi="Times New Roman" w:cs="Times New Roman"/>
        </w:rPr>
        <w:lastRenderedPageBreak/>
        <w:t>audience seemed very swayed by his arguments.</w:t>
      </w:r>
      <w:r>
        <w:rPr>
          <w:rStyle w:val="FootnoteReference"/>
          <w:rFonts w:ascii="Times New Roman" w:eastAsia="Times New Roman" w:hAnsi="Times New Roman" w:cs="Times New Roman"/>
        </w:rPr>
        <w:footnoteReference w:id="10"/>
      </w:r>
      <w:r>
        <w:rPr>
          <w:rFonts w:ascii="Times New Roman" w:eastAsia="Times New Roman" w:hAnsi="Times New Roman" w:cs="Times New Roman"/>
        </w:rPr>
        <w:t xml:space="preserve">  So, the acceptance of indigenous practices does not always serve to advance Fatayat’s agenda of women’s empowerment and sometimes requires firm arguments based on Islamic sources in order to dispel them.</w:t>
      </w:r>
    </w:p>
    <w:p w14:paraId="643A6E1F" w14:textId="77777777" w:rsidR="00A25790" w:rsidRPr="00992E47"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As this quick review shows, Aisyiyah and Fatayat each come from traditions that provide both challenges and advantages for women’s empowerment and education.  Islamic Reformism provides clear structure and the authority that comes with the Quran and the Hadith, but may at times be restricting.  On the other hand, while Islamic Traditionalism may provide easier access to resources and alliances through its tolerance of indigenous practices, it also provides another set of obstacles when some indigenous practices inhibit women’s empowerment and agency.  However, each of these organizations has come up with unique solutions to these different problems.  The next section discusses a key factor in these solutions.</w:t>
      </w:r>
    </w:p>
    <w:p w14:paraId="309F81FD"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THE USE OF IJTIHAD</w:t>
      </w:r>
    </w:p>
    <w:p w14:paraId="724AA1DF" w14:textId="77777777" w:rsidR="00A25790" w:rsidRDefault="00A25790" w:rsidP="00A25790">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Ijtihad, commonly translated as “diligence” or</w:t>
      </w:r>
      <w:r w:rsidRPr="00BA05ED">
        <w:rPr>
          <w:rFonts w:ascii="Times New Roman" w:eastAsia="Times New Roman" w:hAnsi="Times New Roman" w:cs="Times New Roman"/>
        </w:rPr>
        <w:t xml:space="preserve"> “interpretation</w:t>
      </w:r>
      <w:r>
        <w:rPr>
          <w:rFonts w:ascii="Times New Roman" w:eastAsia="Times New Roman" w:hAnsi="Times New Roman" w:cs="Times New Roman"/>
        </w:rPr>
        <w:t>,</w:t>
      </w:r>
      <w:r w:rsidRPr="00BA05ED">
        <w:rPr>
          <w:rFonts w:ascii="Times New Roman" w:eastAsia="Times New Roman" w:hAnsi="Times New Roman" w:cs="Times New Roman"/>
        </w:rPr>
        <w:t>” is a crucial process that has allowed Aisy</w:t>
      </w:r>
      <w:r>
        <w:rPr>
          <w:rFonts w:ascii="Times New Roman" w:eastAsia="Times New Roman" w:hAnsi="Times New Roman" w:cs="Times New Roman"/>
        </w:rPr>
        <w:t>i</w:t>
      </w:r>
      <w:r w:rsidRPr="00BA05ED">
        <w:rPr>
          <w:rFonts w:ascii="Times New Roman" w:eastAsia="Times New Roman" w:hAnsi="Times New Roman" w:cs="Times New Roman"/>
        </w:rPr>
        <w:t>yah and</w:t>
      </w:r>
      <w:r>
        <w:rPr>
          <w:rFonts w:ascii="Times New Roman" w:eastAsia="Times New Roman" w:hAnsi="Times New Roman" w:cs="Times New Roman"/>
        </w:rPr>
        <w:t xml:space="preserve"> Fatayat to support their agendas with the power of Islamic religion and further their agendas of women’s empowerment.  Education is a key component in this process.  Typically, Ijtihad refers to the juridical process of interpreting the Quran and Sunnah in order to answer a particular question that is not directly answered in either of the two sources of Islamic scripture.  Originally, only well-qualified Islamic Scholars called Mujtahids (literally “one who practices diligence”) could practice Ijtihad.  Eventually, the practice became almost non-existent among </w:t>
      </w:r>
      <w:r w:rsidRPr="000B1DC7">
        <w:rPr>
          <w:rFonts w:ascii="Times New Roman" w:eastAsia="Times New Roman" w:hAnsi="Times New Roman" w:cs="Times New Roman"/>
        </w:rPr>
        <w:t xml:space="preserve">a majority of Muslims because very structured schools of law formed that </w:t>
      </w:r>
      <w:r>
        <w:rPr>
          <w:rFonts w:ascii="Times New Roman" w:eastAsia="Times New Roman" w:hAnsi="Times New Roman" w:cs="Times New Roman"/>
        </w:rPr>
        <w:t xml:space="preserve">fulfilled the </w:t>
      </w:r>
      <w:r>
        <w:rPr>
          <w:rFonts w:ascii="Times New Roman" w:eastAsia="Times New Roman" w:hAnsi="Times New Roman" w:cs="Times New Roman"/>
        </w:rPr>
        <w:lastRenderedPageBreak/>
        <w:t>need for more fleshed out legal systems</w:t>
      </w:r>
      <w:r w:rsidRPr="000B1DC7">
        <w:rPr>
          <w:rFonts w:ascii="Times New Roman" w:eastAsia="Times New Roman" w:hAnsi="Times New Roman" w:cs="Times New Roman"/>
        </w:rPr>
        <w:t>.  However, starting in the late 19</w:t>
      </w:r>
      <w:r w:rsidRPr="000B1DC7">
        <w:rPr>
          <w:rFonts w:ascii="Times New Roman" w:eastAsia="Times New Roman" w:hAnsi="Times New Roman" w:cs="Times New Roman"/>
          <w:vertAlign w:val="superscript"/>
        </w:rPr>
        <w:t>th</w:t>
      </w:r>
      <w:r w:rsidRPr="000B1DC7">
        <w:rPr>
          <w:rFonts w:ascii="Times New Roman" w:eastAsia="Times New Roman" w:hAnsi="Times New Roman" w:cs="Times New Roman"/>
        </w:rPr>
        <w:t xml:space="preserve"> century, the practice started up again, as Fatayat &amp; Aisyiyah illustrate.</w:t>
      </w:r>
      <w:r w:rsidRPr="000B1DC7">
        <w:rPr>
          <w:rStyle w:val="FootnoteReference"/>
          <w:rFonts w:ascii="Times New Roman" w:eastAsia="Times New Roman" w:hAnsi="Times New Roman" w:cs="Times New Roman"/>
        </w:rPr>
        <w:footnoteReference w:id="11"/>
      </w:r>
    </w:p>
    <w:p w14:paraId="3430D57C" w14:textId="77777777" w:rsidR="00A25790" w:rsidRDefault="00A25790" w:rsidP="00A25790">
      <w:pPr>
        <w:spacing w:line="480" w:lineRule="auto"/>
        <w:ind w:firstLine="720"/>
        <w:contextualSpacing/>
        <w:rPr>
          <w:rFonts w:ascii="Times New Roman" w:eastAsia="Times New Roman" w:hAnsi="Times New Roman" w:cs="Times New Roman"/>
        </w:rPr>
      </w:pPr>
      <w:r w:rsidRPr="000B1DC7">
        <w:rPr>
          <w:rFonts w:ascii="Times New Roman" w:eastAsia="Times New Roman" w:hAnsi="Times New Roman" w:cs="Times New Roman"/>
        </w:rPr>
        <w:t xml:space="preserve">As far as Aisyiyah is concerned, Ijtihad is used to navigate the complicated position </w:t>
      </w:r>
      <w:r>
        <w:rPr>
          <w:rFonts w:ascii="Times New Roman" w:eastAsia="Times New Roman" w:hAnsi="Times New Roman" w:cs="Times New Roman"/>
        </w:rPr>
        <w:t>the movement</w:t>
      </w:r>
      <w:r w:rsidRPr="000B1DC7">
        <w:rPr>
          <w:rFonts w:ascii="Times New Roman" w:eastAsia="Times New Roman" w:hAnsi="Times New Roman" w:cs="Times New Roman"/>
        </w:rPr>
        <w:t xml:space="preserve"> face</w:t>
      </w:r>
      <w:r>
        <w:rPr>
          <w:rFonts w:ascii="Times New Roman" w:eastAsia="Times New Roman" w:hAnsi="Times New Roman" w:cs="Times New Roman"/>
        </w:rPr>
        <w:t>s when the convictions of its</w:t>
      </w:r>
      <w:r w:rsidRPr="000B1DC7">
        <w:rPr>
          <w:rFonts w:ascii="Times New Roman" w:eastAsia="Times New Roman" w:hAnsi="Times New Roman" w:cs="Times New Roman"/>
        </w:rPr>
        <w:t xml:space="preserve"> Muhammadiyah</w:t>
      </w:r>
      <w:r>
        <w:rPr>
          <w:rFonts w:ascii="Times New Roman" w:eastAsia="Times New Roman" w:hAnsi="Times New Roman" w:cs="Times New Roman"/>
        </w:rPr>
        <w:t xml:space="preserve"> parent organization</w:t>
      </w:r>
      <w:r w:rsidRPr="000B1DC7">
        <w:rPr>
          <w:rFonts w:ascii="Times New Roman" w:eastAsia="Times New Roman" w:hAnsi="Times New Roman" w:cs="Times New Roman"/>
        </w:rPr>
        <w:t>, Indonesian society, and Aisyiyah itself converge.  Nowhere is this more evident than in conflicts over the family model proposed by Muhammadiyah, called “the Harmonious Family</w:t>
      </w:r>
      <w:r>
        <w:rPr>
          <w:rFonts w:ascii="Times New Roman" w:eastAsia="Times New Roman" w:hAnsi="Times New Roman" w:cs="Times New Roman"/>
        </w:rPr>
        <w:t>.</w:t>
      </w:r>
      <w:r w:rsidRPr="000B1DC7">
        <w:rPr>
          <w:rFonts w:ascii="Times New Roman" w:eastAsia="Times New Roman" w:hAnsi="Times New Roman" w:cs="Times New Roman"/>
        </w:rPr>
        <w:t>”  On the one hand, Muhammadiyah promotes this model because</w:t>
      </w:r>
      <w:r>
        <w:rPr>
          <w:rFonts w:ascii="Times New Roman" w:eastAsia="Times New Roman" w:hAnsi="Times New Roman" w:cs="Times New Roman"/>
        </w:rPr>
        <w:t>,</w:t>
      </w:r>
      <w:r w:rsidRPr="000B1DC7">
        <w:rPr>
          <w:rFonts w:ascii="Times New Roman" w:eastAsia="Times New Roman" w:hAnsi="Times New Roman" w:cs="Times New Roman"/>
        </w:rPr>
        <w:t xml:space="preserve"> as Van Doorn Harder describes in</w:t>
      </w:r>
      <w:r>
        <w:rPr>
          <w:rFonts w:ascii="Times New Roman" w:eastAsia="Times New Roman" w:hAnsi="Times New Roman" w:cs="Times New Roman"/>
        </w:rPr>
        <w:t xml:space="preserve"> </w:t>
      </w:r>
      <w:r>
        <w:rPr>
          <w:rFonts w:ascii="Times New Roman" w:eastAsia="Times New Roman" w:hAnsi="Times New Roman" w:cs="Times New Roman"/>
          <w:i/>
        </w:rPr>
        <w:t>Defining Evil to Defend Islam</w:t>
      </w:r>
      <w:r>
        <w:rPr>
          <w:rFonts w:ascii="Times New Roman" w:eastAsia="Times New Roman" w:hAnsi="Times New Roman" w:cs="Times New Roman"/>
        </w:rPr>
        <w:t>,</w:t>
      </w:r>
      <w:r w:rsidRPr="000B1DC7">
        <w:rPr>
          <w:rFonts w:ascii="Times New Roman" w:eastAsia="Times New Roman" w:hAnsi="Times New Roman" w:cs="Times New Roman"/>
        </w:rPr>
        <w:t xml:space="preserve"> </w:t>
      </w:r>
      <w:r>
        <w:rPr>
          <w:rFonts w:ascii="Times New Roman" w:eastAsia="Times New Roman" w:hAnsi="Times New Roman" w:cs="Times New Roman"/>
        </w:rPr>
        <w:t>“</w:t>
      </w:r>
      <w:r>
        <w:rPr>
          <w:rFonts w:ascii="Times New Roman" w:hAnsi="Times New Roman" w:cs="Times Roman"/>
          <w:color w:val="000000"/>
        </w:rPr>
        <w:t>f</w:t>
      </w:r>
      <w:r w:rsidRPr="000B1DC7">
        <w:rPr>
          <w:rFonts w:ascii="Times New Roman" w:hAnsi="Times New Roman" w:cs="Times Roman"/>
          <w:color w:val="000000"/>
        </w:rPr>
        <w:t>ollowing this family mode</w:t>
      </w:r>
      <w:r>
        <w:rPr>
          <w:rFonts w:ascii="Times New Roman" w:hAnsi="Times New Roman" w:cs="Times Roman"/>
          <w:color w:val="000000"/>
        </w:rPr>
        <w:t>l prevents various sins that Mu</w:t>
      </w:r>
      <w:r w:rsidRPr="000B1DC7">
        <w:rPr>
          <w:rFonts w:ascii="Times New Roman" w:hAnsi="Times New Roman" w:cs="Times Roman"/>
          <w:color w:val="000000"/>
        </w:rPr>
        <w:t xml:space="preserve">hammadiyah identified as obstructing the application of God’s </w:t>
      </w:r>
      <w:r w:rsidRPr="000B1DC7">
        <w:rPr>
          <w:rFonts w:ascii="Times New Roman" w:hAnsi="Times New Roman" w:cs="Times Italic"/>
          <w:i/>
          <w:color w:val="000000"/>
        </w:rPr>
        <w:t>sunan</w:t>
      </w:r>
      <w:r>
        <w:rPr>
          <w:rFonts w:ascii="Times New Roman" w:eastAsia="Times New Roman" w:hAnsi="Times New Roman" w:cs="Times New Roman"/>
        </w:rPr>
        <w:t>” (162).  However, the institution also promotes a model of family life that can be restricting.  The harmonious family model emphasizes women’s roles as mothers and can unequally favor men within the institution of marriage.  This conflicts with Aisyiyah’s goals of empowering women, so it required a way to balance these two competing forces.</w:t>
      </w:r>
    </w:p>
    <w:p w14:paraId="507AB80F" w14:textId="77777777" w:rsidR="00A25790" w:rsidRDefault="00A25790" w:rsidP="00A25790">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t xml:space="preserve">Aisyiyah accomplished this balancing through the use of Ijtihad.  It still placed the Harmonious Family as a priority, and was also able to redefine it and advocate for women’s empowerment.  For example, it set up a committee in the 1990’s to study gender relations from an Islamic point of view.  This committee’s findings provide a clear framework for how to reinterpret gender relations.  Specifically, as Van Doorn Harder again writes in </w:t>
      </w:r>
      <w:r>
        <w:rPr>
          <w:rFonts w:ascii="Times New Roman" w:eastAsia="Times New Roman" w:hAnsi="Times New Roman" w:cs="Times New Roman"/>
          <w:i/>
        </w:rPr>
        <w:t>Women Shaping Islam</w:t>
      </w:r>
      <w:r>
        <w:rPr>
          <w:rFonts w:ascii="Times New Roman" w:eastAsia="Times New Roman" w:hAnsi="Times New Roman" w:cs="Times New Roman"/>
        </w:rPr>
        <w:t>:</w:t>
      </w:r>
    </w:p>
    <w:p w14:paraId="0EF3F244" w14:textId="77777777" w:rsidR="00A25790" w:rsidRDefault="00A25790" w:rsidP="00A25790">
      <w:pPr>
        <w:ind w:left="720" w:right="720"/>
        <w:contextualSpacing/>
        <w:rPr>
          <w:rFonts w:ascii="Times New Roman" w:eastAsia="Times New Roman" w:hAnsi="Times New Roman" w:cs="Times New Roman"/>
          <w:shd w:val="clear" w:color="auto" w:fill="FFFFFF"/>
        </w:rPr>
      </w:pPr>
      <w:r w:rsidRPr="003411E3">
        <w:rPr>
          <w:rFonts w:ascii="Times New Roman" w:eastAsia="Times New Roman" w:hAnsi="Times New Roman" w:cs="Times New Roman"/>
          <w:shd w:val="clear" w:color="auto" w:fill="FFFFFF"/>
        </w:rPr>
        <w:t>The committee stresses equality between men and women by moving the focus fro</w:t>
      </w:r>
      <w:r>
        <w:rPr>
          <w:rFonts w:ascii="Times New Roman" w:eastAsia="Times New Roman" w:hAnsi="Times New Roman" w:cs="Times New Roman"/>
          <w:shd w:val="clear" w:color="auto" w:fill="FFFFFF"/>
        </w:rPr>
        <w:t>m the famous Qur’anic text of 4:</w:t>
      </w:r>
      <w:r w:rsidRPr="003411E3">
        <w:rPr>
          <w:rFonts w:ascii="Times New Roman" w:eastAsia="Times New Roman" w:hAnsi="Times New Roman" w:cs="Times New Roman"/>
          <w:shd w:val="clear" w:color="auto" w:fill="FFFFFF"/>
        </w:rPr>
        <w:t>34 (that presents men as the protectors of women and more or less indicates that under certain circumstances beat</w:t>
      </w:r>
      <w:r>
        <w:rPr>
          <w:rFonts w:ascii="Times New Roman" w:eastAsia="Times New Roman" w:hAnsi="Times New Roman" w:cs="Times New Roman"/>
          <w:shd w:val="clear" w:color="auto" w:fill="FFFFFF"/>
        </w:rPr>
        <w:t>ing one’s wife is allowed) to 2:187</w:t>
      </w:r>
      <w:r w:rsidRPr="003411E3">
        <w:rPr>
          <w:rFonts w:ascii="Times New Roman" w:eastAsia="Times New Roman" w:hAnsi="Times New Roman" w:cs="Times New Roman"/>
          <w:shd w:val="clear" w:color="auto" w:fill="FFFFFF"/>
        </w:rPr>
        <w:t>, where men and women are spoken of as each other’s garments.</w:t>
      </w:r>
      <w:r>
        <w:rPr>
          <w:rFonts w:ascii="Times New Roman" w:eastAsia="Times New Roman" w:hAnsi="Times New Roman" w:cs="Times New Roman"/>
          <w:shd w:val="clear" w:color="auto" w:fill="FFFFFF"/>
        </w:rPr>
        <w:t xml:space="preserve"> (121)</w:t>
      </w:r>
    </w:p>
    <w:p w14:paraId="3FA1D3E0" w14:textId="77777777" w:rsidR="00A25790" w:rsidRPr="00882BD2" w:rsidRDefault="00A25790" w:rsidP="00A25790">
      <w:pPr>
        <w:spacing w:line="480" w:lineRule="auto"/>
        <w:ind w:firstLine="720"/>
        <w:contextualSpacing/>
        <w:rPr>
          <w:rFonts w:ascii="Times New Roman" w:eastAsia="Times New Roman" w:hAnsi="Times New Roman" w:cs="Times New Roman"/>
        </w:rPr>
      </w:pPr>
      <w:r>
        <w:rPr>
          <w:rFonts w:ascii="Times New Roman" w:eastAsia="Times New Roman" w:hAnsi="Times New Roman" w:cs="Times New Roman"/>
        </w:rPr>
        <w:lastRenderedPageBreak/>
        <w:t xml:space="preserve">Through its focus on using Ijtihad in this way, Aisyiyah can thread through this complicated network of ideological and practical elements and still maintain its position as a progressive organization.  By using Ijtihad in this way, it can still claim to be a devout Muslim organization that follows Muhammadiyah guidelines and at the same time promotes a more progressive view of a woman’s role in society.  This prudent approach allows Aisyiyah to make the most of Muhammadiyah’s considerable resources while also allying itself with more progressive organizations, or even </w:t>
      </w:r>
      <w:r w:rsidRPr="00882BD2">
        <w:rPr>
          <w:rFonts w:ascii="Times New Roman" w:eastAsia="Times New Roman" w:hAnsi="Times New Roman" w:cs="Times New Roman"/>
        </w:rPr>
        <w:t>international aid organizations.</w:t>
      </w:r>
    </w:p>
    <w:p w14:paraId="3E4A028E" w14:textId="77777777" w:rsidR="00A25790" w:rsidRDefault="00A25790" w:rsidP="00A25790">
      <w:pPr>
        <w:spacing w:line="480" w:lineRule="auto"/>
        <w:contextualSpacing/>
        <w:rPr>
          <w:rFonts w:ascii="Times New Roman" w:eastAsia="Times New Roman" w:hAnsi="Times New Roman" w:cs="Times New Roman"/>
        </w:rPr>
      </w:pPr>
      <w:r>
        <w:rPr>
          <w:rFonts w:ascii="Times New Roman" w:eastAsia="Times New Roman" w:hAnsi="Times New Roman" w:cs="Times New Roman"/>
        </w:rPr>
        <w:tab/>
        <w:t>Fatayat, on the other hand, approaches Ijtihad in a different way.  The avenue proposed by Fatayat’s parent organization, NU, actually serves to assist Fatayat in its use of Ijtihad.  Nowadays, NU proposes a contextualist approach to the Quran.  Contextualism, in the context of Islam, refers to an approach to Ijtihad that takes into account the sociocultural history of the Quran and the Islamic world as it is today.</w:t>
      </w:r>
      <w:r>
        <w:rPr>
          <w:rStyle w:val="FootnoteReference"/>
          <w:rFonts w:ascii="Times New Roman" w:eastAsia="Times New Roman" w:hAnsi="Times New Roman" w:cs="Times New Roman"/>
        </w:rPr>
        <w:footnoteReference w:id="12"/>
      </w:r>
      <w:r>
        <w:rPr>
          <w:rFonts w:ascii="Times New Roman" w:eastAsia="Times New Roman" w:hAnsi="Times New Roman" w:cs="Times New Roman"/>
        </w:rPr>
        <w:t xml:space="preserve">  This approach to interpretation is in line with NU’s Traditionalist leanings, which tolerate practices that originated outside the realm of Islam.  In addition, it allows for more freedom to interpret Islamic sources in new ways.  </w:t>
      </w:r>
    </w:p>
    <w:p w14:paraId="3850D4AF" w14:textId="77777777" w:rsidR="00A25790" w:rsidRDefault="00A25790" w:rsidP="00A25790">
      <w:pPr>
        <w:spacing w:line="480" w:lineRule="auto"/>
        <w:ind w:firstLine="720"/>
        <w:contextualSpacing/>
        <w:rPr>
          <w:rFonts w:ascii="Times New Roman" w:hAnsi="Times New Roman"/>
        </w:rPr>
      </w:pPr>
      <w:r>
        <w:rPr>
          <w:rFonts w:ascii="Times New Roman" w:eastAsia="Times New Roman" w:hAnsi="Times New Roman" w:cs="Times New Roman"/>
        </w:rPr>
        <w:t>Fatayat members and leaders have taken this contextualist approach as an opportunity to use Ijtihad in a way that advances their agenda of women’s empowerment.  As Rachel Rinaldo discusses in an article about how Fatayat and Rahima (another Islamic women’s group) have increased women’s freedom: “</w:t>
      </w:r>
      <w:r w:rsidRPr="00072FF0">
        <w:rPr>
          <w:rFonts w:ascii="Times New Roman" w:hAnsi="Times New Roman"/>
        </w:rPr>
        <w:t>In this milieu, they</w:t>
      </w:r>
      <w:r>
        <w:rPr>
          <w:rFonts w:ascii="Times New Roman" w:hAnsi="Times New Roman"/>
        </w:rPr>
        <w:t xml:space="preserve"> [Fatayat and Rahima activists]</w:t>
      </w:r>
      <w:r w:rsidRPr="00072FF0">
        <w:rPr>
          <w:rFonts w:ascii="Times New Roman" w:hAnsi="Times New Roman"/>
        </w:rPr>
        <w:t xml:space="preserve"> were trained in the NU approach to Islam and influenced by the contextualist turn. The contextual approach provides significant interpretive </w:t>
      </w:r>
      <w:r w:rsidRPr="008D4F11">
        <w:rPr>
          <w:rFonts w:ascii="Times New Roman" w:hAnsi="Times New Roman"/>
        </w:rPr>
        <w:t>flexibility, on which these activists capitalize</w:t>
      </w:r>
      <w:r>
        <w:rPr>
          <w:rFonts w:ascii="Times New Roman" w:hAnsi="Times New Roman"/>
        </w:rPr>
        <w:t>.</w:t>
      </w:r>
      <w:r w:rsidRPr="008D4F11">
        <w:rPr>
          <w:rFonts w:ascii="Times New Roman" w:hAnsi="Times New Roman"/>
        </w:rPr>
        <w:t>”</w:t>
      </w:r>
      <w:r w:rsidRPr="008D4F11">
        <w:rPr>
          <w:rStyle w:val="FootnoteReference"/>
          <w:rFonts w:ascii="Times New Roman" w:hAnsi="Times New Roman"/>
        </w:rPr>
        <w:footnoteReference w:id="13"/>
      </w:r>
      <w:r w:rsidRPr="008D4F11">
        <w:rPr>
          <w:rFonts w:ascii="Times New Roman" w:hAnsi="Times New Roman"/>
        </w:rPr>
        <w:t xml:space="preserve">  Fatayat </w:t>
      </w:r>
      <w:r w:rsidRPr="008D4F11">
        <w:rPr>
          <w:rFonts w:ascii="Times New Roman" w:hAnsi="Times New Roman"/>
        </w:rPr>
        <w:lastRenderedPageBreak/>
        <w:t>women have co-opted the educational framework of NU that surrounds Ijtihad in an effort to advocate for their agenda.</w:t>
      </w:r>
    </w:p>
    <w:p w14:paraId="0FFC01E9" w14:textId="77777777" w:rsidR="00A25790" w:rsidRDefault="00A25790" w:rsidP="00A25790">
      <w:pPr>
        <w:spacing w:line="480" w:lineRule="auto"/>
        <w:ind w:firstLine="720"/>
        <w:contextualSpacing/>
        <w:rPr>
          <w:rFonts w:ascii="Times New Roman" w:hAnsi="Times New Roman"/>
        </w:rPr>
      </w:pPr>
      <w:r w:rsidRPr="008D4F11">
        <w:rPr>
          <w:rFonts w:ascii="Times New Roman" w:hAnsi="Times New Roman"/>
        </w:rPr>
        <w:t>Nowhere is this process of educational strategy more evident than in Fatayat’s stance on reproductive health issues like abortion.  This is a tricky issue to tackle in Indonesia, because while the state has legalized the procedure in some cases, many devout Muslims have concerns about it.  In addition, many times women have the procedure done by traditional healers (dukuns) instead of going to doctors.</w:t>
      </w:r>
      <w:r w:rsidRPr="008D4F11">
        <w:rPr>
          <w:rStyle w:val="FootnoteReference"/>
          <w:rFonts w:ascii="Times New Roman" w:hAnsi="Times New Roman"/>
        </w:rPr>
        <w:footnoteReference w:id="14"/>
      </w:r>
      <w:r w:rsidRPr="008D4F11">
        <w:rPr>
          <w:rFonts w:ascii="Times New Roman" w:hAnsi="Times New Roman"/>
        </w:rPr>
        <w:t xml:space="preserve">  However, while Fatayat does not officially support the procedure, they have suppor</w:t>
      </w:r>
      <w:r>
        <w:rPr>
          <w:rFonts w:ascii="Times New Roman" w:hAnsi="Times New Roman"/>
        </w:rPr>
        <w:t xml:space="preserve">ted some liberalization of Indonesian </w:t>
      </w:r>
      <w:r w:rsidRPr="008D4F11">
        <w:rPr>
          <w:rFonts w:ascii="Times New Roman" w:hAnsi="Times New Roman"/>
        </w:rPr>
        <w:t xml:space="preserve">abortion laws.  In addition, at least some Fatayat leaders have started to investigate possible justifications for it within the realms of Fiqh and Sunnah.  </w:t>
      </w:r>
    </w:p>
    <w:p w14:paraId="51E2144C" w14:textId="77777777" w:rsidR="00A25790" w:rsidRDefault="00A25790" w:rsidP="00A25790">
      <w:pPr>
        <w:spacing w:line="480" w:lineRule="auto"/>
        <w:ind w:firstLine="720"/>
        <w:contextualSpacing/>
        <w:rPr>
          <w:rFonts w:ascii="Times New Roman" w:hAnsi="Times New Roman"/>
        </w:rPr>
      </w:pPr>
      <w:r w:rsidRPr="008D4F11">
        <w:rPr>
          <w:rFonts w:ascii="Times New Roman" w:hAnsi="Times New Roman"/>
        </w:rPr>
        <w:t>For example, at a conference of Fatayat chapters in West Java in 2008, a scholar named Maria Ulfah explained that</w:t>
      </w:r>
      <w:r>
        <w:rPr>
          <w:rFonts w:ascii="Times New Roman" w:hAnsi="Times New Roman"/>
        </w:rPr>
        <w:t xml:space="preserve">, </w:t>
      </w:r>
      <w:r w:rsidRPr="008D4F11">
        <w:rPr>
          <w:rFonts w:ascii="Times New Roman" w:hAnsi="Times New Roman"/>
        </w:rPr>
        <w:t xml:space="preserve">while “All </w:t>
      </w:r>
      <w:r w:rsidRPr="008D4F11">
        <w:rPr>
          <w:rFonts w:ascii="Times New Roman" w:hAnsi="Times New Roman"/>
          <w:i/>
          <w:iCs/>
        </w:rPr>
        <w:t xml:space="preserve">fikh </w:t>
      </w:r>
      <w:r w:rsidRPr="008D4F11">
        <w:rPr>
          <w:rFonts w:ascii="Times New Roman" w:hAnsi="Times New Roman"/>
        </w:rPr>
        <w:t xml:space="preserve">scholars agree that when a fetus is viable, it is </w:t>
      </w:r>
      <w:r w:rsidRPr="008D4F11">
        <w:rPr>
          <w:rFonts w:ascii="Times New Roman" w:hAnsi="Times New Roman"/>
          <w:i/>
          <w:iCs/>
        </w:rPr>
        <w:t xml:space="preserve">haram </w:t>
      </w:r>
      <w:r w:rsidRPr="008D4F11">
        <w:rPr>
          <w:rFonts w:ascii="Times New Roman" w:hAnsi="Times New Roman"/>
        </w:rPr>
        <w:t>to do something to it</w:t>
      </w:r>
      <w:r>
        <w:rPr>
          <w:rFonts w:ascii="Times New Roman" w:hAnsi="Times New Roman"/>
        </w:rPr>
        <w:t>” there is also not a consensus within the Hadith (sayings of the prophet) about when a Fetus is viable.</w:t>
      </w:r>
      <w:r>
        <w:rPr>
          <w:rStyle w:val="FootnoteReference"/>
          <w:rFonts w:ascii="Times New Roman" w:hAnsi="Times New Roman"/>
        </w:rPr>
        <w:footnoteReference w:id="15"/>
      </w:r>
      <w:r>
        <w:rPr>
          <w:rFonts w:ascii="Times New Roman" w:hAnsi="Times New Roman"/>
        </w:rPr>
        <w:t xml:space="preserve">  This interpretation creates some leeway for Muslim Indonesian women who are contemplating the procedure.  Thus, by utilizing the interpretive framework of NU, Fatayat leaders have been able to promote progressive ideas about women’s issues in a way that would be appealing to more religious audiences.  By appealing to this wider audience, Fatayat opens up a lot of resources for its organization in terms of human capital and institutional alliances.  If the movement makes its arguments palatable to as many of the 220 million Muslims within Indonesia, then it has amuch greater chance of achieving its goals.</w:t>
      </w:r>
    </w:p>
    <w:p w14:paraId="69317A7A" w14:textId="77777777" w:rsidR="00A25790" w:rsidRPr="008D4F11" w:rsidRDefault="00A25790" w:rsidP="00A25790">
      <w:pPr>
        <w:spacing w:line="480" w:lineRule="auto"/>
        <w:ind w:firstLine="720"/>
        <w:contextualSpacing/>
        <w:rPr>
          <w:rFonts w:ascii="Times New Roman" w:hAnsi="Times New Roman"/>
        </w:rPr>
      </w:pPr>
      <w:r>
        <w:rPr>
          <w:rFonts w:ascii="Times New Roman" w:hAnsi="Times New Roman"/>
        </w:rPr>
        <w:lastRenderedPageBreak/>
        <w:t>So, Ijtihad is a crucial strategy utilized by both Aisyiyah and Fatayat NU in order to support their arguments.  Both organizations seek to harness religious doctrine in order to support progressive agendas, and to do that they must thread the complicated and sometimes harsh edicts of the Quran, Sunnah, and their parent organizations.  Ijtihad is a vital tool in accomplishing this task.  It is easier for Fatayat to achieve this, given the organization’s more flexible approach to Islamic interpretation, while Aisyiyah is subject to a more rigid structure.  However, both organizations have effectively utilized Ijtihad to support arguments for women’s empowerment.</w:t>
      </w:r>
    </w:p>
    <w:p w14:paraId="2A34967A"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EDUCATIONAL SYSTEMS</w:t>
      </w:r>
    </w:p>
    <w:p w14:paraId="3E7D9F56" w14:textId="77777777" w:rsidR="00A25790" w:rsidRDefault="00A25790" w:rsidP="00A25790">
      <w:pPr>
        <w:spacing w:line="480" w:lineRule="auto"/>
        <w:ind w:firstLine="720"/>
        <w:rPr>
          <w:rFonts w:ascii="Times New Roman" w:hAnsi="Times New Roman"/>
        </w:rPr>
      </w:pPr>
      <w:r>
        <w:rPr>
          <w:rFonts w:ascii="Times New Roman" w:hAnsi="Times New Roman"/>
        </w:rPr>
        <w:t>The way Aisyiyah and Fatayatuse [practice? use?] Ijtihad requires a very high degree of Islamic prior knowledge and literacy.  As I discuss in this section, each organization has achieved this high level of knowledge through its own educational system.  Aisyiyah, for its part, has established both formal and informal systems of education to empower its members.  In terms of informal education systems, the classic Aisyiyah programs are informal Quran circles, called pengajian, that are led by female preachers known as muballighat.  These gatherings usually focus on specific topics, such as preparing for the Hajj pilgrimage, and include discussions of the Quran from a woman’s perspective.</w:t>
      </w:r>
      <w:r>
        <w:rPr>
          <w:rStyle w:val="FootnoteReference"/>
          <w:rFonts w:ascii="Times New Roman" w:hAnsi="Times New Roman"/>
        </w:rPr>
        <w:footnoteReference w:id="16"/>
      </w:r>
      <w:r>
        <w:rPr>
          <w:rFonts w:ascii="Times New Roman" w:hAnsi="Times New Roman"/>
        </w:rPr>
        <w:t xml:space="preserve">  </w:t>
      </w:r>
    </w:p>
    <w:p w14:paraId="745677FC" w14:textId="77777777" w:rsidR="00A25790" w:rsidRDefault="00A25790" w:rsidP="00A25790">
      <w:pPr>
        <w:spacing w:line="480" w:lineRule="auto"/>
        <w:ind w:firstLine="720"/>
        <w:rPr>
          <w:rFonts w:ascii="Times New Roman" w:hAnsi="Times New Roman"/>
        </w:rPr>
      </w:pPr>
      <w:r>
        <w:rPr>
          <w:rFonts w:ascii="Times New Roman" w:hAnsi="Times New Roman"/>
        </w:rPr>
        <w:t xml:space="preserve">For example, during an economic downturn in Indonesia in the late 1990’s, one well-known muballighat named Ibu Uswatun preached a very powerful message to women.  As Van Doorn Harder describes, “In the face of seemingly overwhelming forces, Ibu Uswatun reminded her audience, women were not powerless.  Women could save the faith, increasing their spiritual </w:t>
      </w:r>
      <w:r>
        <w:rPr>
          <w:rFonts w:ascii="Times New Roman" w:hAnsi="Times New Roman"/>
        </w:rPr>
        <w:lastRenderedPageBreak/>
        <w:t>exercises to start a counterattack.”</w:t>
      </w:r>
      <w:r>
        <w:rPr>
          <w:rStyle w:val="FootnoteReference"/>
          <w:rFonts w:ascii="Times New Roman" w:hAnsi="Times New Roman"/>
        </w:rPr>
        <w:footnoteReference w:id="17"/>
      </w:r>
      <w:r>
        <w:rPr>
          <w:rFonts w:ascii="Times New Roman" w:hAnsi="Times New Roman"/>
        </w:rPr>
        <w:t xml:space="preserve">  This message is very effective in recruiting and empowering women.  It provides them with a significant role, and thus power, as the savers of the faith.  This preaching gives them a crucial place in the wider Indonesian Islamic community, while at the same time still placing tradition at the center of their discourse.  In addition, this form of informal education leads women to better understand Islamic doctrines surrounding them and their lives, which they can then take home and apply in their own communities.</w:t>
      </w:r>
    </w:p>
    <w:p w14:paraId="34460545" w14:textId="77777777" w:rsidR="00A25790" w:rsidRDefault="00A25790" w:rsidP="00A25790">
      <w:pPr>
        <w:spacing w:line="480" w:lineRule="auto"/>
        <w:ind w:firstLine="720"/>
        <w:rPr>
          <w:rFonts w:ascii="Times New Roman" w:hAnsi="Times New Roman"/>
        </w:rPr>
      </w:pPr>
      <w:r>
        <w:rPr>
          <w:rFonts w:ascii="Times New Roman" w:hAnsi="Times New Roman"/>
        </w:rPr>
        <w:t>In terms of formal education, Aisyiyah provides structured women’s programs from preschool all the way through the university level.  This goes along with Aisyiyah’s goal of making all of life a learning experience.  Each chapter of Aisyiyah has its own preschool, where women’s empowerment is taught from a young age.  For example, one interesting common practice in these preschools is that there is no separation between the genders, as might be seen in other Islamic schools.  Gender segregation, according to them, is not the best way to teach their organizational ideals to the youngest generation.</w:t>
      </w:r>
      <w:r>
        <w:rPr>
          <w:rStyle w:val="FootnoteReference"/>
          <w:rFonts w:ascii="Times New Roman" w:hAnsi="Times New Roman"/>
        </w:rPr>
        <w:footnoteReference w:id="18"/>
      </w:r>
      <w:r>
        <w:rPr>
          <w:rFonts w:ascii="Times New Roman" w:hAnsi="Times New Roman"/>
        </w:rPr>
        <w:t xml:space="preserve">  However, at the university level, they have started to open all-female dorms in an effort to gain new members.  The girls in these dorms learn and practice Aisyiyah and Muhammadiyah principles in addition to their regular studies.</w:t>
      </w:r>
      <w:r>
        <w:rPr>
          <w:rStyle w:val="FootnoteReference"/>
          <w:rFonts w:ascii="Times New Roman" w:hAnsi="Times New Roman"/>
        </w:rPr>
        <w:footnoteReference w:id="19"/>
      </w:r>
      <w:r>
        <w:rPr>
          <w:rFonts w:ascii="Times New Roman" w:hAnsi="Times New Roman"/>
        </w:rPr>
        <w:t xml:space="preserve">  Through these programs, Aisyiyah women are taught from a young age about Aisyiyah’s ideas of women’s empowerment and then are well prepared to become advocates for Aisyiyah by the time they finish school as adults.  This combination of informal and formal training is a very competent way of investing resources with the intent of enacting future change.</w:t>
      </w:r>
    </w:p>
    <w:p w14:paraId="7D44F251" w14:textId="77777777" w:rsidR="00A25790" w:rsidRDefault="00A25790" w:rsidP="00A25790">
      <w:pPr>
        <w:spacing w:line="480" w:lineRule="auto"/>
        <w:ind w:firstLine="720"/>
        <w:rPr>
          <w:rFonts w:ascii="Times New Roman" w:hAnsi="Times New Roman"/>
        </w:rPr>
      </w:pPr>
      <w:r>
        <w:rPr>
          <w:rFonts w:ascii="Times New Roman" w:hAnsi="Times New Roman"/>
        </w:rPr>
        <w:t xml:space="preserve">Fatayat, on the other hand, focuses more of its resources on formal education.  This is not to say that Fatayat completely ignores informal programs.  It still frequently holds less-formal </w:t>
      </w:r>
      <w:r>
        <w:rPr>
          <w:rFonts w:ascii="Times New Roman" w:hAnsi="Times New Roman"/>
        </w:rPr>
        <w:lastRenderedPageBreak/>
        <w:t>seminars such as the symposium on female circumcision discussed by Rinaldo in her article referenced earlier. However, NU and Fatayat are better known for their system of formal education.  Specifically, they operate Indonesia’s largest network of pesantren, Islamic boarding schools intended to provide education with an Islamic perspective, similar to Madrassas in the Middle East.  In most NU Pesantren, gender issues are given special attention, in order to inculcate a unique sense of self among each individual student.</w:t>
      </w:r>
      <w:r>
        <w:rPr>
          <w:rStyle w:val="FootnoteReference"/>
          <w:rFonts w:ascii="Times New Roman" w:hAnsi="Times New Roman"/>
        </w:rPr>
        <w:footnoteReference w:id="20"/>
      </w:r>
      <w:r>
        <w:rPr>
          <w:rFonts w:ascii="Times New Roman" w:hAnsi="Times New Roman"/>
        </w:rPr>
        <w:t xml:space="preserve">  Women have increasingly utilized this type of education to investigate women’s issues and advocate for women’s empowerment.  For example, at the Al-Muayyad Windan Pesantren in Laweyan, the Centre for Women’s Studies (CWS) serves to help students reinterpret Islamic texts in a gender-equal way and then implement this interpretation throughout their entire pesantren and country.</w:t>
      </w:r>
      <w:r>
        <w:rPr>
          <w:rStyle w:val="FootnoteReference"/>
          <w:rFonts w:ascii="Times New Roman" w:hAnsi="Times New Roman"/>
        </w:rPr>
        <w:footnoteReference w:id="21"/>
      </w:r>
      <w:r>
        <w:rPr>
          <w:rFonts w:ascii="Times New Roman" w:hAnsi="Times New Roman"/>
        </w:rPr>
        <w:t xml:space="preserve">  </w:t>
      </w:r>
    </w:p>
    <w:p w14:paraId="59110DDA" w14:textId="77777777" w:rsidR="00A25790" w:rsidRDefault="00A25790" w:rsidP="00A25790">
      <w:pPr>
        <w:spacing w:line="480" w:lineRule="auto"/>
        <w:ind w:firstLine="720"/>
        <w:rPr>
          <w:rFonts w:ascii="Times New Roman" w:hAnsi="Times New Roman"/>
        </w:rPr>
      </w:pPr>
      <w:r>
        <w:rPr>
          <w:rFonts w:ascii="Times New Roman" w:hAnsi="Times New Roman"/>
        </w:rPr>
        <w:t>Institutions like CWS are critical and very effective at both providing the necessary knowledge to advocates so they can fight against entrenched inequality, and providing respectability and authority because of the standing Pesantren hold in Indonesia.  Pesantren have existed within Indonesian society for generations, however pinpointing an exact period when they started is hard to do.  One thing that’s clear is that a system of pesantren was established by NU before Fatayat was founded.  This provided an advantage to Fatayat because it gave them a very effective system of education from the very beginning that they could then co-opt for their own goals.</w:t>
      </w:r>
    </w:p>
    <w:p w14:paraId="7E4D4AEB" w14:textId="77777777" w:rsidR="00A25790" w:rsidRDefault="00A25790" w:rsidP="00A25790">
      <w:pPr>
        <w:spacing w:line="480" w:lineRule="auto"/>
        <w:ind w:firstLine="720"/>
        <w:rPr>
          <w:rFonts w:ascii="Times New Roman" w:eastAsia="Times New Roman" w:hAnsi="Times New Roman" w:cs="Times New Roman"/>
        </w:rPr>
      </w:pPr>
      <w:r>
        <w:rPr>
          <w:rFonts w:ascii="Times New Roman" w:hAnsi="Times New Roman"/>
        </w:rPr>
        <w:t xml:space="preserve">While both Aisyiyah and Fatayat very effectively utilize educational systems to their advantage, they also share a key obstacle.  Their systems are both so large and decentralized that it is very easy </w:t>
      </w:r>
      <w:r>
        <w:rPr>
          <w:rFonts w:ascii="Times New Roman" w:eastAsia="Times New Roman" w:hAnsi="Times New Roman" w:cs="Times New Roman"/>
        </w:rPr>
        <w:t>for individual activists or male Islamic Scholars (</w:t>
      </w:r>
      <w:r w:rsidRPr="008C3F46">
        <w:rPr>
          <w:rFonts w:ascii="Times New Roman" w:eastAsia="Times New Roman" w:hAnsi="Times New Roman" w:cs="Times New Roman"/>
          <w:i/>
        </w:rPr>
        <w:t>Kyai</w:t>
      </w:r>
      <w:r>
        <w:rPr>
          <w:rFonts w:ascii="Times New Roman" w:eastAsia="Times New Roman" w:hAnsi="Times New Roman" w:cs="Times New Roman"/>
        </w:rPr>
        <w:t xml:space="preserve">) to go off-message, </w:t>
      </w:r>
      <w:r>
        <w:rPr>
          <w:rFonts w:ascii="Times New Roman" w:eastAsia="Times New Roman" w:hAnsi="Times New Roman" w:cs="Times New Roman"/>
        </w:rPr>
        <w:lastRenderedPageBreak/>
        <w:t>sometimes to devastating effects.  Alexander Arifianto describes this in his 2017 article about attacks on Indonesian minority groups by NU:  “</w:t>
      </w:r>
      <w:r w:rsidRPr="005A2862">
        <w:rPr>
          <w:rFonts w:ascii="Times New Roman" w:eastAsia="Times New Roman" w:hAnsi="Times New Roman" w:cs="Times New Roman"/>
        </w:rPr>
        <w:t>Whether they are caused by theolog</w:t>
      </w:r>
      <w:r>
        <w:rPr>
          <w:rFonts w:ascii="Times New Roman" w:eastAsia="Times New Roman" w:hAnsi="Times New Roman" w:cs="Times New Roman"/>
        </w:rPr>
        <w:t xml:space="preserve">ical, material, or geopolitical </w:t>
      </w:r>
      <w:r w:rsidRPr="005A2862">
        <w:rPr>
          <w:rFonts w:ascii="Times New Roman" w:eastAsia="Times New Roman" w:hAnsi="Times New Roman" w:cs="Times New Roman"/>
        </w:rPr>
        <w:t xml:space="preserve">reasons, </w:t>
      </w:r>
      <w:r>
        <w:rPr>
          <w:rFonts w:ascii="Times New Roman" w:eastAsia="Times New Roman" w:hAnsi="Times New Roman" w:cs="Times New Roman"/>
        </w:rPr>
        <w:t xml:space="preserve">local NU </w:t>
      </w:r>
      <w:r w:rsidRPr="005A2862">
        <w:rPr>
          <w:rFonts w:ascii="Times New Roman" w:eastAsia="Times New Roman" w:hAnsi="Times New Roman" w:cs="Times New Roman"/>
        </w:rPr>
        <w:t>members often perpetrated violent actions and</w:t>
      </w:r>
      <w:r>
        <w:rPr>
          <w:rFonts w:ascii="Times New Roman" w:eastAsia="Times New Roman" w:hAnsi="Times New Roman" w:cs="Times New Roman"/>
        </w:rPr>
        <w:t xml:space="preserve"> </w:t>
      </w:r>
      <w:r w:rsidRPr="005A2862">
        <w:rPr>
          <w:rFonts w:ascii="Times New Roman" w:eastAsia="Times New Roman" w:hAnsi="Times New Roman" w:cs="Times New Roman"/>
        </w:rPr>
        <w:t>persecu</w:t>
      </w:r>
      <w:r>
        <w:rPr>
          <w:rFonts w:ascii="Times New Roman" w:eastAsia="Times New Roman" w:hAnsi="Times New Roman" w:cs="Times New Roman"/>
        </w:rPr>
        <w:t xml:space="preserve">tions against Ahmadi and Shiite </w:t>
      </w:r>
      <w:r w:rsidRPr="005A2862">
        <w:rPr>
          <w:rFonts w:ascii="Times New Roman" w:eastAsia="Times New Roman" w:hAnsi="Times New Roman" w:cs="Times New Roman"/>
        </w:rPr>
        <w:t>communities</w:t>
      </w:r>
      <w:r>
        <w:rPr>
          <w:rFonts w:ascii="Times New Roman" w:eastAsia="Times New Roman" w:hAnsi="Times New Roman" w:cs="Times New Roman"/>
        </w:rPr>
        <w:t xml:space="preserve"> … </w:t>
      </w:r>
      <w:r w:rsidRPr="005A2862">
        <w:rPr>
          <w:rFonts w:ascii="Times New Roman" w:eastAsia="Times New Roman" w:hAnsi="Times New Roman" w:cs="Times New Roman"/>
        </w:rPr>
        <w:t>As shown</w:t>
      </w:r>
      <w:r>
        <w:rPr>
          <w:rFonts w:ascii="Times New Roman" w:eastAsia="Times New Roman" w:hAnsi="Times New Roman" w:cs="Times New Roman"/>
        </w:rPr>
        <w:t xml:space="preserve"> </w:t>
      </w:r>
      <w:r w:rsidRPr="005A2862">
        <w:rPr>
          <w:rFonts w:ascii="Times New Roman" w:eastAsia="Times New Roman" w:hAnsi="Times New Roman" w:cs="Times New Roman"/>
        </w:rPr>
        <w:t>above, these action were often done in defiance of the NU national</w:t>
      </w:r>
      <w:r>
        <w:rPr>
          <w:rFonts w:ascii="Times New Roman" w:eastAsia="Times New Roman" w:hAnsi="Times New Roman" w:cs="Times New Roman"/>
        </w:rPr>
        <w:t xml:space="preserve"> </w:t>
      </w:r>
      <w:r w:rsidRPr="005A2862">
        <w:rPr>
          <w:rFonts w:ascii="Times New Roman" w:eastAsia="Times New Roman" w:hAnsi="Times New Roman" w:cs="Times New Roman"/>
        </w:rPr>
        <w:t>lea</w:t>
      </w:r>
      <w:r>
        <w:rPr>
          <w:rFonts w:ascii="Times New Roman" w:eastAsia="Times New Roman" w:hAnsi="Times New Roman" w:cs="Times New Roman"/>
        </w:rPr>
        <w:t>dership …”</w:t>
      </w:r>
      <w:r>
        <w:rPr>
          <w:rStyle w:val="FootnoteReference"/>
          <w:rFonts w:ascii="Times New Roman" w:eastAsia="Times New Roman" w:hAnsi="Times New Roman" w:cs="Times New Roman"/>
        </w:rPr>
        <w:footnoteReference w:id="22"/>
      </w:r>
      <w:r>
        <w:rPr>
          <w:rFonts w:ascii="Times New Roman" w:eastAsia="Times New Roman" w:hAnsi="Times New Roman" w:cs="Times New Roman"/>
        </w:rPr>
        <w:t xml:space="preserve">  In addition, Aisyiyah has shown that sometimes male leaders at its grassroots level are not such unequivocal supporters of women’s empowerment as it might seem.  For example, during the 45</w:t>
      </w:r>
      <w:r w:rsidRPr="004F37AE">
        <w:rPr>
          <w:rFonts w:ascii="Times New Roman" w:eastAsia="Times New Roman" w:hAnsi="Times New Roman" w:cs="Times New Roman"/>
          <w:vertAlign w:val="superscript"/>
        </w:rPr>
        <w:t>th</w:t>
      </w:r>
      <w:r>
        <w:rPr>
          <w:rFonts w:ascii="Times New Roman" w:eastAsia="Times New Roman" w:hAnsi="Times New Roman" w:cs="Times New Roman"/>
        </w:rPr>
        <w:t xml:space="preserve"> annual Muktamar (a large meeting of Muhammadiyah leaders from all branches) in 2005, not a single woman was elected to the 13-member governing body, despite vigorous lobbying from Aisyiyah.</w:t>
      </w:r>
      <w:r>
        <w:rPr>
          <w:rStyle w:val="FootnoteReference"/>
          <w:rFonts w:ascii="Times New Roman" w:eastAsia="Times New Roman" w:hAnsi="Times New Roman" w:cs="Times New Roman"/>
        </w:rPr>
        <w:footnoteReference w:id="23"/>
      </w:r>
      <w:r>
        <w:rPr>
          <w:rFonts w:ascii="Times New Roman" w:eastAsia="Times New Roman" w:hAnsi="Times New Roman" w:cs="Times New Roman"/>
        </w:rPr>
        <w:t xml:space="preserve">  </w:t>
      </w:r>
    </w:p>
    <w:p w14:paraId="76401AB2" w14:textId="77777777" w:rsidR="00A25790" w:rsidRPr="009B7718" w:rsidRDefault="00A25790" w:rsidP="00A2579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This is a very important drawback for organizations as large as Fatayat and Aisyiyah.  In order to reach the most people, they have chosen to decentralize their organizational structure and focus on organizing at a grassroots level.  However, while this can be effective in creating practical change in the field, it can be unwieldy. The decentralization makes it easy for an individual leader to defy the goals of the larger organization to do what he or she personally believes is right.</w:t>
      </w:r>
    </w:p>
    <w:p w14:paraId="144D0C4A"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EDUCATIONAL FOCUSES</w:t>
      </w:r>
    </w:p>
    <w:p w14:paraId="6ADD1C77"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Despite the above drawback, both Aisyiyah and Fatayat have experienced success in educating women and thus empowering them to be activists for even greater gender equality.  In recent times, the two organizations have diverged in terms of educational focus.  This has affected the women they serve and the messages they then take to their communities.  Aisyiyah, for example, has internalized the “harmonious family” model and expanded on it to include </w:t>
      </w:r>
      <w:r>
        <w:rPr>
          <w:rFonts w:ascii="Times New Roman" w:eastAsia="Times New Roman" w:hAnsi="Times New Roman" w:cs="Times New Roman"/>
        </w:rPr>
        <w:lastRenderedPageBreak/>
        <w:t>education about women’s health.  This development followed on the tails of increased consciousness about women’s issues with the adoption of UN women’s rights guidelines in the late 1980’s and the start of the Reformation period in the late 1990’s.</w:t>
      </w:r>
      <w:r>
        <w:rPr>
          <w:rStyle w:val="FootnoteReference"/>
          <w:rFonts w:ascii="Times New Roman" w:eastAsia="Times New Roman" w:hAnsi="Times New Roman" w:cs="Times New Roman"/>
        </w:rPr>
        <w:footnoteReference w:id="24"/>
      </w:r>
      <w:r>
        <w:rPr>
          <w:rFonts w:ascii="Times New Roman" w:eastAsia="Times New Roman" w:hAnsi="Times New Roman" w:cs="Times New Roman"/>
        </w:rPr>
        <w:t xml:space="preserve">  A perfect example of this is explained in an article published by the journal </w:t>
      </w:r>
      <w:r>
        <w:rPr>
          <w:rFonts w:ascii="Times New Roman" w:eastAsia="Times New Roman" w:hAnsi="Times New Roman" w:cs="Times New Roman"/>
          <w:i/>
        </w:rPr>
        <w:t>Public Health Matters</w:t>
      </w:r>
      <w:r>
        <w:rPr>
          <w:rFonts w:ascii="Times New Roman" w:eastAsia="Times New Roman" w:hAnsi="Times New Roman" w:cs="Times New Roman"/>
        </w:rPr>
        <w:t xml:space="preserve">.  In the article, about Muhammadiyah’s involvement in the private health sector, the authors write: </w:t>
      </w:r>
    </w:p>
    <w:p w14:paraId="3F99FA2A" w14:textId="77777777" w:rsidR="00A25790" w:rsidRDefault="00A25790" w:rsidP="00A25790">
      <w:pPr>
        <w:ind w:left="720" w:right="720"/>
        <w:rPr>
          <w:rFonts w:ascii="Times New Roman" w:eastAsia="Times New Roman" w:hAnsi="Times New Roman" w:cs="Times New Roman"/>
        </w:rPr>
      </w:pPr>
      <w:r w:rsidRPr="00763211">
        <w:rPr>
          <w:rFonts w:ascii="Times New Roman" w:eastAsia="Times New Roman" w:hAnsi="Times New Roman" w:cs="Times New Roman"/>
        </w:rPr>
        <w:t>Aisyiyah also plays a pivotal role in many government and donor-supported, reproductive health outreach programs, through mobilization of its women members. Most renown is their contribution to the promotion of family planning … presenting contraception as instrumental for family health and thus the realization of the i</w:t>
      </w:r>
      <w:r>
        <w:rPr>
          <w:rFonts w:ascii="Times New Roman" w:eastAsia="Times New Roman" w:hAnsi="Times New Roman" w:cs="Times New Roman"/>
        </w:rPr>
        <w:t>deal Muslim family and society.</w:t>
      </w:r>
      <w:r>
        <w:rPr>
          <w:rStyle w:val="FootnoteReference"/>
          <w:rFonts w:ascii="Times New Roman" w:eastAsia="Times New Roman" w:hAnsi="Times New Roman" w:cs="Times New Roman"/>
        </w:rPr>
        <w:footnoteReference w:id="25"/>
      </w:r>
    </w:p>
    <w:p w14:paraId="111EFDB2" w14:textId="77777777" w:rsidR="00A25790" w:rsidRDefault="00A25790" w:rsidP="00A25790">
      <w:pPr>
        <w:ind w:left="720"/>
        <w:rPr>
          <w:rFonts w:ascii="Times New Roman" w:eastAsia="Times New Roman" w:hAnsi="Times New Roman" w:cs="Times New Roman"/>
        </w:rPr>
      </w:pPr>
    </w:p>
    <w:p w14:paraId="6CF7405F" w14:textId="77777777" w:rsidR="00A25790" w:rsidRDefault="00A25790" w:rsidP="00A2579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This is a very interesting development for an organization that technically does not support abortion.  It would seem that Aisyiyah has taken Muhammadiyah’s focus on the harmonious family and then added family planning measures such as contraception as a way to achieve this perfect unit.  By educating women about these options, and by operating a significant network of clinics and hospitals, Aisyiyah increases the number of options women have within their own relationships while remaining within the framework of its organization.  In addition, this focus on healthcare and reproductive education gives Aisyiyah women a more holistic education, one that includes not only advanced knowledge about Islamic scriptures and fiqh, but also knowledge about anatomy and modern medicine that could be useful to them in the field.</w:t>
      </w:r>
    </w:p>
    <w:p w14:paraId="646D6AE1" w14:textId="77777777" w:rsidR="00A25790" w:rsidRDefault="00A25790" w:rsidP="00A2579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Fatayat also pays attention to issues of women’s health, but it often does so from an activist’s point of view, focusing less on actually providing care and more on providing </w:t>
      </w:r>
      <w:r>
        <w:rPr>
          <w:rFonts w:ascii="Times New Roman" w:eastAsia="Times New Roman" w:hAnsi="Times New Roman" w:cs="Times New Roman"/>
        </w:rPr>
        <w:lastRenderedPageBreak/>
        <w:t>information and arguing for progressive stances on issues often involving women’s health.  Importantly, many of these issues are also at the convergence of Islamic tradition, local Indonesian practice, and women’s empowerment.  For example, Fatayat has taken a firm stance against the practice of polygamy because, in the view of the organization, it increases risk of child abuse, domestic violence, inter-family tension, and also symbolizes women’s inequality with men.</w:t>
      </w:r>
      <w:r>
        <w:rPr>
          <w:rStyle w:val="FootnoteReference"/>
          <w:rFonts w:ascii="Times New Roman" w:eastAsia="Times New Roman" w:hAnsi="Times New Roman" w:cs="Times New Roman"/>
        </w:rPr>
        <w:footnoteReference w:id="26"/>
      </w:r>
      <w:r>
        <w:rPr>
          <w:rFonts w:ascii="Times New Roman" w:eastAsia="Times New Roman" w:hAnsi="Times New Roman" w:cs="Times New Roman"/>
        </w:rPr>
        <w:t xml:space="preserve">  Many prominent Fatayat leaders also look to examples from the Quran, Sunnah, and fiqh to support these arguments.  For example, they argue that one verse often used to condone polygamy, which states that men can marry up to four wives (Quran 4.3), must be read in context with the next verse, which discourages the practice if a man cannot be “equitable” to all of his wives.</w:t>
      </w:r>
      <w:r>
        <w:rPr>
          <w:rStyle w:val="FootnoteReference"/>
          <w:rFonts w:ascii="Times New Roman" w:eastAsia="Times New Roman" w:hAnsi="Times New Roman" w:cs="Times New Roman"/>
        </w:rPr>
        <w:footnoteReference w:id="27"/>
      </w:r>
      <w:r>
        <w:rPr>
          <w:rFonts w:ascii="Times New Roman" w:eastAsia="Times New Roman" w:hAnsi="Times New Roman" w:cs="Times New Roman"/>
        </w:rPr>
        <w:t xml:space="preserve">  </w:t>
      </w:r>
    </w:p>
    <w:p w14:paraId="54AA2901" w14:textId="77777777" w:rsidR="00A25790" w:rsidRPr="000D0BED" w:rsidRDefault="00A25790" w:rsidP="00A2579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This illustrates how effective Fatayat is at weaving together arguments from within Islamic scripture in order to combat problems that are often times supported by these very same Islamic sources, as well as generations of Indonesian indigenous practice.  It focuses on utilizing interpretive skills, often the same ones taught in their Pesantren, to argue for women’s equality, and also disseminate these arguments to other women, so they can then utilize them as well.</w:t>
      </w:r>
    </w:p>
    <w:p w14:paraId="1EF40174"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CONCLUSION</w:t>
      </w:r>
    </w:p>
    <w:p w14:paraId="11E87CCF"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In comparing the strategies and perspectives utilized by Aisyiyah and Fatayat NU to achieve women’s empowerment, especially regarding women’s education, Fatayat seems to edge out Aisyiyah as an organization better equipped to tackle this progressive agenda.  First, Fatayat’s traditionalist perspective gives it more freedom in regards to the sources it can utilize for its arguments and more flexibility in the alliances it can form with other organizations.  In </w:t>
      </w:r>
      <w:r>
        <w:rPr>
          <w:rFonts w:ascii="Times New Roman" w:eastAsia="Times New Roman" w:hAnsi="Times New Roman" w:cs="Times New Roman"/>
        </w:rPr>
        <w:lastRenderedPageBreak/>
        <w:t xml:space="preserve">contrast, Aisyiyah seems to be bogged down in some ways by its adherence to an Islamic Reformist framework that requires a significant amount of ideological gymnastics in order to justify progressive action.  </w:t>
      </w:r>
    </w:p>
    <w:p w14:paraId="1F08D77C" w14:textId="77777777" w:rsidR="00A25790" w:rsidRDefault="00A25790" w:rsidP="00A2579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In its use of Ijtihad, Fatayat again seems superior to Aisyiyah for very similar reasons.  Aisyiyah’s adherence to Muhammadiyah’s somewhat restrictive rules regarding the roles of women require that Aisyiyah utilize Ijtihad in order to not only advocate for its agenda of women’s empowerment, but also stay within Muhammadiyah guidelines.  Fatayat, on the other hand, utilizes NU’s much more flexible contextualist approach to Ijtihad to more easily argue for women’s empowerment and education.</w:t>
      </w:r>
    </w:p>
    <w:p w14:paraId="313F720F"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At the same time, when analyzing Aisyiyah and Fatayat educational systems from a structural point of view, the two seem more evenly matched.  Fatayat holds an advantage in terms of formal education.  It has easy access to a vast network of Pesantren through which it can educate scores of women who can then advocate for Fatayat’s agenda.  Additional educational resources are available through NU’s even larger system.  However, Aisyiyah has an edge over Fatayat in terms of informal education systems.  Aisyiyah is very effective at training preachers to go out into communities and hold informal sessions that provide crucial information to women who might not otherwise receive it.  In addition, both organizations share the same weakness in that their decentralized nature can sometimes work against them.  Both their systems place much faith in individual school leaders or Kyai, and sometimes these individuals can stray from the goals for which each organization strives.</w:t>
      </w:r>
    </w:p>
    <w:p w14:paraId="6A078443"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educational focus of each organization reflects both the strengths and weaknesses discussed above.  Aisyiyah’s focus on the Harmonious Family has led it to embrace women’s health as a key issue around which they have formed a very effective system of education and </w:t>
      </w:r>
      <w:r>
        <w:rPr>
          <w:rFonts w:ascii="Times New Roman" w:eastAsia="Times New Roman" w:hAnsi="Times New Roman" w:cs="Times New Roman"/>
        </w:rPr>
        <w:lastRenderedPageBreak/>
        <w:t>care.  The hospitals it operates serve as learning grounds for women as well as medical centers where they can receive care.  Fatayat’s more erudite nature has expressed itself in the effectiveness of its social advocacy and its ability to reinterpret Islamic texts in a way that promotes women’s empowerment and equality.</w:t>
      </w:r>
    </w:p>
    <w:p w14:paraId="3D69DDE0" w14:textId="77777777" w:rsidR="00A25790" w:rsidRDefault="00A25790" w:rsidP="00A25790">
      <w:pPr>
        <w:spacing w:line="480" w:lineRule="auto"/>
        <w:rPr>
          <w:rFonts w:ascii="Times New Roman" w:eastAsia="Times New Roman" w:hAnsi="Times New Roman" w:cs="Times New Roman"/>
        </w:rPr>
      </w:pPr>
      <w:r>
        <w:rPr>
          <w:rFonts w:ascii="Times New Roman" w:eastAsia="Times New Roman" w:hAnsi="Times New Roman" w:cs="Times New Roman"/>
        </w:rPr>
        <w:tab/>
        <w:t>Regardless of which organization is the most effective, one thing that is clear is the work done by Aisyiyah and Muhammadiyah provides a very interesting illustration of the discourse between religion and social justice movements.  They prove that these two very potent social influences are not necessarily separate movements on parallel paths through history, but instead two forces inextricably linked together, each one at times challenging or supporting the other.  Any organization able to straddle both of these currents within society is indeed very special.  Such an organization, as this paper discusses, has the potential to enact massive social change, either for good or ill.  Hopefully, with further study, trial, and error, these organizations can be better understood, utilized and adapted to the best possible outcome for humanity.</w:t>
      </w:r>
    </w:p>
    <w:p w14:paraId="39F949B3" w14:textId="77777777" w:rsidR="005E7B57" w:rsidRDefault="005E7B57" w:rsidP="005E7B57">
      <w:pPr>
        <w:spacing w:line="480" w:lineRule="auto"/>
        <w:rPr>
          <w:rFonts w:ascii="Times New Roman" w:eastAsia="Times New Roman" w:hAnsi="Times New Roman" w:cs="Times New Roman"/>
        </w:rPr>
      </w:pPr>
    </w:p>
    <w:p w14:paraId="2B8D3743" w14:textId="77777777" w:rsidR="005E7B57" w:rsidRDefault="005E7B57" w:rsidP="005E7B57">
      <w:pPr>
        <w:spacing w:line="480" w:lineRule="auto"/>
        <w:rPr>
          <w:rFonts w:ascii="Times New Roman" w:eastAsia="Times New Roman" w:hAnsi="Times New Roman" w:cs="Times New Roman"/>
        </w:rPr>
      </w:pPr>
    </w:p>
    <w:p w14:paraId="638DDA02" w14:textId="77777777" w:rsidR="005E7B57" w:rsidRDefault="005E7B57" w:rsidP="005E7B57">
      <w:pPr>
        <w:spacing w:line="480" w:lineRule="auto"/>
        <w:rPr>
          <w:rFonts w:ascii="Times New Roman" w:eastAsia="Times New Roman" w:hAnsi="Times New Roman" w:cs="Times New Roman"/>
        </w:rPr>
      </w:pPr>
    </w:p>
    <w:p w14:paraId="53F1624E" w14:textId="77777777" w:rsidR="005E7B57" w:rsidRDefault="005E7B57" w:rsidP="005E7B57">
      <w:pPr>
        <w:spacing w:line="480" w:lineRule="auto"/>
        <w:rPr>
          <w:rFonts w:ascii="Times New Roman" w:eastAsia="Times New Roman" w:hAnsi="Times New Roman" w:cs="Times New Roman"/>
        </w:rPr>
      </w:pPr>
    </w:p>
    <w:p w14:paraId="1DE81938" w14:textId="77777777" w:rsidR="005E7B57" w:rsidRDefault="005E7B57" w:rsidP="005E7B57">
      <w:pPr>
        <w:spacing w:line="480" w:lineRule="auto"/>
        <w:rPr>
          <w:rFonts w:ascii="Times New Roman" w:eastAsia="Times New Roman" w:hAnsi="Times New Roman" w:cs="Times New Roman"/>
        </w:rPr>
      </w:pPr>
    </w:p>
    <w:p w14:paraId="1CBCC86A" w14:textId="77777777" w:rsidR="004C52D2" w:rsidRDefault="004C52D2" w:rsidP="005E7B57">
      <w:pPr>
        <w:contextualSpacing/>
        <w:jc w:val="center"/>
        <w:rPr>
          <w:rFonts w:ascii="Times New Roman" w:eastAsia="Times New Roman" w:hAnsi="Times New Roman" w:cs="Times New Roman"/>
        </w:rPr>
      </w:pPr>
    </w:p>
    <w:p w14:paraId="5D9BDB4D" w14:textId="77777777" w:rsidR="004C52D2" w:rsidRDefault="004C52D2" w:rsidP="005E7B57">
      <w:pPr>
        <w:contextualSpacing/>
        <w:jc w:val="center"/>
        <w:rPr>
          <w:rFonts w:ascii="Times New Roman" w:eastAsia="Times New Roman" w:hAnsi="Times New Roman" w:cs="Times New Roman"/>
        </w:rPr>
      </w:pPr>
    </w:p>
    <w:p w14:paraId="06B0E846" w14:textId="77777777" w:rsidR="004C52D2" w:rsidRDefault="004C52D2" w:rsidP="005E7B57">
      <w:pPr>
        <w:contextualSpacing/>
        <w:jc w:val="center"/>
        <w:rPr>
          <w:rFonts w:ascii="Times New Roman" w:eastAsia="Times New Roman" w:hAnsi="Times New Roman" w:cs="Times New Roman"/>
        </w:rPr>
      </w:pPr>
    </w:p>
    <w:p w14:paraId="5709F80A" w14:textId="77777777" w:rsidR="004C52D2" w:rsidRDefault="004C52D2" w:rsidP="005E7B57">
      <w:pPr>
        <w:contextualSpacing/>
        <w:jc w:val="center"/>
        <w:rPr>
          <w:rFonts w:ascii="Times New Roman" w:eastAsia="Times New Roman" w:hAnsi="Times New Roman" w:cs="Times New Roman"/>
        </w:rPr>
      </w:pPr>
    </w:p>
    <w:p w14:paraId="4D936851" w14:textId="77777777" w:rsidR="004C52D2" w:rsidRDefault="004C52D2" w:rsidP="005E7B57">
      <w:pPr>
        <w:contextualSpacing/>
        <w:jc w:val="center"/>
        <w:rPr>
          <w:rFonts w:ascii="Times New Roman" w:eastAsia="Times New Roman" w:hAnsi="Times New Roman" w:cs="Times New Roman"/>
        </w:rPr>
      </w:pPr>
    </w:p>
    <w:p w14:paraId="7C0CE115" w14:textId="77777777" w:rsidR="004C52D2" w:rsidRDefault="004C52D2" w:rsidP="005E7B57">
      <w:pPr>
        <w:contextualSpacing/>
        <w:jc w:val="center"/>
        <w:rPr>
          <w:rFonts w:ascii="Times New Roman" w:eastAsia="Times New Roman" w:hAnsi="Times New Roman" w:cs="Times New Roman"/>
        </w:rPr>
      </w:pPr>
    </w:p>
    <w:p w14:paraId="192A0083" w14:textId="77777777" w:rsidR="004C52D2" w:rsidRDefault="004C52D2" w:rsidP="005E7B57">
      <w:pPr>
        <w:contextualSpacing/>
        <w:jc w:val="center"/>
        <w:rPr>
          <w:rFonts w:ascii="Times New Roman" w:eastAsia="Times New Roman" w:hAnsi="Times New Roman" w:cs="Times New Roman"/>
        </w:rPr>
      </w:pPr>
    </w:p>
    <w:p w14:paraId="09883AC5" w14:textId="77777777" w:rsidR="004C52D2" w:rsidRDefault="004C52D2" w:rsidP="005E7B57">
      <w:pPr>
        <w:contextualSpacing/>
        <w:jc w:val="center"/>
        <w:rPr>
          <w:rFonts w:ascii="Times New Roman" w:eastAsia="Times New Roman" w:hAnsi="Times New Roman" w:cs="Times New Roman"/>
        </w:rPr>
      </w:pPr>
    </w:p>
    <w:p w14:paraId="12BF7561" w14:textId="77777777" w:rsidR="004C52D2" w:rsidRDefault="004C52D2" w:rsidP="005E7B57">
      <w:pPr>
        <w:contextualSpacing/>
        <w:jc w:val="center"/>
        <w:rPr>
          <w:rFonts w:ascii="Times New Roman" w:eastAsia="Times New Roman" w:hAnsi="Times New Roman" w:cs="Times New Roman"/>
        </w:rPr>
      </w:pPr>
    </w:p>
    <w:p w14:paraId="5B2A6CD7" w14:textId="77777777" w:rsidR="004C52D2" w:rsidRDefault="004C52D2" w:rsidP="005E7B57">
      <w:pPr>
        <w:contextualSpacing/>
        <w:jc w:val="center"/>
        <w:rPr>
          <w:rFonts w:ascii="Times New Roman" w:eastAsia="Times New Roman" w:hAnsi="Times New Roman" w:cs="Times New Roman"/>
        </w:rPr>
      </w:pPr>
    </w:p>
    <w:p w14:paraId="6C1C3A4E" w14:textId="5606BA6B" w:rsidR="005E7B57" w:rsidRPr="009D3BB9" w:rsidRDefault="005E7B57" w:rsidP="005E7B57">
      <w:pPr>
        <w:contextualSpacing/>
        <w:jc w:val="center"/>
        <w:rPr>
          <w:rFonts w:ascii="Times New Roman" w:eastAsia="Times New Roman" w:hAnsi="Times New Roman" w:cs="Times New Roman"/>
        </w:rPr>
      </w:pPr>
      <w:r w:rsidRPr="009D3BB9">
        <w:rPr>
          <w:rFonts w:ascii="Times New Roman" w:eastAsia="Times New Roman" w:hAnsi="Times New Roman" w:cs="Times New Roman"/>
        </w:rPr>
        <w:lastRenderedPageBreak/>
        <w:t>Bibliography</w:t>
      </w:r>
    </w:p>
    <w:p w14:paraId="11F5AEAF"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i/>
          <w:iCs/>
        </w:rPr>
        <w:t>Gende</w:t>
      </w:r>
      <w:r>
        <w:rPr>
          <w:rFonts w:ascii="Times New Roman" w:hAnsi="Times New Roman" w:cs="Times New Roman"/>
          <w:i/>
          <w:iCs/>
        </w:rPr>
        <w:t>r and power in Indonesian Islam</w:t>
      </w:r>
      <w:r w:rsidRPr="009D3BB9">
        <w:rPr>
          <w:rFonts w:ascii="Times New Roman" w:hAnsi="Times New Roman" w:cs="Times New Roman"/>
          <w:i/>
          <w:iCs/>
        </w:rPr>
        <w:t>: leaders, feminists, Sufis and pesantren selves.</w:t>
      </w:r>
      <w:r w:rsidRPr="009D3BB9">
        <w:rPr>
          <w:rFonts w:ascii="Times New Roman" w:hAnsi="Times New Roman" w:cs="Times New Roman"/>
        </w:rPr>
        <w:t>2013. Edited by Mark R. Woodward, Bianca J. Smith. New York: Routledge.</w:t>
      </w:r>
    </w:p>
    <w:p w14:paraId="193B3C3B"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i/>
          <w:iCs/>
        </w:rPr>
        <w:t>Islamic activism: a social movement theory approach.</w:t>
      </w:r>
      <w:r w:rsidRPr="009D3BB9">
        <w:rPr>
          <w:rFonts w:ascii="Times New Roman" w:hAnsi="Times New Roman" w:cs="Times New Roman"/>
        </w:rPr>
        <w:t>2004. Edited by Victor Wiktorowicz. Bloomington, Ind: Indiana Univ</w:t>
      </w:r>
      <w:r>
        <w:rPr>
          <w:rFonts w:ascii="Times New Roman" w:hAnsi="Times New Roman" w:cs="Times New Roman"/>
        </w:rPr>
        <w:t>ersity</w:t>
      </w:r>
      <w:r w:rsidRPr="009D3BB9">
        <w:rPr>
          <w:rFonts w:ascii="Times New Roman" w:hAnsi="Times New Roman" w:cs="Times New Roman"/>
        </w:rPr>
        <w:t xml:space="preserve"> Pr.</w:t>
      </w:r>
    </w:p>
    <w:p w14:paraId="10824FF2"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i/>
          <w:iCs/>
        </w:rPr>
        <w:t>Encyclopedia of women and Islamic cultures.</w:t>
      </w:r>
      <w:r>
        <w:rPr>
          <w:rFonts w:ascii="Times New Roman" w:hAnsi="Times New Roman" w:cs="Times New Roman"/>
          <w:i/>
          <w:iCs/>
        </w:rPr>
        <w:t xml:space="preserve"> </w:t>
      </w:r>
      <w:r w:rsidRPr="009D3BB9">
        <w:rPr>
          <w:rFonts w:ascii="Times New Roman" w:hAnsi="Times New Roman" w:cs="Times New Roman"/>
        </w:rPr>
        <w:t xml:space="preserve">2003. Edited by Suad Joseph, Afsaneh Najmabadi. </w:t>
      </w:r>
      <w:r>
        <w:rPr>
          <w:rFonts w:ascii="Times New Roman" w:hAnsi="Times New Roman" w:cs="Times New Roman"/>
        </w:rPr>
        <w:t>Leiden</w:t>
      </w:r>
      <w:r w:rsidRPr="009D3BB9">
        <w:rPr>
          <w:rFonts w:ascii="Times New Roman" w:hAnsi="Times New Roman" w:cs="Times New Roman"/>
        </w:rPr>
        <w:t>: Brill.</w:t>
      </w:r>
    </w:p>
    <w:p w14:paraId="7241A657"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Anwar, Etin. 2018. </w:t>
      </w:r>
      <w:r>
        <w:rPr>
          <w:rFonts w:ascii="Times New Roman" w:hAnsi="Times New Roman" w:cs="Times New Roman"/>
          <w:i/>
          <w:iCs/>
        </w:rPr>
        <w:t xml:space="preserve">A genealogy of Islamic feminism: pattern and change in </w:t>
      </w:r>
      <w:r w:rsidRPr="009D3BB9">
        <w:rPr>
          <w:rFonts w:ascii="Times New Roman" w:hAnsi="Times New Roman" w:cs="Times New Roman"/>
          <w:i/>
          <w:iCs/>
        </w:rPr>
        <w:t>Indonesia.</w:t>
      </w:r>
      <w:r w:rsidRPr="009D3BB9">
        <w:rPr>
          <w:rFonts w:ascii="Times New Roman" w:hAnsi="Times New Roman" w:cs="Times New Roman"/>
        </w:rPr>
        <w:t> </w:t>
      </w:r>
      <w:r>
        <w:rPr>
          <w:rFonts w:ascii="Times New Roman" w:hAnsi="Times New Roman" w:cs="Times New Roman"/>
        </w:rPr>
        <w:t>Abingdon, Oxon</w:t>
      </w:r>
      <w:r w:rsidRPr="009D3BB9">
        <w:rPr>
          <w:rFonts w:ascii="Times New Roman" w:hAnsi="Times New Roman" w:cs="Times New Roman"/>
        </w:rPr>
        <w:t>: Routledge.</w:t>
      </w:r>
    </w:p>
    <w:p w14:paraId="5B9756FB"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Arifianto, Alexander R. 2017. PRACTICING WHAT IT PREACHES? Understanding the Contradictions between Pluralist Theology and Religious Intolerance within Indonesia's Nahdlatul Ulama. </w:t>
      </w:r>
      <w:r w:rsidRPr="009D3BB9">
        <w:rPr>
          <w:rFonts w:ascii="Times New Roman" w:hAnsi="Times New Roman" w:cs="Times New Roman"/>
          <w:i/>
          <w:iCs/>
        </w:rPr>
        <w:t>Al-Jami'ah: Journal of Islamic Studies</w:t>
      </w:r>
      <w:r w:rsidRPr="009D3BB9">
        <w:rPr>
          <w:rFonts w:ascii="Times New Roman" w:hAnsi="Times New Roman" w:cs="Times New Roman"/>
        </w:rPr>
        <w:t> 55, no. 2:241-264.</w:t>
      </w:r>
    </w:p>
    <w:p w14:paraId="57F0D34B"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Arnez, Monika. 2010. Empowering women through Islam: Fatayat NU between tradition and change. </w:t>
      </w:r>
      <w:r w:rsidRPr="009D3BB9">
        <w:rPr>
          <w:rFonts w:ascii="Times New Roman" w:hAnsi="Times New Roman" w:cs="Times New Roman"/>
          <w:i/>
          <w:iCs/>
        </w:rPr>
        <w:t>Journal of Islamic studies</w:t>
      </w:r>
      <w:r w:rsidRPr="009D3BB9">
        <w:rPr>
          <w:rFonts w:ascii="Times New Roman" w:hAnsi="Times New Roman" w:cs="Times New Roman"/>
        </w:rPr>
        <w:t> 21, no. 1:59-88.</w:t>
      </w:r>
    </w:p>
    <w:p w14:paraId="4CE6C49A"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Bayat, Asef. 2005. </w:t>
      </w:r>
      <w:r>
        <w:rPr>
          <w:rFonts w:ascii="Times New Roman" w:hAnsi="Times New Roman" w:cs="Times New Roman"/>
        </w:rPr>
        <w:t>“</w:t>
      </w:r>
      <w:r w:rsidRPr="009D3BB9">
        <w:rPr>
          <w:rFonts w:ascii="Times New Roman" w:hAnsi="Times New Roman" w:cs="Times New Roman"/>
        </w:rPr>
        <w:t>Islamism and Social Movement Theory</w:t>
      </w:r>
      <w:r>
        <w:rPr>
          <w:rFonts w:ascii="Times New Roman" w:hAnsi="Times New Roman" w:cs="Times New Roman"/>
        </w:rPr>
        <w:t>.”</w:t>
      </w:r>
      <w:r w:rsidRPr="009D3BB9">
        <w:rPr>
          <w:rFonts w:ascii="Times New Roman" w:hAnsi="Times New Roman" w:cs="Times New Roman"/>
        </w:rPr>
        <w:t> </w:t>
      </w:r>
      <w:r w:rsidRPr="009D3BB9">
        <w:rPr>
          <w:rFonts w:ascii="Times New Roman" w:hAnsi="Times New Roman" w:cs="Times New Roman"/>
          <w:i/>
          <w:iCs/>
        </w:rPr>
        <w:t>Third World Quarterly</w:t>
      </w:r>
      <w:r w:rsidRPr="009D3BB9">
        <w:rPr>
          <w:rFonts w:ascii="Times New Roman" w:hAnsi="Times New Roman" w:cs="Times New Roman"/>
        </w:rPr>
        <w:t> 26, no. 6:891-908.</w:t>
      </w:r>
    </w:p>
    <w:p w14:paraId="4C11386A"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Blackburn, Susan. 2008. </w:t>
      </w:r>
      <w:r>
        <w:rPr>
          <w:rFonts w:ascii="Times New Roman" w:hAnsi="Times New Roman" w:cs="Times New Roman"/>
        </w:rPr>
        <w:t>“</w:t>
      </w:r>
      <w:r w:rsidRPr="009D3BB9">
        <w:rPr>
          <w:rFonts w:ascii="Times New Roman" w:hAnsi="Times New Roman" w:cs="Times New Roman"/>
        </w:rPr>
        <w:t>Indonesian women and political Islam.</w:t>
      </w:r>
      <w:r>
        <w:rPr>
          <w:rFonts w:ascii="Times New Roman" w:hAnsi="Times New Roman" w:cs="Times New Roman"/>
        </w:rPr>
        <w:t>”</w:t>
      </w:r>
      <w:r w:rsidRPr="009D3BB9">
        <w:rPr>
          <w:rFonts w:ascii="Times New Roman" w:hAnsi="Times New Roman" w:cs="Times New Roman"/>
        </w:rPr>
        <w:t> </w:t>
      </w:r>
      <w:r w:rsidRPr="009D3BB9">
        <w:rPr>
          <w:rFonts w:ascii="Times New Roman" w:hAnsi="Times New Roman" w:cs="Times New Roman"/>
          <w:i/>
          <w:iCs/>
        </w:rPr>
        <w:t>Journal of Southeast Asian Studies</w:t>
      </w:r>
      <w:r w:rsidRPr="009D3BB9">
        <w:rPr>
          <w:rFonts w:ascii="Times New Roman" w:hAnsi="Times New Roman" w:cs="Times New Roman"/>
        </w:rPr>
        <w:t> 39, 83-105.</w:t>
      </w:r>
    </w:p>
    <w:p w14:paraId="4BAE06A2"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Dewi, Kurniawati H. 2008. </w:t>
      </w:r>
      <w:r>
        <w:rPr>
          <w:rFonts w:ascii="Times New Roman" w:hAnsi="Times New Roman" w:cs="Times New Roman"/>
        </w:rPr>
        <w:t>“</w:t>
      </w:r>
      <w:r w:rsidRPr="009D3BB9">
        <w:rPr>
          <w:rFonts w:ascii="Times New Roman" w:hAnsi="Times New Roman" w:cs="Times New Roman"/>
        </w:rPr>
        <w:t>Perspective versus Practice: Women's Leadership in Muhammadiyah.</w:t>
      </w:r>
      <w:r>
        <w:rPr>
          <w:rFonts w:ascii="Times New Roman" w:hAnsi="Times New Roman" w:cs="Times New Roman"/>
        </w:rPr>
        <w:t>”</w:t>
      </w:r>
      <w:r w:rsidRPr="009D3BB9">
        <w:rPr>
          <w:rFonts w:ascii="Times New Roman" w:hAnsi="Times New Roman" w:cs="Times New Roman"/>
        </w:rPr>
        <w:t> </w:t>
      </w:r>
      <w:r w:rsidRPr="009D3BB9">
        <w:rPr>
          <w:rFonts w:ascii="Times New Roman" w:hAnsi="Times New Roman" w:cs="Times New Roman"/>
          <w:i/>
          <w:iCs/>
        </w:rPr>
        <w:t>SOJOURN: Journal of Social Issues in Southeast Asia</w:t>
      </w:r>
      <w:r w:rsidRPr="009D3BB9">
        <w:rPr>
          <w:rFonts w:ascii="Times New Roman" w:hAnsi="Times New Roman" w:cs="Times New Roman"/>
        </w:rPr>
        <w:t> 23, no. 2:161-185.</w:t>
      </w:r>
    </w:p>
    <w:p w14:paraId="6E4163AB"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Qibtiyah, Alimatul. 2009. </w:t>
      </w:r>
      <w:r>
        <w:rPr>
          <w:rFonts w:ascii="Times New Roman" w:hAnsi="Times New Roman" w:cs="Times New Roman"/>
        </w:rPr>
        <w:t>“</w:t>
      </w:r>
      <w:r w:rsidRPr="009D3BB9">
        <w:rPr>
          <w:rFonts w:ascii="Times New Roman" w:hAnsi="Times New Roman" w:cs="Times New Roman"/>
        </w:rPr>
        <w:t>Indonesian Muslim women and the gender equality movement.</w:t>
      </w:r>
      <w:r>
        <w:rPr>
          <w:rFonts w:ascii="Times New Roman" w:hAnsi="Times New Roman" w:cs="Times New Roman"/>
        </w:rPr>
        <w:t>”</w:t>
      </w:r>
      <w:r w:rsidRPr="009D3BB9">
        <w:rPr>
          <w:rFonts w:ascii="Times New Roman" w:hAnsi="Times New Roman" w:cs="Times New Roman"/>
        </w:rPr>
        <w:t> </w:t>
      </w:r>
      <w:r w:rsidRPr="009D3BB9">
        <w:rPr>
          <w:rFonts w:ascii="Times New Roman" w:hAnsi="Times New Roman" w:cs="Times New Roman"/>
          <w:i/>
          <w:iCs/>
        </w:rPr>
        <w:t>Journal of Indonesian Islam</w:t>
      </w:r>
      <w:r w:rsidRPr="009D3BB9">
        <w:rPr>
          <w:rFonts w:ascii="Times New Roman" w:hAnsi="Times New Roman" w:cs="Times New Roman"/>
        </w:rPr>
        <w:t> 3, 168-196.</w:t>
      </w:r>
    </w:p>
    <w:p w14:paraId="5D9989C3"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Rinaldo, Rachel. 2014. </w:t>
      </w:r>
      <w:r>
        <w:rPr>
          <w:rFonts w:ascii="Times New Roman" w:hAnsi="Times New Roman" w:cs="Times New Roman"/>
        </w:rPr>
        <w:t>“</w:t>
      </w:r>
      <w:r w:rsidRPr="009D3BB9">
        <w:rPr>
          <w:rFonts w:ascii="Times New Roman" w:hAnsi="Times New Roman" w:cs="Times New Roman"/>
        </w:rPr>
        <w:t>Pious and Critical: Muslim Women Activists and the Question of Agency.</w:t>
      </w:r>
      <w:r>
        <w:rPr>
          <w:rFonts w:ascii="Times New Roman" w:hAnsi="Times New Roman" w:cs="Times New Roman"/>
        </w:rPr>
        <w:t>”</w:t>
      </w:r>
      <w:r w:rsidRPr="009D3BB9">
        <w:rPr>
          <w:rFonts w:ascii="Times New Roman" w:hAnsi="Times New Roman" w:cs="Times New Roman"/>
        </w:rPr>
        <w:t> </w:t>
      </w:r>
      <w:r w:rsidRPr="009D3BB9">
        <w:rPr>
          <w:rFonts w:ascii="Times New Roman" w:hAnsi="Times New Roman" w:cs="Times New Roman"/>
          <w:i/>
          <w:iCs/>
        </w:rPr>
        <w:t>Gender &amp; Society</w:t>
      </w:r>
      <w:r w:rsidRPr="009D3BB9">
        <w:rPr>
          <w:rFonts w:ascii="Times New Roman" w:hAnsi="Times New Roman" w:cs="Times New Roman"/>
        </w:rPr>
        <w:t> 28, no. 6:824-846.</w:t>
      </w:r>
    </w:p>
    <w:p w14:paraId="6646D461"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Sciortino, Rosalia, Ridarineni, Neni, and Marjadi, Brahmaputra. 2010. </w:t>
      </w:r>
      <w:r>
        <w:rPr>
          <w:rFonts w:ascii="Times New Roman" w:hAnsi="Times New Roman" w:cs="Times New Roman"/>
        </w:rPr>
        <w:t>“</w:t>
      </w:r>
      <w:r w:rsidRPr="009D3BB9">
        <w:rPr>
          <w:rFonts w:ascii="Times New Roman" w:hAnsi="Times New Roman" w:cs="Times New Roman"/>
          <w:iCs/>
        </w:rPr>
        <w:t>Caught between social and market considerations: a case study of Muhammadiyah charitable health services</w:t>
      </w:r>
      <w:r w:rsidRPr="009D3BB9">
        <w:rPr>
          <w:rFonts w:ascii="Times New Roman" w:hAnsi="Times New Roman" w:cs="Times New Roman"/>
          <w:i/>
          <w:iCs/>
        </w:rPr>
        <w:t>.</w:t>
      </w:r>
      <w:r>
        <w:rPr>
          <w:rFonts w:ascii="Times New Roman" w:hAnsi="Times New Roman" w:cs="Times New Roman"/>
          <w:iCs/>
        </w:rPr>
        <w:t xml:space="preserve">” </w:t>
      </w:r>
      <w:r>
        <w:rPr>
          <w:rFonts w:ascii="Times New Roman" w:hAnsi="Times New Roman" w:cs="Times New Roman"/>
          <w:i/>
          <w:iCs/>
        </w:rPr>
        <w:t>Reproductive Health Matters</w:t>
      </w:r>
      <w:r w:rsidRPr="009D3BB9">
        <w:rPr>
          <w:rFonts w:ascii="Times New Roman" w:hAnsi="Times New Roman" w:cs="Times New Roman"/>
        </w:rPr>
        <w:t> </w:t>
      </w:r>
      <w:r>
        <w:rPr>
          <w:rFonts w:ascii="Times New Roman" w:hAnsi="Times New Roman" w:cs="Times New Roman"/>
        </w:rPr>
        <w:t>Vol. 18 No. 36, 25-34</w:t>
      </w:r>
    </w:p>
    <w:p w14:paraId="464E8593"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 xml:space="preserve">Van Doorn-Harder, Pieternella. 2008. </w:t>
      </w:r>
      <w:r>
        <w:rPr>
          <w:rFonts w:ascii="Times New Roman" w:hAnsi="Times New Roman" w:cs="Times New Roman"/>
        </w:rPr>
        <w:t>“</w:t>
      </w:r>
      <w:r w:rsidRPr="009D3BB9">
        <w:rPr>
          <w:rFonts w:ascii="Times New Roman" w:hAnsi="Times New Roman" w:cs="Times New Roman"/>
        </w:rPr>
        <w:t>Defining evil to strengthen Islam: Muhammadiyah ideolo</w:t>
      </w:r>
      <w:r>
        <w:rPr>
          <w:rFonts w:ascii="Times New Roman" w:hAnsi="Times New Roman" w:cs="Times New Roman"/>
        </w:rPr>
        <w:t xml:space="preserve">gies of gender and marriage.” </w:t>
      </w:r>
      <w:r w:rsidRPr="00076D4C">
        <w:rPr>
          <w:rFonts w:ascii="Times New Roman" w:eastAsia="Times New Roman" w:hAnsi="Times New Roman" w:cs="Times New Roman"/>
          <w:i/>
          <w:shd w:val="clear" w:color="auto" w:fill="FFFFFF"/>
        </w:rPr>
        <w:t>Coping with Evil in Religion &amp; Culture: Case Studies</w:t>
      </w:r>
      <w:r w:rsidRPr="00076D4C">
        <w:rPr>
          <w:rFonts w:ascii="Times New Roman" w:eastAsia="Times New Roman" w:hAnsi="Times New Roman" w:cs="Times New Roman"/>
          <w:shd w:val="clear" w:color="auto" w:fill="FFFFFF"/>
        </w:rPr>
        <w:t>, 149-167</w:t>
      </w:r>
      <w:r w:rsidRPr="009D3BB9">
        <w:rPr>
          <w:rFonts w:ascii="Times New Roman" w:hAnsi="Times New Roman" w:cs="Times New Roman"/>
        </w:rPr>
        <w:t>.</w:t>
      </w:r>
      <w:r>
        <w:rPr>
          <w:rFonts w:ascii="Times New Roman" w:hAnsi="Times New Roman" w:cs="Times New Roman"/>
        </w:rPr>
        <w:t xml:space="preserve"> Amsterdam: Rodopi. </w:t>
      </w:r>
    </w:p>
    <w:p w14:paraId="4D67274D" w14:textId="77777777" w:rsidR="005E7B57" w:rsidRPr="009D3BB9" w:rsidRDefault="005E7B57" w:rsidP="005E7B57">
      <w:pPr>
        <w:spacing w:after="173"/>
        <w:ind w:left="450" w:hanging="450"/>
        <w:contextualSpacing/>
        <w:rPr>
          <w:rFonts w:ascii="Times New Roman" w:hAnsi="Times New Roman" w:cs="Times New Roman"/>
        </w:rPr>
      </w:pPr>
      <w:r w:rsidRPr="009D3BB9">
        <w:rPr>
          <w:rFonts w:ascii="Times New Roman" w:hAnsi="Times New Roman" w:cs="Times New Roman"/>
        </w:rPr>
        <w:t>Van Doorn-Harder, Pieternella. 2006. </w:t>
      </w:r>
      <w:r w:rsidRPr="009D3BB9">
        <w:rPr>
          <w:rFonts w:ascii="Times New Roman" w:hAnsi="Times New Roman" w:cs="Times New Roman"/>
          <w:i/>
          <w:iCs/>
        </w:rPr>
        <w:t>WOME</w:t>
      </w:r>
      <w:r>
        <w:rPr>
          <w:rFonts w:ascii="Times New Roman" w:hAnsi="Times New Roman" w:cs="Times New Roman"/>
          <w:i/>
          <w:iCs/>
        </w:rPr>
        <w:t>N SHAPING ISLAM</w:t>
      </w:r>
      <w:r w:rsidRPr="009D3BB9">
        <w:rPr>
          <w:rFonts w:ascii="Times New Roman" w:hAnsi="Times New Roman" w:cs="Times New Roman"/>
          <w:i/>
          <w:iCs/>
        </w:rPr>
        <w:t>: Reading the Qur’an in Indonesia.</w:t>
      </w:r>
      <w:r w:rsidRPr="009D3BB9">
        <w:rPr>
          <w:rFonts w:ascii="Times New Roman" w:hAnsi="Times New Roman" w:cs="Times New Roman"/>
        </w:rPr>
        <w:t> Champaign: University of Illinois Press.</w:t>
      </w:r>
    </w:p>
    <w:p w14:paraId="118A8FB7" w14:textId="77777777" w:rsidR="005E7B57" w:rsidRPr="005E7B57" w:rsidRDefault="005E7B57" w:rsidP="005E7B57">
      <w:pPr>
        <w:spacing w:line="480" w:lineRule="auto"/>
        <w:contextualSpacing/>
        <w:rPr>
          <w:rFonts w:ascii="Times New Roman" w:hAnsi="Times New Roman" w:cs="Times New Roman"/>
        </w:rPr>
      </w:pPr>
    </w:p>
    <w:sectPr w:rsidR="005E7B57" w:rsidRPr="005E7B57" w:rsidSect="00C733C7">
      <w:headerReference w:type="even" r:id="rId6"/>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271324" w14:textId="77777777" w:rsidR="00A4688E" w:rsidRDefault="00A4688E" w:rsidP="005E7B57">
      <w:r>
        <w:separator/>
      </w:r>
    </w:p>
  </w:endnote>
  <w:endnote w:type="continuationSeparator" w:id="0">
    <w:p w14:paraId="2FF834AB" w14:textId="77777777" w:rsidR="00A4688E" w:rsidRDefault="00A4688E" w:rsidP="005E7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Roman">
    <w:panose1 w:val="00000500000000020000"/>
    <w:charset w:val="00"/>
    <w:family w:val="auto"/>
    <w:pitch w:val="variable"/>
    <w:sig w:usb0="E00002FF" w:usb1="5000205A" w:usb2="00000000" w:usb3="00000000" w:csb0="0000019F" w:csb1="00000000"/>
  </w:font>
  <w:font w:name="Times Italic">
    <w:panose1 w:val="0000050000000009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C26CCB" w14:textId="77777777" w:rsidR="00A4688E" w:rsidRDefault="00A4688E" w:rsidP="005E7B57">
      <w:r>
        <w:separator/>
      </w:r>
    </w:p>
  </w:footnote>
  <w:footnote w:type="continuationSeparator" w:id="0">
    <w:p w14:paraId="22597F35" w14:textId="77777777" w:rsidR="00A4688E" w:rsidRDefault="00A4688E" w:rsidP="005E7B57">
      <w:r>
        <w:continuationSeparator/>
      </w:r>
    </w:p>
  </w:footnote>
  <w:footnote w:id="1">
    <w:p w14:paraId="2171A48E" w14:textId="77777777" w:rsidR="00A25790" w:rsidRPr="00462F08" w:rsidRDefault="00A25790" w:rsidP="00A25790">
      <w:pPr>
        <w:rPr>
          <w:rFonts w:ascii="Times New Roman" w:eastAsia="Times New Roman" w:hAnsi="Times New Roman" w:cs="Times New Roman"/>
          <w:sz w:val="20"/>
          <w:szCs w:val="20"/>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Victor Wiktorowicz,</w:t>
      </w:r>
      <w:r w:rsidRPr="00462F08">
        <w:rPr>
          <w:rFonts w:ascii="Times New Roman" w:eastAsia="Times New Roman" w:hAnsi="Times New Roman" w:cs="Times New Roman"/>
          <w:i/>
          <w:iCs/>
        </w:rPr>
        <w:t xml:space="preserve"> Islamic Activism</w:t>
      </w:r>
      <w:r w:rsidRPr="00462F08">
        <w:rPr>
          <w:rFonts w:ascii="Times New Roman" w:eastAsia="Times New Roman" w:hAnsi="Times New Roman" w:cs="Times New Roman"/>
          <w:shd w:val="clear" w:color="auto" w:fill="FFFFFF"/>
        </w:rPr>
        <w:t>, (Bloomington, Indiana University Press, 2004), 10</w:t>
      </w:r>
      <w:r>
        <w:rPr>
          <w:rFonts w:ascii="Times New Roman" w:eastAsia="Times New Roman" w:hAnsi="Times New Roman" w:cs="Times New Roman"/>
          <w:shd w:val="clear" w:color="auto" w:fill="FFFFFF"/>
        </w:rPr>
        <w:t>.</w:t>
      </w:r>
    </w:p>
  </w:footnote>
  <w:footnote w:id="2">
    <w:p w14:paraId="1FC2AEAF" w14:textId="77777777" w:rsidR="00A25790" w:rsidRPr="00462F08" w:rsidRDefault="00A25790" w:rsidP="00A25790">
      <w:pPr>
        <w:rPr>
          <w:rFonts w:ascii="Times New Roman" w:eastAsia="Times New Roman" w:hAnsi="Times New Roman" w:cs="Times New Roman"/>
          <w:sz w:val="20"/>
          <w:szCs w:val="20"/>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Asef Bayat, “Islamism and Social Movement Theory”, (Oxfordshire, Taylor &amp; Francis, 2005), 892. </w:t>
      </w:r>
    </w:p>
  </w:footnote>
  <w:footnote w:id="3">
    <w:p w14:paraId="0AB433EA"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 xml:space="preserve">Pieternella Van Doorn-Harder. </w:t>
      </w:r>
      <w:r w:rsidRPr="00462F08">
        <w:rPr>
          <w:rFonts w:ascii="Times New Roman" w:eastAsia="Times New Roman" w:hAnsi="Times New Roman" w:cs="Times New Roman"/>
          <w:i/>
          <w:shd w:val="clear" w:color="auto" w:fill="FFFFFF"/>
        </w:rPr>
        <w:t>Women Shaping Islam</w:t>
      </w:r>
      <w:r w:rsidRPr="00462F08">
        <w:rPr>
          <w:rFonts w:ascii="Times New Roman" w:eastAsia="Times New Roman" w:hAnsi="Times New Roman" w:cs="Times New Roman"/>
          <w:shd w:val="clear" w:color="auto" w:fill="FFFFFF"/>
        </w:rPr>
        <w:t>. (Champaign, University of Illinois Press, 2006), 93.</w:t>
      </w:r>
    </w:p>
  </w:footnote>
  <w:footnote w:id="4">
    <w:p w14:paraId="3E383E4C"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95-96</w:t>
      </w:r>
      <w:r>
        <w:rPr>
          <w:rFonts w:ascii="Times New Roman" w:hAnsi="Times New Roman" w:cs="Times New Roman"/>
        </w:rPr>
        <w:t>.</w:t>
      </w:r>
    </w:p>
  </w:footnote>
  <w:footnote w:id="5">
    <w:p w14:paraId="0EBABC7C" w14:textId="77777777" w:rsidR="00A25790" w:rsidRPr="00C76AFB" w:rsidRDefault="00A25790" w:rsidP="00A25790">
      <w:pPr>
        <w:pStyle w:val="FootnoteText"/>
        <w:rPr>
          <w:rFonts w:ascii="Times New Roman" w:hAnsi="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 xml:space="preserve">Minika Arnez. </w:t>
      </w:r>
      <w:r>
        <w:rPr>
          <w:rFonts w:ascii="Times New Roman" w:eastAsia="Times New Roman" w:hAnsi="Times New Roman" w:cs="Times New Roman"/>
          <w:shd w:val="clear" w:color="auto" w:fill="FFFFFF"/>
        </w:rPr>
        <w:t>"Empowering Women through Islam</w:t>
      </w:r>
      <w:r w:rsidRPr="00462F08">
        <w:rPr>
          <w:rFonts w:ascii="Times New Roman" w:eastAsia="Times New Roman" w:hAnsi="Times New Roman" w:cs="Times New Roman"/>
          <w:shd w:val="clear" w:color="auto" w:fill="FFFFFF"/>
        </w:rPr>
        <w:t>.” (Oxford, Oxford University Press, 2010), 62</w:t>
      </w:r>
      <w:r>
        <w:rPr>
          <w:rFonts w:ascii="Times New Roman" w:eastAsia="Times New Roman" w:hAnsi="Times New Roman" w:cs="Times New Roman"/>
          <w:shd w:val="clear" w:color="auto" w:fill="FFFFFF"/>
        </w:rPr>
        <w:t>.</w:t>
      </w:r>
    </w:p>
  </w:footnote>
  <w:footnote w:id="6">
    <w:p w14:paraId="2CDD907A"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hyperlink r:id="rId1" w:history="1">
        <w:r w:rsidRPr="00462F08">
          <w:rPr>
            <w:rStyle w:val="Hyperlink"/>
            <w:rFonts w:ascii="Times New Roman" w:hAnsi="Times New Roman" w:cs="Times New Roman"/>
          </w:rPr>
          <w:t>https://www.britannica.com/topic/Pancasila</w:t>
        </w:r>
      </w:hyperlink>
      <w:r>
        <w:rPr>
          <w:rFonts w:ascii="Times New Roman" w:hAnsi="Times New Roman" w:cs="Times New Roman"/>
        </w:rPr>
        <w:t>.</w:t>
      </w:r>
    </w:p>
  </w:footnote>
  <w:footnote w:id="7">
    <w:p w14:paraId="4AFC7156"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Pieternella Van </w:t>
      </w:r>
      <w:r w:rsidRPr="00462F08">
        <w:rPr>
          <w:rFonts w:ascii="Times New Roman" w:eastAsia="Times New Roman" w:hAnsi="Times New Roman" w:cs="Times New Roman"/>
          <w:shd w:val="clear" w:color="auto" w:fill="FFFFFF"/>
        </w:rPr>
        <w:t>Doorn-Harder. "Defining Evil to Strengthen Islam" 152</w:t>
      </w:r>
    </w:p>
  </w:footnote>
  <w:footnote w:id="8">
    <w:p w14:paraId="5194C1FD" w14:textId="77777777" w:rsidR="00A25790" w:rsidRPr="00992E47" w:rsidRDefault="00A25790" w:rsidP="00A25790">
      <w:pPr>
        <w:pStyle w:val="FootnoteText"/>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Etin Anwar.</w:t>
      </w:r>
      <w:r w:rsidRPr="00462F08">
        <w:rPr>
          <w:rFonts w:ascii="Times New Roman" w:eastAsia="Times New Roman" w:hAnsi="Times New Roman" w:cs="Times New Roman"/>
          <w:i/>
          <w:iCs/>
        </w:rPr>
        <w:t xml:space="preserve"> A Genealogy of Islamic Feminism </w:t>
      </w:r>
      <w:r w:rsidRPr="00462F08">
        <w:rPr>
          <w:rFonts w:ascii="Times New Roman" w:eastAsia="Times New Roman" w:hAnsi="Times New Roman" w:cs="Times New Roman"/>
          <w:iCs/>
        </w:rPr>
        <w:t>(New York: Routledge, 2018), 80</w:t>
      </w:r>
      <w:r>
        <w:rPr>
          <w:rFonts w:ascii="Times New Roman" w:eastAsia="Times New Roman" w:hAnsi="Times New Roman" w:cs="Times New Roman"/>
          <w:iCs/>
        </w:rPr>
        <w:t>.</w:t>
      </w:r>
    </w:p>
  </w:footnote>
  <w:footnote w:id="9">
    <w:p w14:paraId="52E2E744"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Pieternella Van </w:t>
      </w:r>
      <w:r w:rsidRPr="00462F08">
        <w:rPr>
          <w:rFonts w:ascii="Times New Roman" w:eastAsia="Times New Roman" w:hAnsi="Times New Roman" w:cs="Times New Roman"/>
          <w:shd w:val="clear" w:color="auto" w:fill="FFFFFF"/>
        </w:rPr>
        <w:t>Doorn-Harder. "Defining Evil to Strengthen Islam." (Amsterdam: Rodopi, 2008),</w:t>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157</w:t>
      </w:r>
      <w:r>
        <w:rPr>
          <w:rFonts w:ascii="Times New Roman" w:eastAsia="Times New Roman" w:hAnsi="Times New Roman" w:cs="Times New Roman"/>
          <w:shd w:val="clear" w:color="auto" w:fill="FFFFFF"/>
        </w:rPr>
        <w:t>.</w:t>
      </w:r>
    </w:p>
  </w:footnote>
  <w:footnote w:id="10">
    <w:p w14:paraId="65CF0C2B" w14:textId="77777777" w:rsidR="00A25790" w:rsidRDefault="00A25790" w:rsidP="00A25790">
      <w:pPr>
        <w:pStyle w:val="FootnoteText"/>
      </w:pPr>
      <w:r w:rsidRPr="00462F08">
        <w:rPr>
          <w:rStyle w:val="FootnoteReference"/>
          <w:rFonts w:ascii="Times New Roman" w:hAnsi="Times New Roman" w:cs="Times New Roman"/>
        </w:rPr>
        <w:footnoteRef/>
      </w:r>
      <w:r w:rsidRPr="00462F08">
        <w:rPr>
          <w:rFonts w:ascii="Times New Roman" w:hAnsi="Times New Roman" w:cs="Times New Roman"/>
        </w:rPr>
        <w:t xml:space="preserve"> Rachel </w:t>
      </w:r>
      <w:r w:rsidRPr="00462F08">
        <w:rPr>
          <w:rFonts w:ascii="Times New Roman" w:eastAsia="Times New Roman" w:hAnsi="Times New Roman" w:cs="Times New Roman"/>
          <w:shd w:val="clear" w:color="auto" w:fill="FFFFFF"/>
        </w:rPr>
        <w:t>Rinaldo. "Pious and Critical” (Los Angeles, Sage Publications, 2014), 837-338</w:t>
      </w:r>
      <w:r>
        <w:rPr>
          <w:rFonts w:ascii="Times New Roman" w:eastAsia="Times New Roman" w:hAnsi="Times New Roman" w:cs="Times New Roman"/>
          <w:shd w:val="clear" w:color="auto" w:fill="FFFFFF"/>
        </w:rPr>
        <w:t>.</w:t>
      </w:r>
    </w:p>
  </w:footnote>
  <w:footnote w:id="11">
    <w:p w14:paraId="5312C01C"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hyperlink r:id="rId2" w:history="1">
        <w:r w:rsidRPr="00462F08">
          <w:rPr>
            <w:rStyle w:val="Hyperlink"/>
            <w:rFonts w:ascii="Times New Roman" w:hAnsi="Times New Roman" w:cs="Times New Roman"/>
          </w:rPr>
          <w:t>https://www.britannica.com/topic/ijtihad</w:t>
        </w:r>
      </w:hyperlink>
      <w:r w:rsidRPr="00462F08">
        <w:rPr>
          <w:rFonts w:ascii="Times New Roman" w:hAnsi="Times New Roman" w:cs="Times New Roman"/>
        </w:rPr>
        <w:t xml:space="preserve"> </w:t>
      </w:r>
    </w:p>
  </w:footnote>
  <w:footnote w:id="12">
    <w:p w14:paraId="1160E0FE"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Rinaldo, "Pious and Critical”, 833-34</w:t>
      </w:r>
      <w:r>
        <w:rPr>
          <w:rFonts w:ascii="Times New Roman" w:eastAsia="Times New Roman" w:hAnsi="Times New Roman" w:cs="Times New Roman"/>
          <w:shd w:val="clear" w:color="auto" w:fill="FFFFFF"/>
        </w:rPr>
        <w:t>.</w:t>
      </w:r>
    </w:p>
  </w:footnote>
  <w:footnote w:id="13">
    <w:p w14:paraId="4CA43C8D"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834</w:t>
      </w:r>
      <w:r>
        <w:rPr>
          <w:rFonts w:ascii="Times New Roman" w:hAnsi="Times New Roman" w:cs="Times New Roman"/>
        </w:rPr>
        <w:t>.</w:t>
      </w:r>
    </w:p>
  </w:footnote>
  <w:footnote w:id="14">
    <w:p w14:paraId="53B3C39D"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840</w:t>
      </w:r>
      <w:r>
        <w:rPr>
          <w:rFonts w:ascii="Times New Roman" w:hAnsi="Times New Roman" w:cs="Times New Roman"/>
        </w:rPr>
        <w:t>.</w:t>
      </w:r>
    </w:p>
  </w:footnote>
  <w:footnote w:id="15">
    <w:p w14:paraId="3264486F" w14:textId="77777777" w:rsidR="00A25790" w:rsidRPr="008D4F11" w:rsidRDefault="00A25790" w:rsidP="00A25790">
      <w:pPr>
        <w:pStyle w:val="FootnoteText"/>
        <w:rPr>
          <w:rFonts w:ascii="Times New Roman" w:hAnsi="Times New Roman"/>
        </w:rPr>
      </w:pPr>
      <w:r w:rsidRPr="008D4F11">
        <w:rPr>
          <w:rStyle w:val="FootnoteReference"/>
          <w:rFonts w:ascii="Times New Roman" w:hAnsi="Times New Roman"/>
        </w:rPr>
        <w:footnoteRef/>
      </w:r>
      <w:r w:rsidRPr="008D4F11">
        <w:rPr>
          <w:rFonts w:ascii="Times New Roman" w:hAnsi="Times New Roman"/>
        </w:rPr>
        <w:t xml:space="preserve"> </w:t>
      </w:r>
      <w:r>
        <w:rPr>
          <w:rFonts w:ascii="Times New Roman" w:hAnsi="Times New Roman"/>
        </w:rPr>
        <w:t>Rinaldo, 840.</w:t>
      </w:r>
    </w:p>
  </w:footnote>
  <w:footnote w:id="16">
    <w:p w14:paraId="4C3BA177"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 xml:space="preserve">Van Doorn-Harder. </w:t>
      </w:r>
      <w:r w:rsidRPr="00462F08">
        <w:rPr>
          <w:rFonts w:ascii="Times New Roman" w:eastAsia="Times New Roman" w:hAnsi="Times New Roman" w:cs="Times New Roman"/>
          <w:i/>
          <w:shd w:val="clear" w:color="auto" w:fill="FFFFFF"/>
        </w:rPr>
        <w:t>Women Shaping Islam</w:t>
      </w:r>
      <w:r w:rsidRPr="00462F08">
        <w:rPr>
          <w:rFonts w:ascii="Times New Roman" w:eastAsia="Times New Roman" w:hAnsi="Times New Roman" w:cs="Times New Roman"/>
          <w:shd w:val="clear" w:color="auto" w:fill="FFFFFF"/>
        </w:rPr>
        <w:t>, 95</w:t>
      </w:r>
      <w:r>
        <w:rPr>
          <w:rFonts w:ascii="Times New Roman" w:eastAsia="Times New Roman" w:hAnsi="Times New Roman" w:cs="Times New Roman"/>
          <w:shd w:val="clear" w:color="auto" w:fill="FFFFFF"/>
        </w:rPr>
        <w:t>.</w:t>
      </w:r>
    </w:p>
  </w:footnote>
  <w:footnote w:id="17">
    <w:p w14:paraId="26AE3596" w14:textId="77777777" w:rsidR="00A25790" w:rsidRPr="00C9547E"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100</w:t>
      </w:r>
      <w:r>
        <w:rPr>
          <w:rFonts w:ascii="Times New Roman" w:hAnsi="Times New Roman" w:cs="Times New Roman"/>
        </w:rPr>
        <w:t>.</w:t>
      </w:r>
    </w:p>
  </w:footnote>
  <w:footnote w:id="18">
    <w:p w14:paraId="044A8FCA"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 xml:space="preserve">Van Doorn-Harder. </w:t>
      </w:r>
      <w:r w:rsidRPr="00462F08">
        <w:rPr>
          <w:rFonts w:ascii="Times New Roman" w:eastAsia="Times New Roman" w:hAnsi="Times New Roman" w:cs="Times New Roman"/>
          <w:i/>
          <w:shd w:val="clear" w:color="auto" w:fill="FFFFFF"/>
        </w:rPr>
        <w:t>Women Shaping Islam</w:t>
      </w:r>
      <w:r w:rsidRPr="00462F08">
        <w:rPr>
          <w:rFonts w:ascii="Times New Roman" w:eastAsia="Times New Roman" w:hAnsi="Times New Roman" w:cs="Times New Roman"/>
          <w:shd w:val="clear" w:color="auto" w:fill="FFFFFF"/>
        </w:rPr>
        <w:t>, 106</w:t>
      </w:r>
      <w:r>
        <w:rPr>
          <w:rFonts w:ascii="Times New Roman" w:eastAsia="Times New Roman" w:hAnsi="Times New Roman" w:cs="Times New Roman"/>
          <w:shd w:val="clear" w:color="auto" w:fill="FFFFFF"/>
        </w:rPr>
        <w:t>.</w:t>
      </w:r>
    </w:p>
  </w:footnote>
  <w:footnote w:id="19">
    <w:p w14:paraId="3B7AF91F"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108</w:t>
      </w:r>
      <w:r>
        <w:rPr>
          <w:rFonts w:ascii="Times New Roman" w:hAnsi="Times New Roman" w:cs="Times New Roman"/>
        </w:rPr>
        <w:t>.</w:t>
      </w:r>
    </w:p>
  </w:footnote>
  <w:footnote w:id="20">
    <w:p w14:paraId="77B3F1B3"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eastAsia="Times New Roman" w:hAnsi="Times New Roman" w:cs="Times New Roman"/>
          <w:shd w:val="clear" w:color="auto" w:fill="FFFFFF"/>
        </w:rPr>
        <w:t>Ed. Mark R. Woodward &amp; Bianca J. Smith,</w:t>
      </w:r>
      <w:r w:rsidRPr="00462F08">
        <w:rPr>
          <w:rFonts w:ascii="Times New Roman" w:hAnsi="Times New Roman" w:cs="Times New Roman"/>
        </w:rPr>
        <w:t xml:space="preserve"> </w:t>
      </w:r>
      <w:r w:rsidRPr="00462F08">
        <w:rPr>
          <w:rFonts w:ascii="Times New Roman" w:eastAsia="Times New Roman" w:hAnsi="Times New Roman" w:cs="Times New Roman"/>
          <w:i/>
          <w:iCs/>
        </w:rPr>
        <w:t xml:space="preserve">Gender and Power in Indonesian Islam </w:t>
      </w:r>
      <w:r w:rsidRPr="00462F08">
        <w:rPr>
          <w:rFonts w:ascii="Times New Roman" w:eastAsia="Times New Roman" w:hAnsi="Times New Roman" w:cs="Times New Roman"/>
          <w:shd w:val="clear" w:color="auto" w:fill="FFFFFF"/>
        </w:rPr>
        <w:t>2013. (New York, Routledge, 2013), 4</w:t>
      </w:r>
      <w:r>
        <w:rPr>
          <w:rFonts w:ascii="Times New Roman" w:eastAsia="Times New Roman" w:hAnsi="Times New Roman" w:cs="Times New Roman"/>
          <w:shd w:val="clear" w:color="auto" w:fill="FFFFFF"/>
        </w:rPr>
        <w:t>.</w:t>
      </w:r>
    </w:p>
  </w:footnote>
  <w:footnote w:id="21">
    <w:p w14:paraId="4D4C5F41" w14:textId="77777777" w:rsidR="00A25790" w:rsidRPr="009A0F81"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Ibid, Saipul Hamdi, 126-127</w:t>
      </w:r>
      <w:r>
        <w:rPr>
          <w:rFonts w:ascii="Times New Roman" w:hAnsi="Times New Roman" w:cs="Times New Roman"/>
        </w:rPr>
        <w:t>.</w:t>
      </w:r>
    </w:p>
  </w:footnote>
  <w:footnote w:id="22">
    <w:p w14:paraId="05EF2AF1" w14:textId="77777777" w:rsidR="00A25790" w:rsidRPr="00462F08" w:rsidRDefault="00A25790" w:rsidP="00A25790">
      <w:pPr>
        <w:pStyle w:val="FootnoteText"/>
        <w:rPr>
          <w:rFonts w:ascii="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Arifianto, “Practicing What it Preaches”, 257</w:t>
      </w:r>
      <w:r>
        <w:rPr>
          <w:rFonts w:ascii="Times New Roman" w:eastAsia="Times New Roman" w:hAnsi="Times New Roman" w:cs="Times New Roman"/>
          <w:shd w:val="clear" w:color="auto" w:fill="FFFFFF"/>
        </w:rPr>
        <w:t>.</w:t>
      </w:r>
    </w:p>
  </w:footnote>
  <w:footnote w:id="23">
    <w:p w14:paraId="434F095C" w14:textId="77777777" w:rsidR="00A25790" w:rsidRDefault="00A25790" w:rsidP="00A25790">
      <w:pPr>
        <w:pStyle w:val="FootnoteText"/>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Kurniawati</w:t>
      </w:r>
      <w:r w:rsidRPr="00B1262D">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Dewi</w:t>
      </w:r>
      <w:r w:rsidRPr="00B1262D">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"Perspective Versus Practice</w:t>
      </w:r>
      <w:r w:rsidRPr="00B1262D">
        <w:rPr>
          <w:rFonts w:ascii="Times New Roman" w:eastAsia="Times New Roman" w:hAnsi="Times New Roman" w:cs="Times New Roman"/>
          <w:shd w:val="clear" w:color="auto" w:fill="FFFFFF"/>
        </w:rPr>
        <w:t>"</w:t>
      </w:r>
      <w:r>
        <w:rPr>
          <w:rFonts w:ascii="Times New Roman" w:eastAsia="Times New Roman" w:hAnsi="Times New Roman" w:cs="Times New Roman"/>
          <w:shd w:val="clear" w:color="auto" w:fill="FFFFFF"/>
        </w:rPr>
        <w:t xml:space="preserve"> (Singapore: ISEAS, 2008), 174.</w:t>
      </w:r>
    </w:p>
  </w:footnote>
  <w:footnote w:id="24">
    <w:p w14:paraId="4A26F5E6" w14:textId="77777777" w:rsidR="00A25790" w:rsidRPr="00462F08" w:rsidRDefault="00A25790" w:rsidP="00A25790">
      <w:pPr>
        <w:rPr>
          <w:rFonts w:ascii="Times New Roman" w:eastAsia="Times New Roman" w:hAnsi="Times New Roman" w:cs="Times New Roman"/>
          <w:sz w:val="20"/>
          <w:szCs w:val="20"/>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Alimatul Qibtiyah, "Indonesian Muslim Women and the Gender Equality Movement." (East Java: State Islamic University of Sunan Ampel, 2009), 183</w:t>
      </w:r>
      <w:r>
        <w:rPr>
          <w:rFonts w:ascii="Times New Roman" w:eastAsia="Times New Roman" w:hAnsi="Times New Roman" w:cs="Times New Roman"/>
          <w:shd w:val="clear" w:color="auto" w:fill="FFFFFF"/>
        </w:rPr>
        <w:t>.</w:t>
      </w:r>
    </w:p>
  </w:footnote>
  <w:footnote w:id="25">
    <w:p w14:paraId="53B44C79" w14:textId="77777777" w:rsidR="00A25790" w:rsidRPr="00763211" w:rsidRDefault="00A25790" w:rsidP="00A25790">
      <w:pPr>
        <w:rPr>
          <w:rFonts w:ascii="Times New Roman" w:eastAsia="Times New Roman" w:hAnsi="Times New Roman" w:cs="Times New Roman"/>
        </w:rPr>
      </w:pPr>
      <w:r w:rsidRPr="00462F08">
        <w:rPr>
          <w:rStyle w:val="FootnoteReference"/>
          <w:rFonts w:ascii="Times New Roman" w:hAnsi="Times New Roman" w:cs="Times New Roman"/>
        </w:rPr>
        <w:footnoteRef/>
      </w:r>
      <w:r w:rsidRPr="00462F08">
        <w:rPr>
          <w:rFonts w:ascii="Times New Roman" w:hAnsi="Times New Roman" w:cs="Times New Roman"/>
        </w:rPr>
        <w:t xml:space="preserve"> </w:t>
      </w:r>
      <w:r w:rsidRPr="00462F08">
        <w:rPr>
          <w:rFonts w:ascii="Times New Roman" w:eastAsia="Times New Roman" w:hAnsi="Times New Roman" w:cs="Times New Roman"/>
          <w:shd w:val="clear" w:color="auto" w:fill="FFFFFF"/>
        </w:rPr>
        <w:t>Rosalia Sciortino</w:t>
      </w:r>
      <w:r>
        <w:rPr>
          <w:rFonts w:ascii="Times New Roman" w:eastAsia="Times New Roman" w:hAnsi="Times New Roman" w:cs="Times New Roman"/>
          <w:shd w:val="clear" w:color="auto" w:fill="FFFFFF"/>
        </w:rPr>
        <w:t>,</w:t>
      </w:r>
      <w:r w:rsidRPr="00CE598D">
        <w:rPr>
          <w:rFonts w:ascii="Times New Roman" w:eastAsia="Times New Roman" w:hAnsi="Times New Roman" w:cs="Times New Roman"/>
          <w:shd w:val="clear" w:color="auto" w:fill="FFFFFF"/>
        </w:rPr>
        <w:t xml:space="preserve"> Neni Ridarineni, and Brahmaputra Marjadi.</w:t>
      </w:r>
      <w:r w:rsidRPr="00CE598D">
        <w:rPr>
          <w:rFonts w:ascii="Times New Roman" w:eastAsia="Times New Roman" w:hAnsi="Times New Roman" w:cs="Times New Roman"/>
          <w:i/>
          <w:iCs/>
        </w:rPr>
        <w:t> </w:t>
      </w:r>
      <w:r>
        <w:rPr>
          <w:rFonts w:ascii="Times New Roman" w:eastAsia="Times New Roman" w:hAnsi="Times New Roman" w:cs="Times New Roman"/>
          <w:iCs/>
        </w:rPr>
        <w:t>“</w:t>
      </w:r>
      <w:r w:rsidRPr="00763211">
        <w:rPr>
          <w:rFonts w:ascii="Times New Roman" w:eastAsia="Times New Roman" w:hAnsi="Times New Roman" w:cs="Times New Roman"/>
          <w:iCs/>
        </w:rPr>
        <w:t>Caught between Social and Market Considerations</w:t>
      </w:r>
      <w:r w:rsidRPr="00CE598D">
        <w:rPr>
          <w:rFonts w:ascii="Times New Roman" w:eastAsia="Times New Roman" w:hAnsi="Times New Roman" w:cs="Times New Roman"/>
          <w:shd w:val="clear" w:color="auto" w:fill="FFFFFF"/>
        </w:rPr>
        <w:t>.</w:t>
      </w:r>
      <w:r>
        <w:rPr>
          <w:rFonts w:ascii="Times New Roman" w:eastAsia="Times New Roman" w:hAnsi="Times New Roman" w:cs="Times New Roman"/>
          <w:shd w:val="clear" w:color="auto" w:fill="FFFFFF"/>
        </w:rPr>
        <w:t>”</w:t>
      </w:r>
      <w:r w:rsidRPr="00CE598D">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 xml:space="preserve">(London: Reproductive Health Matters, </w:t>
      </w:r>
      <w:r w:rsidRPr="00CE598D">
        <w:rPr>
          <w:rFonts w:ascii="Times New Roman" w:eastAsia="Times New Roman" w:hAnsi="Times New Roman" w:cs="Times New Roman"/>
          <w:shd w:val="clear" w:color="auto" w:fill="FFFFFF"/>
        </w:rPr>
        <w:t>2010</w:t>
      </w:r>
      <w:r>
        <w:rPr>
          <w:rFonts w:ascii="Times New Roman" w:eastAsia="Times New Roman" w:hAnsi="Times New Roman" w:cs="Times New Roman"/>
          <w:shd w:val="clear" w:color="auto" w:fill="FFFFFF"/>
        </w:rPr>
        <w:t>), 28.</w:t>
      </w:r>
    </w:p>
  </w:footnote>
  <w:footnote w:id="26">
    <w:p w14:paraId="46E6A894" w14:textId="77777777" w:rsidR="00A25790" w:rsidRPr="00AA4766" w:rsidRDefault="00A25790" w:rsidP="00A25790">
      <w:pPr>
        <w:pStyle w:val="FootnoteText"/>
        <w:rPr>
          <w:rFonts w:ascii="Times New Roman" w:hAnsi="Times New Roman" w:cs="Times New Roman"/>
        </w:rPr>
      </w:pPr>
      <w:r w:rsidRPr="002B46E3">
        <w:rPr>
          <w:rStyle w:val="FootnoteReference"/>
          <w:rFonts w:ascii="Times New Roman" w:hAnsi="Times New Roman" w:cs="Times New Roman"/>
        </w:rPr>
        <w:footnoteRef/>
      </w:r>
      <w:r w:rsidRPr="002B46E3">
        <w:rPr>
          <w:rFonts w:ascii="Times New Roman" w:hAnsi="Times New Roman" w:cs="Times New Roman"/>
        </w:rPr>
        <w:t xml:space="preserve"> </w:t>
      </w:r>
      <w:r>
        <w:rPr>
          <w:rFonts w:ascii="Times New Roman" w:eastAsia="Times New Roman" w:hAnsi="Times New Roman" w:cs="Times New Roman"/>
          <w:shd w:val="clear" w:color="auto" w:fill="FFFFFF"/>
        </w:rPr>
        <w:t>Arnez, “Empowering Women through Islam,</w:t>
      </w:r>
      <w:r w:rsidRPr="00462F08">
        <w:rPr>
          <w:rFonts w:ascii="Times New Roman" w:eastAsia="Times New Roman" w:hAnsi="Times New Roman" w:cs="Times New Roman"/>
          <w:shd w:val="clear" w:color="auto" w:fill="FFFFFF"/>
        </w:rPr>
        <w:t xml:space="preserve">” </w:t>
      </w:r>
      <w:r>
        <w:rPr>
          <w:rFonts w:ascii="Times New Roman" w:hAnsi="Times New Roman" w:cs="Times New Roman"/>
        </w:rPr>
        <w:t>82-84.</w:t>
      </w:r>
    </w:p>
  </w:footnote>
  <w:footnote w:id="27">
    <w:p w14:paraId="19DE21D1" w14:textId="77777777" w:rsidR="00A25790" w:rsidRDefault="00A25790" w:rsidP="00A25790">
      <w:pPr>
        <w:pStyle w:val="FootnoteText"/>
      </w:pPr>
      <w:r w:rsidRPr="00AA4766">
        <w:rPr>
          <w:rStyle w:val="FootnoteReference"/>
          <w:rFonts w:ascii="Times New Roman" w:hAnsi="Times New Roman"/>
        </w:rPr>
        <w:footnoteRef/>
      </w:r>
      <w:r w:rsidRPr="00AA4766">
        <w:rPr>
          <w:rFonts w:ascii="Times New Roman" w:hAnsi="Times New Roman"/>
        </w:rPr>
        <w:t xml:space="preserve"> </w:t>
      </w:r>
      <w:r>
        <w:rPr>
          <w:rFonts w:ascii="Times New Roman" w:hAnsi="Times New Roman"/>
        </w:rPr>
        <w:t>Ibid, 83.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132CF1" w14:textId="77777777" w:rsidR="00CA12BA" w:rsidRDefault="00DA3ACD" w:rsidP="00CE330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1AFF0D8" w14:textId="77777777" w:rsidR="00CA12BA" w:rsidRDefault="00A4688E" w:rsidP="00C733C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ED6A1C" w14:textId="77777777" w:rsidR="00CA12BA" w:rsidRPr="00C733C7" w:rsidRDefault="00DA3ACD" w:rsidP="00CE3307">
    <w:pPr>
      <w:pStyle w:val="Header"/>
      <w:framePr w:wrap="around" w:vAnchor="text" w:hAnchor="margin" w:xAlign="right" w:y="1"/>
      <w:rPr>
        <w:rStyle w:val="PageNumber"/>
        <w:rFonts w:ascii="Times New Roman" w:hAnsi="Times New Roman"/>
      </w:rPr>
    </w:pPr>
    <w:r w:rsidRPr="00C733C7">
      <w:rPr>
        <w:rStyle w:val="PageNumber"/>
        <w:rFonts w:ascii="Times New Roman" w:hAnsi="Times New Roman"/>
      </w:rPr>
      <w:t xml:space="preserve">Klein </w:t>
    </w:r>
    <w:r w:rsidRPr="00C733C7">
      <w:rPr>
        <w:rStyle w:val="PageNumber"/>
        <w:rFonts w:ascii="Times New Roman" w:hAnsi="Times New Roman"/>
      </w:rPr>
      <w:fldChar w:fldCharType="begin"/>
    </w:r>
    <w:r w:rsidRPr="00C733C7">
      <w:rPr>
        <w:rStyle w:val="PageNumber"/>
        <w:rFonts w:ascii="Times New Roman" w:hAnsi="Times New Roman"/>
      </w:rPr>
      <w:instrText xml:space="preserve">PAGE  </w:instrText>
    </w:r>
    <w:r w:rsidRPr="00C733C7">
      <w:rPr>
        <w:rStyle w:val="PageNumber"/>
        <w:rFonts w:ascii="Times New Roman" w:hAnsi="Times New Roman"/>
      </w:rPr>
      <w:fldChar w:fldCharType="separate"/>
    </w:r>
    <w:r>
      <w:rPr>
        <w:rStyle w:val="PageNumber"/>
        <w:rFonts w:ascii="Times New Roman" w:hAnsi="Times New Roman"/>
        <w:noProof/>
      </w:rPr>
      <w:t>1</w:t>
    </w:r>
    <w:r w:rsidRPr="00C733C7">
      <w:rPr>
        <w:rStyle w:val="PageNumber"/>
        <w:rFonts w:ascii="Times New Roman" w:hAnsi="Times New Roman"/>
      </w:rPr>
      <w:fldChar w:fldCharType="end"/>
    </w:r>
  </w:p>
  <w:p w14:paraId="200C75A9" w14:textId="77777777" w:rsidR="00CA12BA" w:rsidRDefault="00A4688E" w:rsidP="00C733C7">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B57"/>
    <w:rsid w:val="001433EF"/>
    <w:rsid w:val="002140D6"/>
    <w:rsid w:val="004C52D2"/>
    <w:rsid w:val="004D35D7"/>
    <w:rsid w:val="004E2D98"/>
    <w:rsid w:val="005E7B57"/>
    <w:rsid w:val="00987EDA"/>
    <w:rsid w:val="009B1E1D"/>
    <w:rsid w:val="00A25790"/>
    <w:rsid w:val="00A4688E"/>
    <w:rsid w:val="00B462C6"/>
    <w:rsid w:val="00B85C7A"/>
    <w:rsid w:val="00CC2524"/>
    <w:rsid w:val="00CD6BD0"/>
    <w:rsid w:val="00DA3A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33AA256A"/>
  <w15:chartTrackingRefBased/>
  <w15:docId w15:val="{5C6D3804-5B29-204E-A026-4AB8EDF65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7B57"/>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7B57"/>
    <w:pPr>
      <w:tabs>
        <w:tab w:val="center" w:pos="4320"/>
        <w:tab w:val="right" w:pos="8640"/>
      </w:tabs>
    </w:pPr>
  </w:style>
  <w:style w:type="character" w:customStyle="1" w:styleId="HeaderChar">
    <w:name w:val="Header Char"/>
    <w:basedOn w:val="DefaultParagraphFont"/>
    <w:link w:val="Header"/>
    <w:uiPriority w:val="99"/>
    <w:rsid w:val="005E7B57"/>
    <w:rPr>
      <w:rFonts w:eastAsiaTheme="minorEastAsia"/>
    </w:rPr>
  </w:style>
  <w:style w:type="character" w:styleId="PageNumber">
    <w:name w:val="page number"/>
    <w:basedOn w:val="DefaultParagraphFont"/>
    <w:uiPriority w:val="99"/>
    <w:semiHidden/>
    <w:unhideWhenUsed/>
    <w:rsid w:val="005E7B57"/>
  </w:style>
  <w:style w:type="paragraph" w:styleId="FootnoteText">
    <w:name w:val="footnote text"/>
    <w:basedOn w:val="Normal"/>
    <w:link w:val="FootnoteTextChar"/>
    <w:uiPriority w:val="99"/>
    <w:unhideWhenUsed/>
    <w:rsid w:val="005E7B57"/>
  </w:style>
  <w:style w:type="character" w:customStyle="1" w:styleId="FootnoteTextChar">
    <w:name w:val="Footnote Text Char"/>
    <w:basedOn w:val="DefaultParagraphFont"/>
    <w:link w:val="FootnoteText"/>
    <w:uiPriority w:val="99"/>
    <w:rsid w:val="005E7B57"/>
    <w:rPr>
      <w:rFonts w:eastAsiaTheme="minorEastAsia"/>
    </w:rPr>
  </w:style>
  <w:style w:type="character" w:styleId="FootnoteReference">
    <w:name w:val="footnote reference"/>
    <w:basedOn w:val="DefaultParagraphFont"/>
    <w:uiPriority w:val="99"/>
    <w:unhideWhenUsed/>
    <w:rsid w:val="005E7B57"/>
    <w:rPr>
      <w:vertAlign w:val="superscript"/>
    </w:rPr>
  </w:style>
  <w:style w:type="character" w:styleId="Hyperlink">
    <w:name w:val="Hyperlink"/>
    <w:basedOn w:val="DefaultParagraphFont"/>
    <w:uiPriority w:val="99"/>
    <w:unhideWhenUsed/>
    <w:rsid w:val="005E7B57"/>
    <w:rPr>
      <w:color w:val="0563C1" w:themeColor="hyperlink"/>
      <w:u w:val="single"/>
    </w:rPr>
  </w:style>
  <w:style w:type="paragraph" w:styleId="BalloonText">
    <w:name w:val="Balloon Text"/>
    <w:basedOn w:val="Normal"/>
    <w:link w:val="BalloonTextChar"/>
    <w:uiPriority w:val="99"/>
    <w:semiHidden/>
    <w:unhideWhenUsed/>
    <w:rsid w:val="004C52D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C52D2"/>
    <w:rPr>
      <w:rFonts w:ascii="Times New Roman" w:eastAsiaTheme="minorEastAsia"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britannica.com/topic/ijtihad" TargetMode="External"/><Relationship Id="rId1" Type="http://schemas.openxmlformats.org/officeDocument/2006/relationships/hyperlink" Target="https://www.britannica.com/topic/Pancasil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21</Pages>
  <Words>5691</Words>
  <Characters>32440</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5</cp:revision>
  <dcterms:created xsi:type="dcterms:W3CDTF">2020-03-08T01:37:00Z</dcterms:created>
  <dcterms:modified xsi:type="dcterms:W3CDTF">2020-04-12T22:15:00Z</dcterms:modified>
</cp:coreProperties>
</file>