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4089" w:rsidRDefault="00C34089" w:rsidP="00E06215">
      <w:pPr>
        <w:jc w:val="center"/>
        <w:rPr>
          <w:sz w:val="28"/>
          <w:szCs w:val="28"/>
          <w:u w:val="single"/>
        </w:rPr>
      </w:pPr>
    </w:p>
    <w:p w:rsidR="00C34089" w:rsidRDefault="00C34089" w:rsidP="00E06215">
      <w:pPr>
        <w:jc w:val="center"/>
        <w:rPr>
          <w:sz w:val="28"/>
          <w:szCs w:val="28"/>
          <w:u w:val="single"/>
        </w:rPr>
      </w:pPr>
    </w:p>
    <w:p w:rsidR="00C34089" w:rsidRPr="00C34089" w:rsidRDefault="00C34089" w:rsidP="00C34089">
      <w:pPr>
        <w:rPr>
          <w:sz w:val="28"/>
          <w:szCs w:val="28"/>
        </w:rPr>
      </w:pPr>
    </w:p>
    <w:p w:rsidR="00C34089" w:rsidRPr="00C34089" w:rsidRDefault="00C34089" w:rsidP="00C34089">
      <w:pPr>
        <w:rPr>
          <w:sz w:val="28"/>
          <w:szCs w:val="28"/>
        </w:rPr>
      </w:pPr>
    </w:p>
    <w:p w:rsidR="00C34089" w:rsidRPr="00C34089" w:rsidRDefault="00C34089" w:rsidP="00C34089">
      <w:pPr>
        <w:rPr>
          <w:sz w:val="28"/>
          <w:szCs w:val="28"/>
        </w:rPr>
      </w:pPr>
    </w:p>
    <w:p w:rsidR="00C34089" w:rsidRPr="00C34089" w:rsidRDefault="00C34089" w:rsidP="00C34089">
      <w:pPr>
        <w:rPr>
          <w:sz w:val="28"/>
          <w:szCs w:val="28"/>
        </w:rPr>
      </w:pPr>
    </w:p>
    <w:p w:rsidR="00C34089" w:rsidRPr="00C34089" w:rsidRDefault="00C34089" w:rsidP="00C34089">
      <w:pPr>
        <w:rPr>
          <w:sz w:val="28"/>
          <w:szCs w:val="28"/>
        </w:rPr>
      </w:pPr>
    </w:p>
    <w:p w:rsidR="00C34089" w:rsidRPr="00C34089" w:rsidRDefault="00C34089" w:rsidP="00C34089">
      <w:pPr>
        <w:spacing w:line="480" w:lineRule="auto"/>
        <w:rPr>
          <w:sz w:val="28"/>
          <w:szCs w:val="28"/>
        </w:rPr>
      </w:pPr>
    </w:p>
    <w:p w:rsidR="00C34089" w:rsidRPr="00C34089" w:rsidRDefault="00C34089" w:rsidP="00C34089">
      <w:pPr>
        <w:spacing w:line="480" w:lineRule="auto"/>
        <w:rPr>
          <w:sz w:val="28"/>
          <w:szCs w:val="28"/>
        </w:rPr>
      </w:pPr>
    </w:p>
    <w:p w:rsidR="00C34089" w:rsidRPr="00F817DE" w:rsidRDefault="00C34089" w:rsidP="00C34089">
      <w:pPr>
        <w:spacing w:line="480" w:lineRule="auto"/>
        <w:jc w:val="center"/>
        <w:rPr>
          <w:sz w:val="32"/>
          <w:szCs w:val="32"/>
        </w:rPr>
      </w:pPr>
      <w:r w:rsidRPr="00F817DE">
        <w:rPr>
          <w:sz w:val="32"/>
          <w:szCs w:val="32"/>
        </w:rPr>
        <w:t>Germany’s “Political Power Factor”: Tirpitz, the Second Navy Law, and the Genesis of an Anti-British Fleet</w:t>
      </w:r>
    </w:p>
    <w:p w:rsidR="00F817DE" w:rsidRDefault="00F817DE" w:rsidP="00C34089">
      <w:pPr>
        <w:spacing w:line="480" w:lineRule="auto"/>
        <w:jc w:val="center"/>
      </w:pPr>
    </w:p>
    <w:p w:rsidR="00F817DE" w:rsidRDefault="00F817DE" w:rsidP="00C34089">
      <w:pPr>
        <w:spacing w:line="480" w:lineRule="auto"/>
        <w:jc w:val="center"/>
      </w:pPr>
    </w:p>
    <w:p w:rsidR="00F817DE" w:rsidRDefault="00F817DE" w:rsidP="00C34089">
      <w:pPr>
        <w:spacing w:line="480" w:lineRule="auto"/>
        <w:jc w:val="center"/>
      </w:pPr>
      <w:r>
        <w:t>By Jeff Eversman</w:t>
      </w:r>
    </w:p>
    <w:p w:rsidR="00F817DE" w:rsidRDefault="00F817DE" w:rsidP="00C34089">
      <w:pPr>
        <w:spacing w:line="480" w:lineRule="auto"/>
        <w:jc w:val="center"/>
      </w:pPr>
    </w:p>
    <w:p w:rsidR="00F817DE" w:rsidRDefault="00F817DE" w:rsidP="00C34089">
      <w:pPr>
        <w:spacing w:line="480" w:lineRule="auto"/>
        <w:jc w:val="center"/>
      </w:pPr>
    </w:p>
    <w:p w:rsidR="00F817DE" w:rsidRDefault="00F817DE" w:rsidP="00C34089">
      <w:pPr>
        <w:spacing w:line="480" w:lineRule="auto"/>
        <w:jc w:val="center"/>
      </w:pPr>
    </w:p>
    <w:p w:rsidR="00EA070B" w:rsidRDefault="00EA070B" w:rsidP="00C34089">
      <w:pPr>
        <w:spacing w:line="480" w:lineRule="auto"/>
        <w:jc w:val="center"/>
      </w:pPr>
    </w:p>
    <w:p w:rsidR="00EA070B" w:rsidRDefault="00EA070B" w:rsidP="00C34089">
      <w:pPr>
        <w:spacing w:line="480" w:lineRule="auto"/>
        <w:jc w:val="center"/>
      </w:pPr>
    </w:p>
    <w:p w:rsidR="00EA070B" w:rsidRDefault="00EA070B" w:rsidP="00C34089">
      <w:pPr>
        <w:spacing w:line="480" w:lineRule="auto"/>
        <w:jc w:val="center"/>
      </w:pPr>
    </w:p>
    <w:p w:rsidR="00EA070B" w:rsidRDefault="00EA070B" w:rsidP="00EA070B">
      <w:pPr>
        <w:spacing w:line="480" w:lineRule="auto"/>
      </w:pPr>
    </w:p>
    <w:p w:rsidR="00F817DE" w:rsidRDefault="00F817DE" w:rsidP="00F817DE">
      <w:pPr>
        <w:spacing w:line="480" w:lineRule="auto"/>
        <w:jc w:val="center"/>
      </w:pPr>
    </w:p>
    <w:p w:rsidR="003A7DA7" w:rsidRPr="00F817DE" w:rsidRDefault="003A7DA7" w:rsidP="00F817DE">
      <w:pPr>
        <w:jc w:val="center"/>
      </w:pPr>
      <w:r w:rsidRPr="00F817DE">
        <w:t>Honors Thesis Submitted in Partial Fulfillment of the Requirements for the Degree of Bachelor of Arts</w:t>
      </w:r>
    </w:p>
    <w:p w:rsidR="003A7DA7" w:rsidRPr="00F817DE" w:rsidRDefault="003A7DA7" w:rsidP="00F817DE">
      <w:pPr>
        <w:jc w:val="center"/>
      </w:pPr>
      <w:r w:rsidRPr="00F817DE">
        <w:t>Department of History, University of Wisconsin-Madison</w:t>
      </w:r>
    </w:p>
    <w:p w:rsidR="003A7DA7" w:rsidRPr="00F817DE" w:rsidRDefault="003A7DA7" w:rsidP="00F817DE">
      <w:pPr>
        <w:jc w:val="center"/>
      </w:pPr>
      <w:r w:rsidRPr="00F817DE">
        <w:t>Thesis Advisor: Professor Jeremi Suri, E. Gordon Fox Professor of History</w:t>
      </w:r>
    </w:p>
    <w:p w:rsidR="00C34089" w:rsidRPr="00F817DE" w:rsidRDefault="003A7DA7" w:rsidP="00F817DE">
      <w:pPr>
        <w:jc w:val="center"/>
      </w:pPr>
      <w:r w:rsidRPr="00F817DE">
        <w:t>April</w:t>
      </w:r>
      <w:r w:rsidR="00C34089" w:rsidRPr="00F817DE">
        <w:t>, 2011</w:t>
      </w:r>
    </w:p>
    <w:p w:rsidR="00BE3CCC" w:rsidRDefault="00C34089" w:rsidP="003015DB">
      <w:pPr>
        <w:jc w:val="center"/>
        <w:rPr>
          <w:sz w:val="28"/>
          <w:szCs w:val="28"/>
          <w:u w:val="single"/>
        </w:rPr>
      </w:pPr>
      <w:r w:rsidRPr="00C34089">
        <w:rPr>
          <w:sz w:val="28"/>
          <w:szCs w:val="28"/>
        </w:rPr>
        <w:br w:type="page"/>
      </w:r>
    </w:p>
    <w:p w:rsidR="00BE3CCC" w:rsidRPr="00000BBF" w:rsidRDefault="00BE3CCC" w:rsidP="00BE3CCC">
      <w:pPr>
        <w:ind w:right="720"/>
        <w:jc w:val="both"/>
      </w:pPr>
    </w:p>
    <w:p w:rsidR="00BE3CCC" w:rsidRPr="00716485" w:rsidRDefault="00BE3CCC" w:rsidP="003015DB">
      <w:pPr>
        <w:ind w:left="1350" w:right="1440"/>
        <w:jc w:val="both"/>
        <w:rPr>
          <w:sz w:val="20"/>
          <w:szCs w:val="20"/>
        </w:rPr>
      </w:pPr>
      <w:r w:rsidRPr="003342FB">
        <w:rPr>
          <w:sz w:val="20"/>
          <w:szCs w:val="20"/>
        </w:rPr>
        <w:t>“It was a question of widening the limited horizon of the people, of awakening a sense of the civilizing influences [sic] bounds up with the sea…of deepening the conviction that this was the way imperatively assigned to us.”</w:t>
      </w:r>
      <w:r w:rsidRPr="00EC184A">
        <w:rPr>
          <w:rStyle w:val="FootnoteReference"/>
        </w:rPr>
        <w:footnoteReference w:id="1"/>
      </w:r>
    </w:p>
    <w:p w:rsidR="00BE3CCC" w:rsidRDefault="00BE3CCC" w:rsidP="00BE3CCC">
      <w:pPr>
        <w:jc w:val="both"/>
      </w:pPr>
    </w:p>
    <w:p w:rsidR="00BE3CCC" w:rsidRDefault="00BE3CCC" w:rsidP="00BE3CCC">
      <w:pPr>
        <w:jc w:val="both"/>
      </w:pPr>
    </w:p>
    <w:p w:rsidR="003015DB" w:rsidRDefault="003015DB" w:rsidP="00BE3CCC">
      <w:pPr>
        <w:jc w:val="both"/>
      </w:pPr>
    </w:p>
    <w:p w:rsidR="003015DB" w:rsidRPr="000B4083" w:rsidRDefault="003015DB" w:rsidP="003015DB">
      <w:pPr>
        <w:tabs>
          <w:tab w:val="left" w:pos="4820"/>
        </w:tabs>
        <w:ind w:right="720"/>
        <w:jc w:val="center"/>
        <w:rPr>
          <w:sz w:val="28"/>
          <w:szCs w:val="28"/>
        </w:rPr>
      </w:pPr>
      <w:r w:rsidRPr="000B4083">
        <w:rPr>
          <w:sz w:val="28"/>
          <w:szCs w:val="28"/>
          <w:u w:val="single"/>
        </w:rPr>
        <w:t>Introduction</w:t>
      </w:r>
    </w:p>
    <w:p w:rsidR="003015DB" w:rsidRDefault="003015DB" w:rsidP="00BE3CCC">
      <w:pPr>
        <w:spacing w:line="480" w:lineRule="auto"/>
        <w:ind w:firstLine="720"/>
        <w:jc w:val="both"/>
      </w:pPr>
    </w:p>
    <w:p w:rsidR="00BE3CCC" w:rsidRDefault="00BE3CCC" w:rsidP="00BE3CCC">
      <w:pPr>
        <w:spacing w:line="480" w:lineRule="auto"/>
        <w:ind w:firstLine="720"/>
        <w:jc w:val="both"/>
      </w:pPr>
      <w:r>
        <w:t xml:space="preserve">Since German unification in 1871, the navy had remained the weak arm of the empire’s military might. It shared no role or status comparable to the powerful, efficient, and battle hardened armies of the Prussian state that had forged together this new </w:t>
      </w:r>
      <w:r>
        <w:rPr>
          <w:i/>
        </w:rPr>
        <w:t xml:space="preserve">Kleindeutschland </w:t>
      </w:r>
      <w:r>
        <w:t>through three European wars.</w:t>
      </w:r>
      <w:r w:rsidRPr="00EC184A">
        <w:rPr>
          <w:rStyle w:val="FootnoteReference"/>
        </w:rPr>
        <w:footnoteReference w:id="2"/>
      </w:r>
      <w:r>
        <w:t xml:space="preserve"> Where the army served as the fundamental institution of the unified German state—as protector of the monarchy, guarantor of domestic stability, and guardian against foreign foes—the navy languished through twenty-six years of debate and disagreement over its significance and ultimate importance for achieving domestic and international aims. In June of 1897, </w:t>
      </w:r>
      <w:r w:rsidR="000742C2">
        <w:t xml:space="preserve">Admiral </w:t>
      </w:r>
      <w:r w:rsidR="002A028F">
        <w:t xml:space="preserve">Alfred von </w:t>
      </w:r>
      <w:r w:rsidR="000742C2">
        <w:t>Tirpitz became the new State Secretary of the Imperial Navy Office</w:t>
      </w:r>
      <w:r w:rsidR="005F6DD2">
        <w:t xml:space="preserve"> (Navy Secretary for short)</w:t>
      </w:r>
      <w:r w:rsidR="000742C2">
        <w:t xml:space="preserve"> and brought </w:t>
      </w:r>
      <w:r>
        <w:t xml:space="preserve">this state of </w:t>
      </w:r>
      <w:r w:rsidR="002A028F">
        <w:t>naval stagnation</w:t>
      </w:r>
      <w:r>
        <w:t xml:space="preserve"> came to an end.</w:t>
      </w:r>
    </w:p>
    <w:p w:rsidR="00BE3CCC" w:rsidRDefault="000742C2" w:rsidP="00BE3CCC">
      <w:pPr>
        <w:spacing w:line="480" w:lineRule="auto"/>
        <w:jc w:val="both"/>
      </w:pPr>
      <w:r>
        <w:tab/>
        <w:t xml:space="preserve">Shrewd and </w:t>
      </w:r>
      <w:r w:rsidR="00BE3CCC">
        <w:t xml:space="preserve">methodical, </w:t>
      </w:r>
      <w:r>
        <w:t>Tirpitz had at long last attained</w:t>
      </w:r>
      <w:r w:rsidR="00BE3CCC">
        <w:t xml:space="preserve"> thi</w:t>
      </w:r>
      <w:r>
        <w:t>s coveted and powerful government position</w:t>
      </w:r>
      <w:r w:rsidR="00BE3CCC">
        <w:t xml:space="preserve">. He </w:t>
      </w:r>
      <w:r>
        <w:t>was now</w:t>
      </w:r>
      <w:r w:rsidR="00BE3CCC">
        <w:t xml:space="preserve"> the figure responsible for the development, general organization, and utilization of the empire’s naval forces. On the 15</w:t>
      </w:r>
      <w:r w:rsidR="00BE3CCC" w:rsidRPr="006C784B">
        <w:rPr>
          <w:vertAlign w:val="superscript"/>
        </w:rPr>
        <w:t>th</w:t>
      </w:r>
      <w:r w:rsidR="00BE3CCC">
        <w:t xml:space="preserve"> of June 1897, two days before officially becoming the next </w:t>
      </w:r>
      <w:r w:rsidR="0014379A">
        <w:t>Navy Secretary</w:t>
      </w:r>
      <w:r w:rsidR="00BE3CCC">
        <w:t>, Admiral Tirpitz presented to the German Kaiser Wilhelm II a top-secret memorandum containing a clear and concise vision for German naval expansion.</w:t>
      </w:r>
      <w:r w:rsidR="00BE3CCC" w:rsidRPr="00EC184A">
        <w:rPr>
          <w:rStyle w:val="FootnoteReference"/>
        </w:rPr>
        <w:footnoteReference w:id="3"/>
      </w:r>
      <w:r w:rsidR="00BE3CCC">
        <w:t xml:space="preserve"> The Tirpitz Memorandum, as it came to be known, revealed the solution to the </w:t>
      </w:r>
      <w:r w:rsidR="00BE3CCC">
        <w:lastRenderedPageBreak/>
        <w:t>dilemma that had dogged German nationalists, navalists, and overseas expansionists since unification—how and in what capacity to expand the navy in a manner commensurate with the empire’s burgeoning population, industrial capacity, and overseas economic interests.</w:t>
      </w:r>
    </w:p>
    <w:p w:rsidR="005B6880" w:rsidRDefault="00BE3CCC" w:rsidP="00BE3CCC">
      <w:pPr>
        <w:spacing w:line="480" w:lineRule="auto"/>
        <w:jc w:val="both"/>
      </w:pPr>
      <w:r>
        <w:tab/>
        <w:t xml:space="preserve">The Admiral provided in his highly confidential Memorandum a coherent vision for fleet expansion by addressing three major points. </w:t>
      </w:r>
      <w:r w:rsidRPr="00665992">
        <w:t>First</w:t>
      </w:r>
      <w:r>
        <w:t xml:space="preserve">, he identified Britain as the sole power capable of thwarting German overseas economic and military ambitions and isolating it on the continent. If Germany were to pursue any naval expansion program, </w:t>
      </w:r>
      <w:r w:rsidR="002F41A5">
        <w:t xml:space="preserve">that program </w:t>
      </w:r>
      <w:r>
        <w:t xml:space="preserve">must therefore be constructed against England, </w:t>
      </w:r>
      <w:r w:rsidR="002F41A5">
        <w:t>whom the Admiral declared to be</w:t>
      </w:r>
      <w:r>
        <w:t xml:space="preserve"> the empire’s primary potential antagonist. </w:t>
      </w:r>
      <w:r w:rsidRPr="00665992">
        <w:t>Second</w:t>
      </w:r>
      <w:r>
        <w:t xml:space="preserve">, Tirpitz defined the naval strategy necessary for protecting German interests against the English threat. </w:t>
      </w:r>
      <w:r w:rsidR="005027D1">
        <w:t xml:space="preserve">Tirpitz </w:t>
      </w:r>
      <w:r>
        <w:t xml:space="preserve">rejected the </w:t>
      </w:r>
      <w:r>
        <w:rPr>
          <w:i/>
        </w:rPr>
        <w:t xml:space="preserve">jeune école </w:t>
      </w:r>
      <w:r>
        <w:t>strategy of strategic commerce raiding and transatlantic warfare</w:t>
      </w:r>
      <w:r w:rsidR="005027D1">
        <w:t xml:space="preserve">. </w:t>
      </w:r>
      <w:r>
        <w:t>Instead, he specified the need for a Mahanian-style fleet</w:t>
      </w:r>
      <w:r w:rsidR="002A028F">
        <w:t xml:space="preserve"> of powerful battleships</w:t>
      </w:r>
      <w:r>
        <w:t xml:space="preserve"> concentrated in the North Sea. This fleet would be capable of inflicting enough damage upon the Royal Navy that England would be either unwilling to risk battle with Germany or so weakened by doing so that it would invite attack from neighboring European powers.</w:t>
      </w:r>
      <w:r w:rsidRPr="00235264">
        <w:t xml:space="preserve"> </w:t>
      </w:r>
      <w:r>
        <w:t>Tirpitz understood such a German battle fleet as “a political power factor” capable of molding Anglo-German relations to the latter’s favor.</w:t>
      </w:r>
      <w:r w:rsidRPr="00EC184A">
        <w:rPr>
          <w:rStyle w:val="FootnoteReference"/>
        </w:rPr>
        <w:footnoteReference w:id="4"/>
      </w:r>
      <w:r>
        <w:t xml:space="preserve"> </w:t>
      </w:r>
      <w:r w:rsidRPr="00665992">
        <w:t>Third</w:t>
      </w:r>
      <w:r>
        <w:t>, Tirpitz specified the types of ships—battleships and supporting auxiliary vessels—and the numbers necessary to achieve his stated aims, organizing this German battle fleet of ships yet to be built, as well as of those already in existence.</w:t>
      </w:r>
      <w:r w:rsidRPr="00EC184A">
        <w:rPr>
          <w:rStyle w:val="FootnoteReference"/>
        </w:rPr>
        <w:footnoteReference w:id="5"/>
      </w:r>
      <w:r>
        <w:t xml:space="preserve"> Together, these three key points served as the foundation of Tirpitz’s naval pol</w:t>
      </w:r>
      <w:r w:rsidR="002A028F">
        <w:t xml:space="preserve">icy for the ensuing two decades. Knowingly or unknowingly, the Reichstag validated this </w:t>
      </w:r>
      <w:r w:rsidR="002A028F">
        <w:lastRenderedPageBreak/>
        <w:t>policy with the passage of the First Navy Law and set Germany on the path towards diplomatic crisis with Britain.</w:t>
      </w:r>
    </w:p>
    <w:p w:rsidR="00B70B7E" w:rsidRPr="006A27D1" w:rsidRDefault="00BE3CCC" w:rsidP="00036658">
      <w:pPr>
        <w:spacing w:line="480" w:lineRule="auto"/>
        <w:jc w:val="both"/>
      </w:pPr>
      <w:r>
        <w:tab/>
        <w:t xml:space="preserve">Between 1898 and 1912 Tirpitz drafted and successfully navigated through the Reichstag two founding and three supplementary Navy Laws, creating for Germany the world’s second largest and second most powerful naval force. A general historic overview of these five bills suggests that with the passage of the First Navy Law of 1898, Tirpitz had found the successful formula to arouse the necessary patriotic fervor and naval enthusiasm within the government, populace, and, most importantly, the Reichstag to assure the success of future naval expansion efforts. Yet was that the case? In February of 1900 Tirpitz presented to the Reichstag a second Navy Law, requesting the doubling of the 1898 battle fleet from 19 to 38 battleships and with further additional supporting vessels. The Reichstag assented to this request </w:t>
      </w:r>
      <w:r w:rsidR="003B627A">
        <w:t>just</w:t>
      </w:r>
      <w:r>
        <w:t xml:space="preserve"> two years after the passage </w:t>
      </w:r>
      <w:r w:rsidR="003B627A">
        <w:t>of the</w:t>
      </w:r>
      <w:r>
        <w:t xml:space="preserve"> First</w:t>
      </w:r>
      <w:r w:rsidR="003B627A">
        <w:t xml:space="preserve"> and four years before that bill’s completion</w:t>
      </w:r>
      <w:r>
        <w:t xml:space="preserve">, </w:t>
      </w:r>
      <w:r w:rsidR="004055F8">
        <w:t>over</w:t>
      </w:r>
      <w:r>
        <w:t xml:space="preserve"> the ideological division among </w:t>
      </w:r>
      <w:r w:rsidR="003B627A">
        <w:t>the legislative body’s leading political parties</w:t>
      </w:r>
      <w:r w:rsidRPr="0040729F">
        <w:t xml:space="preserve">, and </w:t>
      </w:r>
      <w:r w:rsidR="004055F8" w:rsidRPr="0040729F">
        <w:t xml:space="preserve">in spite of accusations of </w:t>
      </w:r>
      <w:r w:rsidR="000742C2">
        <w:t>the Law’s</w:t>
      </w:r>
      <w:r w:rsidR="004055F8" w:rsidRPr="0040729F">
        <w:t xml:space="preserve"> anti-British nature.</w:t>
      </w:r>
      <w:r w:rsidRPr="0040729F">
        <w:t xml:space="preserve"> Why</w:t>
      </w:r>
      <w:r w:rsidR="000742C2">
        <w:t xml:space="preserve"> was this the case? D</w:t>
      </w:r>
      <w:r>
        <w:t xml:space="preserve">id there exist a real possibility, either deliberate or otherwise, of denying the </w:t>
      </w:r>
      <w:r w:rsidR="0014379A">
        <w:t>Navy Secretary’s</w:t>
      </w:r>
      <w:r>
        <w:t xml:space="preserve"> request and thus derailing, or at least delaying, further naval expansion efforts?</w:t>
      </w:r>
      <w:r w:rsidR="00577377">
        <w:t xml:space="preserve"> </w:t>
      </w:r>
      <w:r w:rsidR="00BB3CE4">
        <w:t>Indeed, by the summer of 1900, Tirpitz had won support for the measure, but not without difficulties.</w:t>
      </w:r>
      <w:r w:rsidR="006A27D1">
        <w:t xml:space="preserve"> Ultimately, a combination </w:t>
      </w:r>
      <w:r w:rsidR="00036658">
        <w:t>of factors</w:t>
      </w:r>
      <w:r w:rsidR="00B67D80">
        <w:t>—the precedent</w:t>
      </w:r>
      <w:r w:rsidR="00B70B7E">
        <w:t xml:space="preserve"> set by the First Navy Law, </w:t>
      </w:r>
      <w:r w:rsidR="00A77F46">
        <w:t>domestic political conditions</w:t>
      </w:r>
      <w:r w:rsidR="00B70B7E">
        <w:t>, powerful government pressure</w:t>
      </w:r>
      <w:r w:rsidR="002B375F">
        <w:t>s</w:t>
      </w:r>
      <w:r w:rsidR="00B70B7E">
        <w:t>, and specific international events—</w:t>
      </w:r>
      <w:r w:rsidR="00036658">
        <w:t xml:space="preserve">had created an environment favorable </w:t>
      </w:r>
      <w:r w:rsidR="00526415">
        <w:t>to the</w:t>
      </w:r>
      <w:r w:rsidR="00036658">
        <w:t xml:space="preserve"> passage of the </w:t>
      </w:r>
      <w:r w:rsidR="000742C2">
        <w:t xml:space="preserve">Second </w:t>
      </w:r>
      <w:r w:rsidR="00036658">
        <w:t xml:space="preserve">Navy Law of 1900 </w:t>
      </w:r>
      <w:r w:rsidR="003D111D">
        <w:t xml:space="preserve">and its </w:t>
      </w:r>
      <w:r w:rsidR="004055F8">
        <w:t>subtle</w:t>
      </w:r>
      <w:r w:rsidR="005B6880">
        <w:t>, though quite real,</w:t>
      </w:r>
      <w:r w:rsidR="004055F8">
        <w:t xml:space="preserve"> </w:t>
      </w:r>
      <w:r w:rsidR="00526415">
        <w:t>transformation</w:t>
      </w:r>
      <w:r w:rsidR="003D111D">
        <w:t xml:space="preserve"> of </w:t>
      </w:r>
      <w:r w:rsidR="00526415">
        <w:t xml:space="preserve">the German navy into </w:t>
      </w:r>
      <w:r w:rsidR="003D111D">
        <w:t xml:space="preserve">an </w:t>
      </w:r>
      <w:r w:rsidR="00526415">
        <w:t>offensive</w:t>
      </w:r>
      <w:r w:rsidR="004055F8">
        <w:t xml:space="preserve"> </w:t>
      </w:r>
      <w:r w:rsidR="00526415">
        <w:t>weapon</w:t>
      </w:r>
      <w:r w:rsidR="004055F8">
        <w:t xml:space="preserve"> aimed against England</w:t>
      </w:r>
      <w:r w:rsidR="003D111D">
        <w:t>.</w:t>
      </w:r>
    </w:p>
    <w:p w:rsidR="00BE3CCC" w:rsidRPr="000120FE" w:rsidRDefault="00BE3CCC" w:rsidP="00BE3CCC">
      <w:pPr>
        <w:spacing w:line="480" w:lineRule="auto"/>
        <w:jc w:val="both"/>
      </w:pPr>
      <w:r>
        <w:tab/>
        <w:t xml:space="preserve">The passage of this Second Navy Law holds great historical </w:t>
      </w:r>
      <w:r w:rsidRPr="00EE3ADB">
        <w:t>significance.</w:t>
      </w:r>
      <w:r w:rsidR="005027D1">
        <w:t xml:space="preserve"> Specifically, it was a critical moment in determining whether the empire would or would not tether its foreign </w:t>
      </w:r>
      <w:r w:rsidR="005027D1">
        <w:lastRenderedPageBreak/>
        <w:t>relations to a new and ambitious naval policy.</w:t>
      </w:r>
      <w:r w:rsidRPr="00EE3ADB">
        <w:t xml:space="preserve"> Had the </w:t>
      </w:r>
      <w:r w:rsidR="000742C2">
        <w:t xml:space="preserve">Second </w:t>
      </w:r>
      <w:r w:rsidRPr="00EE3ADB">
        <w:t>Law been rejected, or at le</w:t>
      </w:r>
      <w:r>
        <w:t>ast delayed until 1905 or 1906 (</w:t>
      </w:r>
      <w:r w:rsidRPr="00EE3ADB">
        <w:t xml:space="preserve">the time when Tirpitz had </w:t>
      </w:r>
      <w:r>
        <w:t xml:space="preserve">initially </w:t>
      </w:r>
      <w:r w:rsidRPr="00EE3ADB">
        <w:t>anticipated proposing a second bill</w:t>
      </w:r>
      <w:r>
        <w:t>),</w:t>
      </w:r>
      <w:r w:rsidR="005B6880">
        <w:t xml:space="preserve"> the history of Germany could have unfolded quite differently. Without </w:t>
      </w:r>
      <w:r w:rsidR="002B456E">
        <w:t>its success</w:t>
      </w:r>
      <w:r w:rsidR="005B6880">
        <w:t xml:space="preserve">, the momentum behind the Admiral’s building program </w:t>
      </w:r>
      <w:r w:rsidR="002B456E">
        <w:t>could</w:t>
      </w:r>
      <w:r w:rsidR="005B6880">
        <w:t xml:space="preserve"> have been considerably weakened.</w:t>
      </w:r>
      <w:r w:rsidRPr="00EE3ADB">
        <w:t xml:space="preserve"> The German navy would have remained in a much more infantile </w:t>
      </w:r>
      <w:r>
        <w:t>state for several years longe</w:t>
      </w:r>
      <w:r w:rsidR="005B6880">
        <w:t xml:space="preserve">r, and the Anglo-German arms race would not have developed or become so acute so soon after the turn of the century. It was that specter of </w:t>
      </w:r>
      <w:r w:rsidR="00E51A06">
        <w:t>a German naval threat that had contributed to the rise of Anglo-German antagonism, the end of Britain’s century of “Splendid Isolation,” and the gradual international isolation of Germany within Europe.</w:t>
      </w:r>
      <w:r w:rsidRPr="00EE3ADB">
        <w:t xml:space="preserve"> </w:t>
      </w:r>
      <w:r>
        <w:t>By the summer of 1914 t</w:t>
      </w:r>
      <w:r w:rsidRPr="00EE3ADB">
        <w:t xml:space="preserve">he </w:t>
      </w:r>
      <w:r>
        <w:t>geopolitical</w:t>
      </w:r>
      <w:r w:rsidRPr="00EE3ADB">
        <w:t xml:space="preserve"> state of Europe</w:t>
      </w:r>
      <w:r w:rsidR="00E51A06">
        <w:t xml:space="preserve">—and the circumstances that so greatly contributed to the outbreak of world war—might </w:t>
      </w:r>
      <w:r w:rsidRPr="00EE3ADB">
        <w:t>have</w:t>
      </w:r>
      <w:r>
        <w:t xml:space="preserve"> looked drastically different</w:t>
      </w:r>
      <w:r w:rsidRPr="00EE3ADB">
        <w:t>.</w:t>
      </w:r>
      <w:r w:rsidRPr="005D1044">
        <w:t xml:space="preserve"> </w:t>
      </w:r>
      <w:r w:rsidR="002B375F">
        <w:t>Still</w:t>
      </w:r>
      <w:r w:rsidR="00E51A06">
        <w:t>, the</w:t>
      </w:r>
      <w:r w:rsidR="002B375F">
        <w:t>se</w:t>
      </w:r>
      <w:r>
        <w:t xml:space="preserve"> questions surrounding the Second Navy Law have not received </w:t>
      </w:r>
      <w:r w:rsidR="002B456E">
        <w:t xml:space="preserve">enough of the </w:t>
      </w:r>
      <w:r w:rsidR="002B375F">
        <w:t xml:space="preserve">explicit </w:t>
      </w:r>
      <w:r>
        <w:t>attention</w:t>
      </w:r>
      <w:r w:rsidR="002B456E">
        <w:t xml:space="preserve"> that they deserve</w:t>
      </w:r>
      <w:r>
        <w:t>.</w:t>
      </w:r>
    </w:p>
    <w:p w:rsidR="00BE3CCC" w:rsidRDefault="00BE3CCC" w:rsidP="00BE3CCC">
      <w:pPr>
        <w:spacing w:line="480" w:lineRule="auto"/>
        <w:jc w:val="both"/>
      </w:pPr>
      <w:r>
        <w:tab/>
        <w:t>Existing scholarship and the primary sources available to this author point to the likely adoption of the 1900 Navy Law</w:t>
      </w:r>
      <w:r w:rsidR="00E51A06">
        <w:t xml:space="preserve"> in June of that year</w:t>
      </w:r>
      <w:r>
        <w:t xml:space="preserve">. Historian Jonathan Steinberg, author of the 1965 work </w:t>
      </w:r>
      <w:r>
        <w:rPr>
          <w:i/>
        </w:rPr>
        <w:t>Yesterday’s Deterrent</w:t>
      </w:r>
      <w:r w:rsidR="00E51A06">
        <w:t>, buttresses this sentiment. T</w:t>
      </w:r>
      <w:r>
        <w:t xml:space="preserve">hrough his </w:t>
      </w:r>
      <w:r w:rsidR="00E51A06">
        <w:t xml:space="preserve">examination of the First Navy Law and Tirpitz’s rise, he finds that the bill was </w:t>
      </w:r>
      <w:r>
        <w:t>“no ordinary piece of military legislation”</w:t>
      </w:r>
      <w:r w:rsidR="00E51A06">
        <w:t xml:space="preserve"> and that it</w:t>
      </w:r>
      <w:r>
        <w:t xml:space="preserve"> “began a new era” of German domestic and foreign policy</w:t>
      </w:r>
      <w:r w:rsidR="005027D1">
        <w:t>. O</w:t>
      </w:r>
      <w:r>
        <w:t xml:space="preserve">nce </w:t>
      </w:r>
      <w:r w:rsidR="00E51A06">
        <w:t>embarked upon, policy makers and government officials would be unlikely to reverse course.</w:t>
      </w:r>
      <w:r w:rsidRPr="00EC184A">
        <w:rPr>
          <w:rStyle w:val="FootnoteReference"/>
        </w:rPr>
        <w:footnoteReference w:id="6"/>
      </w:r>
      <w:r>
        <w:t xml:space="preserve"> Volker Berghahn, in his 1971 masterpiece </w:t>
      </w:r>
      <w:r>
        <w:rPr>
          <w:i/>
        </w:rPr>
        <w:t>Der Tirpitz-</w:t>
      </w:r>
      <w:r w:rsidRPr="00970AEB">
        <w:rPr>
          <w:i/>
        </w:rPr>
        <w:t>Plan</w:t>
      </w:r>
      <w:r>
        <w:t xml:space="preserve">, offers a crucial exploration of the development of the Second Navy Law and the domestic and international conditions surrounding its passage. </w:t>
      </w:r>
      <w:r w:rsidR="00576F73">
        <w:t xml:space="preserve">Eckart Kehr’s </w:t>
      </w:r>
      <w:r w:rsidR="00576F73">
        <w:rPr>
          <w:i/>
        </w:rPr>
        <w:t>Schlachtflottenbau und Partei-Politik 1894-1901</w:t>
      </w:r>
      <w:r w:rsidR="00576F73">
        <w:t xml:space="preserve"> stands among the most important works on this topic for its exploration of the political breakdown of Wilhelmine Germany and the role of the empire’s political parties in naval expansion. </w:t>
      </w:r>
      <w:r>
        <w:t xml:space="preserve">Scholarship by historian Paul Kennedy </w:t>
      </w:r>
      <w:r>
        <w:lastRenderedPageBreak/>
        <w:t>examines the 1900 Navy Law and Tirpi</w:t>
      </w:r>
      <w:r w:rsidR="003870C6">
        <w:t>tz’s fleet programs with regards</w:t>
      </w:r>
      <w:r>
        <w:t xml:space="preserve"> to Anglo-German relations and a concerted German effort to challenge Brit</w:t>
      </w:r>
      <w:r w:rsidR="003870C6">
        <w:t xml:space="preserve">ish supremacy of the seas. </w:t>
      </w:r>
      <w:r>
        <w:t>Indeed, countless other authors have written on the development of the German navy</w:t>
      </w:r>
      <w:r w:rsidR="00576F73">
        <w:t xml:space="preserve"> and have also proven influential to this thesis</w:t>
      </w:r>
      <w:r>
        <w:t>. Yet the works of these four</w:t>
      </w:r>
      <w:r w:rsidR="003870C6">
        <w:t xml:space="preserve"> have</w:t>
      </w:r>
      <w:r>
        <w:t xml:space="preserve"> provide</w:t>
      </w:r>
      <w:r w:rsidR="003870C6">
        <w:t>d</w:t>
      </w:r>
      <w:r>
        <w:t xml:space="preserve"> the </w:t>
      </w:r>
      <w:r w:rsidR="00576F73">
        <w:t>most thorough scholarly foundation</w:t>
      </w:r>
      <w:r>
        <w:t xml:space="preserve"> necessary for this examination of the Admiral and the success of his first and, more important</w:t>
      </w:r>
      <w:r w:rsidR="003D111D">
        <w:t>ly, his second building program</w:t>
      </w:r>
      <w:r>
        <w:t>.</w:t>
      </w:r>
    </w:p>
    <w:p w:rsidR="00BE3CCC" w:rsidRDefault="00BE3CCC" w:rsidP="00BE3CCC">
      <w:pPr>
        <w:spacing w:line="480" w:lineRule="auto"/>
        <w:jc w:val="both"/>
      </w:pPr>
      <w:r>
        <w:tab/>
      </w:r>
      <w:r w:rsidR="005027D1">
        <w:t xml:space="preserve">Primary sources for this project </w:t>
      </w:r>
      <w:r>
        <w:t xml:space="preserve">include newspaper articles, published memoirs, internal governmental and departmental documents, as well as published Reichstag debates. </w:t>
      </w:r>
      <w:r w:rsidR="00576F73">
        <w:t xml:space="preserve">First, </w:t>
      </w:r>
      <w:r>
        <w:rPr>
          <w:i/>
        </w:rPr>
        <w:t>The London Times</w:t>
      </w:r>
      <w:r>
        <w:t xml:space="preserve"> serves as one of the main periodicals for the scope of this paper, due to the inaccessibility of leading national German-language papers from the time, as well as the paper’s thorough documentation of </w:t>
      </w:r>
      <w:r w:rsidR="00576F73">
        <w:t>both</w:t>
      </w:r>
      <w:r>
        <w:t xml:space="preserve"> Reichstag debates </w:t>
      </w:r>
      <w:r w:rsidR="00576F73">
        <w:t>and its Budget Commission hearings on</w:t>
      </w:r>
      <w:r>
        <w:t xml:space="preserve"> the </w:t>
      </w:r>
      <w:r w:rsidR="00576F73">
        <w:t>Navy Laws.</w:t>
      </w:r>
      <w:r>
        <w:t xml:space="preserve"> </w:t>
      </w:r>
      <w:r w:rsidR="00576F73">
        <w:t>Second, t</w:t>
      </w:r>
      <w:r>
        <w:t xml:space="preserve">he published memoirs and personal documents of </w:t>
      </w:r>
      <w:r w:rsidR="00576F73">
        <w:t xml:space="preserve">such figures as </w:t>
      </w:r>
      <w:r>
        <w:t xml:space="preserve">Admiral Tirpitz, </w:t>
      </w:r>
      <w:r w:rsidR="007169E2">
        <w:t xml:space="preserve">Secretary of State for Foreign Affairs </w:t>
      </w:r>
      <w:r w:rsidR="00576F73">
        <w:t xml:space="preserve">Bernhard von Bülow, and Kaiser Wilhelm II </w:t>
      </w:r>
      <w:r>
        <w:t xml:space="preserve">provide a necessary level of personal insight from the strongest voices behind expansion efforts. </w:t>
      </w:r>
      <w:r w:rsidR="00576F73">
        <w:t xml:space="preserve">Third, </w:t>
      </w:r>
      <w:r>
        <w:t xml:space="preserve">Volker Berghahn and Wilhelm Deist’s </w:t>
      </w:r>
      <w:r>
        <w:rPr>
          <w:i/>
        </w:rPr>
        <w:t>Rüstung im Zeichen der wilhelmischen Weltpolitik: Grundlegende Dokumente</w:t>
      </w:r>
      <w:r>
        <w:t xml:space="preserve"> contains a collection of important archival material</w:t>
      </w:r>
      <w:r w:rsidR="00576F73">
        <w:t>, some of which was highly classified at the time,</w:t>
      </w:r>
      <w:r>
        <w:t xml:space="preserve"> from leading figures within the </w:t>
      </w:r>
      <w:r w:rsidR="00576F73">
        <w:t xml:space="preserve">navy and army during </w:t>
      </w:r>
      <w:r>
        <w:t xml:space="preserve">the development of the </w:t>
      </w:r>
      <w:r w:rsidR="006652C7">
        <w:t>Navy</w:t>
      </w:r>
      <w:r>
        <w:t xml:space="preserve"> Laws. </w:t>
      </w:r>
      <w:r w:rsidR="00576F73">
        <w:t xml:space="preserve">Lastly, </w:t>
      </w:r>
      <w:r>
        <w:t>Reichstag debates published in their entirety are the last major s</w:t>
      </w:r>
      <w:r w:rsidR="00576F73">
        <w:t>ource of material from the time</w:t>
      </w:r>
      <w:r w:rsidR="00B925CB">
        <w:t>,</w:t>
      </w:r>
      <w:r w:rsidR="00576F73">
        <w:t xml:space="preserve"> and provide the clearest expressions of opinions from government officials and </w:t>
      </w:r>
      <w:r w:rsidR="001E0AD6">
        <w:t>the leaders of major political parties during the debates on the Navy Laws.</w:t>
      </w:r>
      <w:r w:rsidR="00576F73">
        <w:t xml:space="preserve"> </w:t>
      </w:r>
    </w:p>
    <w:p w:rsidR="009B6849" w:rsidRDefault="00BE3CCC" w:rsidP="00BE3CCC">
      <w:pPr>
        <w:spacing w:line="480" w:lineRule="auto"/>
        <w:jc w:val="both"/>
      </w:pPr>
      <w:r>
        <w:tab/>
        <w:t xml:space="preserve">This </w:t>
      </w:r>
      <w:r w:rsidR="00B925CB">
        <w:t>thesis</w:t>
      </w:r>
      <w:r>
        <w:t xml:space="preserve"> will be divided into </w:t>
      </w:r>
      <w:r w:rsidR="00ED5F34">
        <w:t>five</w:t>
      </w:r>
      <w:r>
        <w:t xml:space="preserve"> primary sections. </w:t>
      </w:r>
      <w:r w:rsidR="009B6849">
        <w:t>Chapter One</w:t>
      </w:r>
      <w:r>
        <w:t xml:space="preserve"> will address the background and historical context </w:t>
      </w:r>
      <w:r w:rsidR="009B6849">
        <w:t xml:space="preserve">of Germany’s economic and demographic transformation at </w:t>
      </w:r>
      <w:r w:rsidR="009B6849">
        <w:lastRenderedPageBreak/>
        <w:t xml:space="preserve">the turn of the century, its position in world affairs, and the breakdown of its government and </w:t>
      </w:r>
      <w:r w:rsidR="00F252E3">
        <w:t>politics.</w:t>
      </w:r>
      <w:r w:rsidR="009B6849">
        <w:t xml:space="preserve"> Chapter Two</w:t>
      </w:r>
      <w:r w:rsidR="00193DC7">
        <w:t xml:space="preserve"> </w:t>
      </w:r>
      <w:r w:rsidR="00ED5F34">
        <w:t>explores</w:t>
      </w:r>
      <w:r w:rsidR="00193DC7">
        <w:t xml:space="preserve"> the development of the First Navy Law, the political factors behind its passage, and the consequences it created. Chapter Three</w:t>
      </w:r>
      <w:r w:rsidR="00ED5F34">
        <w:t xml:space="preserve"> </w:t>
      </w:r>
      <w:r w:rsidR="00F252E3">
        <w:t>breaks down</w:t>
      </w:r>
      <w:r w:rsidR="00ED5F34">
        <w:t xml:space="preserve"> the inception, development, and passage of the Second Navy Law, and Chapters Four and Five </w:t>
      </w:r>
      <w:r w:rsidR="00F252E3">
        <w:t xml:space="preserve">analyze the primary domestic factors, including the political interests of the different parties and pressures </w:t>
      </w:r>
      <w:r w:rsidR="00A56B65">
        <w:t>stemming from the</w:t>
      </w:r>
      <w:r w:rsidR="00F252E3">
        <w:t xml:space="preserve"> government, as well as the specific international events that ultimately made likely the passage of the Second Navy Law.   </w:t>
      </w:r>
    </w:p>
    <w:p w:rsidR="00BE3CCC" w:rsidRDefault="00BE3CCC" w:rsidP="00F252E3">
      <w:pPr>
        <w:spacing w:line="480" w:lineRule="auto"/>
        <w:rPr>
          <w:sz w:val="28"/>
          <w:szCs w:val="28"/>
          <w:u w:val="single"/>
        </w:rPr>
      </w:pPr>
    </w:p>
    <w:p w:rsidR="00BE3CCC" w:rsidRDefault="00B671F7" w:rsidP="00BE3CCC">
      <w:pPr>
        <w:spacing w:line="480" w:lineRule="auto"/>
        <w:jc w:val="center"/>
        <w:rPr>
          <w:sz w:val="28"/>
          <w:szCs w:val="28"/>
          <w:u w:val="single"/>
        </w:rPr>
      </w:pPr>
      <w:r>
        <w:rPr>
          <w:sz w:val="28"/>
          <w:szCs w:val="28"/>
          <w:u w:val="single"/>
        </w:rPr>
        <w:t>I</w:t>
      </w:r>
      <w:r w:rsidR="00BE3CCC">
        <w:rPr>
          <w:sz w:val="28"/>
          <w:szCs w:val="28"/>
          <w:u w:val="single"/>
        </w:rPr>
        <w:t>. A New Century</w:t>
      </w:r>
    </w:p>
    <w:p w:rsidR="00BE3CCC" w:rsidRPr="000D00AD" w:rsidRDefault="00BE3CCC" w:rsidP="00BE3CCC">
      <w:pPr>
        <w:spacing w:line="480" w:lineRule="auto"/>
        <w:jc w:val="center"/>
        <w:outlineLvl w:val="0"/>
        <w:rPr>
          <w:u w:val="single"/>
        </w:rPr>
      </w:pPr>
      <w:r>
        <w:rPr>
          <w:u w:val="single"/>
        </w:rPr>
        <w:t>Transformation of the German State</w:t>
      </w:r>
    </w:p>
    <w:p w:rsidR="00BE3CCC" w:rsidRDefault="00BE3CCC" w:rsidP="00BE3CCC">
      <w:pPr>
        <w:spacing w:line="480" w:lineRule="auto"/>
        <w:jc w:val="both"/>
      </w:pPr>
      <w:r>
        <w:tab/>
        <w:t>Behind Tirpitz’s naval efforts lay the extraordinary social and economic transformations experienced by the German Empire that began in 1871 and, by 1914, left it the most powerful nation on the continent. Demographically, the German population was growing at a rate far beyond that of its Western and Central European neighbors—a rate of 1 per cent per annum—from 41 million inhabitants in 1871 to 56 million by 1900 and 67 million in 1914.</w:t>
      </w:r>
      <w:r w:rsidR="001A30E4" w:rsidRPr="00EC184A">
        <w:rPr>
          <w:rStyle w:val="FootnoteReference"/>
        </w:rPr>
        <w:footnoteReference w:id="7"/>
      </w:r>
      <w:r>
        <w:t xml:space="preserve"> High birth rates, decreasing infant mortality, and increasing immigration from other European states </w:t>
      </w:r>
      <w:r w:rsidR="005027D1">
        <w:t xml:space="preserve">including </w:t>
      </w:r>
      <w:r>
        <w:t>Austria, Italy, and Russian Poland contributed to this rapid demographic expansion, while emigration out of Germany simultaneously diminished.</w:t>
      </w:r>
      <w:r w:rsidRPr="00EC184A">
        <w:rPr>
          <w:rStyle w:val="FootnoteReference"/>
        </w:rPr>
        <w:footnoteReference w:id="8"/>
      </w:r>
      <w:r w:rsidRPr="00754175">
        <w:t xml:space="preserve"> </w:t>
      </w:r>
      <w:r>
        <w:t xml:space="preserve">In 1885 171,000 German </w:t>
      </w:r>
      <w:r>
        <w:rPr>
          <w:i/>
        </w:rPr>
        <w:t>Auswanderer</w:t>
      </w:r>
      <w:r>
        <w:t xml:space="preserve"> migrated out</w:t>
      </w:r>
      <w:r w:rsidR="008A7F7F">
        <w:t>ward</w:t>
      </w:r>
      <w:r>
        <w:t xml:space="preserve"> to the Western Hemisphere and other parts of the world; by 1898 that number was 22,000 and was to remain static until the outbreak of war.</w:t>
      </w:r>
      <w:r w:rsidRPr="00EC184A">
        <w:rPr>
          <w:rStyle w:val="FootnoteReference"/>
        </w:rPr>
        <w:footnoteReference w:id="9"/>
      </w:r>
      <w:r>
        <w:t xml:space="preserve"> Meanwhile, </w:t>
      </w:r>
      <w:r>
        <w:lastRenderedPageBreak/>
        <w:t>Germany’s leading rival, France, experienced no such population growth.</w:t>
      </w:r>
      <w:r w:rsidR="00B925CB">
        <w:t xml:space="preserve"> Germany’s population grew by some 800,000 when examining the national births-per-death ratio, while France’s grew by only</w:t>
      </w:r>
      <w:r w:rsidR="00B32B64">
        <w:t xml:space="preserve"> 300,000. For every 1 million new naturally born French citizens, Germany added more than 2.5</w:t>
      </w:r>
      <w:r w:rsidR="0014379A">
        <w:t xml:space="preserve"> million</w:t>
      </w:r>
      <w:r w:rsidR="00B32B64">
        <w:t xml:space="preserve">. </w:t>
      </w:r>
      <w:r>
        <w:t>Consequently, a much smaller percentage of France’s population was young and growing, whereas more than one third of all Germans were under the age of 15. Not until 1915 did the French citizenry reach 40 million.</w:t>
      </w:r>
      <w:r w:rsidRPr="00EC184A">
        <w:rPr>
          <w:rStyle w:val="FootnoteReference"/>
        </w:rPr>
        <w:footnoteReference w:id="10"/>
      </w:r>
    </w:p>
    <w:p w:rsidR="00BE3CCC" w:rsidRDefault="00BE3CCC" w:rsidP="00BE3CCC">
      <w:pPr>
        <w:spacing w:line="480" w:lineRule="auto"/>
        <w:jc w:val="both"/>
      </w:pPr>
      <w:r>
        <w:tab/>
        <w:t xml:space="preserve">Germany’s economy and industrial output were similarly </w:t>
      </w:r>
      <w:r w:rsidR="00B925CB">
        <w:t>growing</w:t>
      </w:r>
      <w:r>
        <w:t xml:space="preserve"> and dwarfing other major world powers. </w:t>
      </w:r>
      <w:r w:rsidR="0014379A">
        <w:t>Its coal production was half of Britain’s in 1890 and equaled it by 1913.</w:t>
      </w:r>
      <w:r>
        <w:t xml:space="preserve"> Steel production </w:t>
      </w:r>
      <w:r w:rsidR="0014379A">
        <w:t>was</w:t>
      </w:r>
      <w:r>
        <w:t xml:space="preserve"> two thirds of Britain’s in 1890, exceeded it by 1896, and more than doubled it by 1914. Described by author Robert Massie:</w:t>
      </w:r>
    </w:p>
    <w:p w:rsidR="00BE3CCC" w:rsidRDefault="00BE3CCC" w:rsidP="00BE3CCC">
      <w:pPr>
        <w:ind w:left="720" w:right="720"/>
        <w:jc w:val="both"/>
        <w:rPr>
          <w:sz w:val="20"/>
          <w:szCs w:val="20"/>
        </w:rPr>
      </w:pPr>
      <w:r w:rsidRPr="008868CD">
        <w:rPr>
          <w:sz w:val="20"/>
          <w:szCs w:val="20"/>
        </w:rPr>
        <w:t>it was the same in almost every field. Rapid urbanization; the growth of railways; the proliferation of blast furnaces, rolling mills, and factory chimneys; the development of chemical, electrical, and textile industries; the rise of the world’s second largest merchant fleet; and booming foreign trade and overseas investments—these combined to create a state that economically as well as militarily dominated the European continent.</w:t>
      </w:r>
      <w:r w:rsidRPr="00EC184A">
        <w:rPr>
          <w:rStyle w:val="FootnoteReference"/>
        </w:rPr>
        <w:footnoteReference w:id="11"/>
      </w:r>
    </w:p>
    <w:p w:rsidR="00BE3CCC" w:rsidRPr="008868CD" w:rsidRDefault="00BE3CCC" w:rsidP="00BE3CCC">
      <w:pPr>
        <w:ind w:left="720" w:right="720"/>
        <w:jc w:val="both"/>
        <w:rPr>
          <w:sz w:val="20"/>
          <w:szCs w:val="20"/>
        </w:rPr>
      </w:pPr>
    </w:p>
    <w:p w:rsidR="00BE3CCC" w:rsidRDefault="00BE3CCC" w:rsidP="00BE3CCC">
      <w:pPr>
        <w:spacing w:line="480" w:lineRule="auto"/>
        <w:jc w:val="both"/>
      </w:pPr>
      <w:r>
        <w:t>In these regards, Germany was growing faster than Britain and virtually every country in the world with the exception of the United States. These transformations underscored changing social dynamics, too, and were both the causal and resulting factors of further economic expansion and economic growth. Rapid industrializ</w:t>
      </w:r>
      <w:r w:rsidR="00B32B64">
        <w:t xml:space="preserve">ation transformed the face of the country. </w:t>
      </w:r>
      <w:r w:rsidR="00A743A7">
        <w:t xml:space="preserve">Abundant coal and iron ore deposits fueled factories and the mass production of goods in an unprecedented way. Railroads multiplied across the empire and moved those raw materials and finished products from rural outposts to growing industrial and urban environments. Moreover, they enabled the movement of human capital </w:t>
      </w:r>
      <w:r w:rsidR="002E5B41">
        <w:t>like no other point in</w:t>
      </w:r>
      <w:r w:rsidR="00A743A7">
        <w:t xml:space="preserve"> history and drastically altered the empire’s population distribution.</w:t>
      </w:r>
      <w:r>
        <w:t xml:space="preserve"> Millions of people moved fr</w:t>
      </w:r>
      <w:r w:rsidR="002E5B41">
        <w:t>om eastern agricultural regions,</w:t>
      </w:r>
      <w:r>
        <w:t xml:space="preserve"> </w:t>
      </w:r>
      <w:r w:rsidR="002E5B41">
        <w:t>as well as neighboring European countries,</w:t>
      </w:r>
      <w:r>
        <w:t xml:space="preserve"> to work in the </w:t>
      </w:r>
      <w:r w:rsidR="002E5B41">
        <w:t xml:space="preserve">empire’s western factories, </w:t>
      </w:r>
      <w:r>
        <w:t>plant</w:t>
      </w:r>
      <w:r w:rsidR="002E5B41">
        <w:t xml:space="preserve">s, and </w:t>
      </w:r>
      <w:r w:rsidR="002E5B41">
        <w:lastRenderedPageBreak/>
        <w:t>centers of production. F</w:t>
      </w:r>
      <w:r>
        <w:t>rom 1871 to 1910 populations of urban cities increased more than twofold, while, in spite of an ever-diminishing rural labor force, simultaneous chemical and technological advances enabled agricultural output to continue unabated.</w:t>
      </w:r>
      <w:r w:rsidRPr="00EC184A">
        <w:rPr>
          <w:rStyle w:val="FootnoteReference"/>
        </w:rPr>
        <w:footnoteReference w:id="12"/>
      </w:r>
    </w:p>
    <w:p w:rsidR="00BE3CCC" w:rsidRDefault="00BE3CCC" w:rsidP="00BE3CCC">
      <w:pPr>
        <w:spacing w:line="480" w:lineRule="auto"/>
        <w:ind w:firstLine="720"/>
        <w:jc w:val="both"/>
      </w:pPr>
      <w:r>
        <w:t>With rapid industrialization and economic expansion came increasing ties to international trade. No longer was agriculture the nation’s primary</w:t>
      </w:r>
      <w:r w:rsidR="005027D1">
        <w:t xml:space="preserve"> export</w:t>
      </w:r>
      <w:r>
        <w:t xml:space="preserve">. Factories, chemical plants, and textile mills were </w:t>
      </w:r>
      <w:r w:rsidR="008A7F7F">
        <w:t xml:space="preserve">rapidly </w:t>
      </w:r>
      <w:r>
        <w:t>churning out products for shipment by rail throughout the European continent</w:t>
      </w:r>
      <w:r w:rsidR="008A7F7F">
        <w:t>,</w:t>
      </w:r>
      <w:r>
        <w:t xml:space="preserve"> as well as to rapidly expanding port cities along the North and Baltic Seas that carried goods to distant markets. Simultaneous increases in German imports of raw materials were necessary to support this flourish of industrial activity, and thus demanded further trade with foreign nations and their colonies around the world. Between its foundation in 1871 and the outbreak of war in 1914, Germany experienced levels of industrialization, economic expansion, and population growth that virtually no other nation, </w:t>
      </w:r>
      <w:r w:rsidR="0014379A">
        <w:t xml:space="preserve">aside from </w:t>
      </w:r>
      <w:r>
        <w:t>the United States, could possibly match. Between 1887 and 1912 German imports had increased by 143.8 percent and exports by 185.4</w:t>
      </w:r>
      <w:r w:rsidR="0014379A">
        <w:t xml:space="preserve"> percent</w:t>
      </w:r>
      <w:r>
        <w:t>. Together, reports author Fritz Fischer, they yielded the largest increase in foreign trade compared to any other country at 214.7 percent, while the United States experienced an increase of 173.3 percent, Britain 113.1 percent, and France 98.1 percent.</w:t>
      </w:r>
      <w:r w:rsidRPr="00EC184A">
        <w:rPr>
          <w:rStyle w:val="FootnoteReference"/>
        </w:rPr>
        <w:footnoteReference w:id="13"/>
      </w:r>
      <w:r>
        <w:t xml:space="preserve"> </w:t>
      </w:r>
      <w:r w:rsidR="005027D1">
        <w:t xml:space="preserve">The </w:t>
      </w:r>
      <w:r>
        <w:t>magnitude of economic, industrial and demographic expansion did not go</w:t>
      </w:r>
      <w:r w:rsidR="005027D1">
        <w:t xml:space="preserve"> unnoticed, as</w:t>
      </w:r>
      <w:r>
        <w:t xml:space="preserve"> prominent German figures saw it necessary for the nation to utilize this strength and become the world power it ought to be. “The big states are getting bigger and stronger, the small states smaller and weaker,” Tirpitz quoted Britain’s Prime Minister, “and I agree.”</w:t>
      </w:r>
      <w:r w:rsidR="006150B3" w:rsidRPr="00EC184A">
        <w:rPr>
          <w:rStyle w:val="FootnoteReference"/>
        </w:rPr>
        <w:footnoteReference w:id="14"/>
      </w:r>
    </w:p>
    <w:p w:rsidR="00BE3CCC" w:rsidRDefault="00BE3CCC" w:rsidP="00BE3CCC">
      <w:pPr>
        <w:spacing w:line="480" w:lineRule="auto"/>
        <w:jc w:val="both"/>
      </w:pPr>
    </w:p>
    <w:p w:rsidR="00BE3CCC" w:rsidRPr="00563D63" w:rsidRDefault="00BE3CCC" w:rsidP="00BE3CCC">
      <w:pPr>
        <w:spacing w:line="480" w:lineRule="auto"/>
        <w:jc w:val="center"/>
        <w:outlineLvl w:val="0"/>
        <w:rPr>
          <w:u w:val="single"/>
        </w:rPr>
      </w:pPr>
      <w:r>
        <w:rPr>
          <w:u w:val="single"/>
        </w:rPr>
        <w:t>Position in World Affairs</w:t>
      </w:r>
    </w:p>
    <w:p w:rsidR="00BE3CCC" w:rsidRDefault="00BE3CCC" w:rsidP="00BE3CCC">
      <w:pPr>
        <w:spacing w:line="480" w:lineRule="auto"/>
        <w:ind w:firstLine="720"/>
        <w:jc w:val="both"/>
      </w:pPr>
      <w:r>
        <w:t xml:space="preserve">By the 1890s, government figures and broader segments of the population increasingly accepted the notion of </w:t>
      </w:r>
      <w:r>
        <w:rPr>
          <w:i/>
        </w:rPr>
        <w:t>Weltmacht</w:t>
      </w:r>
      <w:r>
        <w:t>, or German’s destiny to be among the world’s Great Powers in the 20</w:t>
      </w:r>
      <w:r w:rsidRPr="0027233D">
        <w:rPr>
          <w:vertAlign w:val="superscript"/>
        </w:rPr>
        <w:t>th</w:t>
      </w:r>
      <w:r>
        <w:t xml:space="preserve"> century through economic, cultural, and military expansion. This had already begun to an extent in the preceding decade with Chancellor Otto von Bismarck’s foray into overseas acquisitions, though his policies ultimately reverted to assuring domestic stability and securing German hegemony on the continent. Still, in 1884-5 he acquired for Germany a landmass five times its size: “South-West Africa (modern Namibia,) German East Africa (Tanzania), Togo and the Cameroons in West Africa, a third of New Guinea, most of the Solomon Islands…the Marshall and Caroline Islands…and a share of…Samoa.”</w:t>
      </w:r>
      <w:r w:rsidRPr="00EC184A">
        <w:rPr>
          <w:rStyle w:val="FootnoteReference"/>
        </w:rPr>
        <w:footnoteReference w:id="15"/>
      </w:r>
      <w:r>
        <w:t xml:space="preserve"> This whetted the appetite of German expansionists and naval enthusiasts who saw a precedent set for German </w:t>
      </w:r>
      <w:r>
        <w:rPr>
          <w:i/>
        </w:rPr>
        <w:t>Weltpolitik</w:t>
      </w:r>
      <w:r>
        <w:t>, or a globally expansive world policy.</w:t>
      </w:r>
    </w:p>
    <w:p w:rsidR="00BE3CCC" w:rsidRDefault="00BE3CCC" w:rsidP="00BE3CCC">
      <w:pPr>
        <w:spacing w:line="480" w:lineRule="auto"/>
        <w:ind w:firstLine="720"/>
        <w:jc w:val="both"/>
      </w:pPr>
      <w:r>
        <w:t>By the 1890s, rapid industrialization was overtaking agriculture as the empire’s primary economic structure, and, once again, German eyes looked outward. Access to markets—new and old, within Europe and without—became a primary focus, as well as securing access to raw materials from other parts of the globe to feed Germany’s industrial machine. Massive trade networks developed, and Germany’s merchant marine grew to the second largest in the world, behind only Britain’s.</w:t>
      </w:r>
      <w:r w:rsidRPr="00EC184A">
        <w:rPr>
          <w:rStyle w:val="FootnoteReference"/>
        </w:rPr>
        <w:footnoteReference w:id="16"/>
      </w:r>
      <w:r>
        <w:t xml:space="preserve"> Recognition of Germany’s concurrent population boom also turned eyes outward and underscored the notion of </w:t>
      </w:r>
      <w:r>
        <w:rPr>
          <w:i/>
        </w:rPr>
        <w:t>Lebensraum</w:t>
      </w:r>
      <w:r>
        <w:t xml:space="preserve"> to prevent overcrowding, congestion, and domestic unrest.</w:t>
      </w:r>
    </w:p>
    <w:p w:rsidR="00BE3CCC" w:rsidRDefault="00BE3CCC" w:rsidP="00BE3CCC">
      <w:pPr>
        <w:spacing w:line="480" w:lineRule="auto"/>
        <w:ind w:firstLine="720"/>
        <w:jc w:val="both"/>
      </w:pPr>
      <w:r>
        <w:lastRenderedPageBreak/>
        <w:t xml:space="preserve">The debate surrounding German naval power took on new prominence with the expansion of the nation’s economic and social interests overseas. As it stood, Britain controlled the world’s oceans and major waterways, and assured the protection and safety of the world’s merchant marines. Some Germans, particularly overseas expansionists, industrialists, and naval enthusiasts, saw a national crisis in ignoring naval expansion and ceding naval hegemony to Britain. </w:t>
      </w:r>
      <w:r w:rsidRPr="0040729F">
        <w:t>The Kruger Telegram</w:t>
      </w:r>
      <w:r w:rsidR="00ED1DC6" w:rsidRPr="0040729F">
        <w:t>, which is discussed in greater detail later in this section, greatly underscored this perceived problem</w:t>
      </w:r>
      <w:r w:rsidR="00ED7F4A" w:rsidRPr="0040729F">
        <w:t>. It</w:t>
      </w:r>
      <w:r w:rsidRPr="0040729F">
        <w:t xml:space="preserve"> had “shattered the friendly screen which…had shrouded the discontent and dislike” that Britain had harbored since German Unification, writes Bernhard von Bülow, who served as </w:t>
      </w:r>
      <w:r w:rsidR="004C2AAC">
        <w:t>Foreign Secretary</w:t>
      </w:r>
      <w:r w:rsidRPr="0040729F">
        <w:t xml:space="preserve"> from 1897 to 1900.</w:t>
      </w:r>
      <w:r w:rsidRPr="00A14851">
        <w:rPr>
          <w:b/>
        </w:rPr>
        <w:t xml:space="preserve"> </w:t>
      </w:r>
      <w:r w:rsidR="0014379A">
        <w:t>Therefore</w:t>
      </w:r>
      <w:r>
        <w:t>, Germany could no longer rely on stable relations with Britain for the protection of its overseas trade, especially when so much of its rapid economic development was dependent on that trade. The matter of naval expansion “had become a matter of life and death.”</w:t>
      </w:r>
      <w:r w:rsidRPr="00EC184A">
        <w:rPr>
          <w:rStyle w:val="FootnoteReference"/>
        </w:rPr>
        <w:footnoteReference w:id="17"/>
      </w:r>
      <w:r>
        <w:t xml:space="preserve"> Other Germans supported naval expansion on the grounds that the nation was historically bound to the seas. The Hanseatic League had dominated maritime trade in the North and Baltic Seas throughout the late Middle Ages and brought great wealth to many German port cities, and the Great Elector of Brandenburg had founded a Prussian navy in the 17</w:t>
      </w:r>
      <w:r w:rsidRPr="00C206C3">
        <w:rPr>
          <w:vertAlign w:val="superscript"/>
        </w:rPr>
        <w:t>th</w:t>
      </w:r>
      <w:r>
        <w:t xml:space="preserve"> century and even acquired colonial holdings in Africa. And even as recently as 1848, German nationalists had striven for the creation of a unified German navy.</w:t>
      </w:r>
      <w:r w:rsidRPr="00EC184A">
        <w:rPr>
          <w:rStyle w:val="FootnoteReference"/>
        </w:rPr>
        <w:footnoteReference w:id="18"/>
      </w:r>
      <w:r>
        <w:t xml:space="preserve"> To these people, </w:t>
      </w:r>
      <w:r>
        <w:rPr>
          <w:i/>
        </w:rPr>
        <w:t>Pax Britannica</w:t>
      </w:r>
      <w:r>
        <w:t xml:space="preserve"> </w:t>
      </w:r>
      <w:r w:rsidR="0014379A">
        <w:t>w</w:t>
      </w:r>
      <w:r>
        <w:t xml:space="preserve">as an obstacle both to ensuring the safety of </w:t>
      </w:r>
      <w:r w:rsidR="0014379A">
        <w:t xml:space="preserve">Germany’s </w:t>
      </w:r>
      <w:r>
        <w:t>rapidly growing national interests around the globe and to reviving the longstanding German naval tradition.</w:t>
      </w:r>
    </w:p>
    <w:p w:rsidR="00BE3CCC" w:rsidRDefault="00BE3CCC" w:rsidP="00BE3CCC">
      <w:pPr>
        <w:spacing w:line="480" w:lineRule="auto"/>
        <w:ind w:firstLine="720"/>
        <w:jc w:val="both"/>
      </w:pPr>
      <w:r>
        <w:lastRenderedPageBreak/>
        <w:t>With th</w:t>
      </w:r>
      <w:r w:rsidR="0014379A">
        <w:t>e ascension of Wilhelm II in 188</w:t>
      </w:r>
      <w:r>
        <w:t>8 came new efforts to develop the navy, though disagreement over purpose and strategy prevented major progress.</w:t>
      </w:r>
      <w:r w:rsidR="005027D1">
        <w:t xml:space="preserve"> A zealous</w:t>
      </w:r>
      <w:r>
        <w:t xml:space="preserve"> proponent of naval expansion and the most powerful one in the empire, the Kaiser</w:t>
      </w:r>
      <w:r w:rsidR="005027D1">
        <w:t xml:space="preserve"> hindered its development</w:t>
      </w:r>
      <w:r>
        <w:t xml:space="preserve"> through his over eagerness, restless imagination, and delusions of naval grandeur. Wilhelm had been in </w:t>
      </w:r>
      <w:r w:rsidRPr="009449B1">
        <w:t xml:space="preserve">close company with his English relatives </w:t>
      </w:r>
      <w:r>
        <w:t xml:space="preserve">since childhood </w:t>
      </w:r>
      <w:r w:rsidRPr="009449B1">
        <w:t>and often attended fleet reviews, sailing regattas, and other public gatherings that celebrated and showcased, with much pomp and pageantry, the might of the British navy.</w:t>
      </w:r>
      <w:r>
        <w:t xml:space="preserve"> Once Kaiser, he sought to construct his own navy of which to be proud—one comprised of both the same powerful armored battleships of Britain’s mighty fleets and the sleek, fast cruisers that could protect national interests or assert German might all around the world. This question of naval strategy remained inconsistent from the Emperor down and impaired expansion efforts for nearly a decade. For</w:t>
      </w:r>
      <w:r w:rsidR="00D8068A">
        <w:t xml:space="preserve"> Germany’s international ambitions to include a powerful navy, the government</w:t>
      </w:r>
      <w:r w:rsidR="005027D1">
        <w:t xml:space="preserve"> would need a</w:t>
      </w:r>
      <w:r>
        <w:t xml:space="preserve"> strong-willed, articulate, and visionary individual to make it possible.</w:t>
      </w:r>
    </w:p>
    <w:p w:rsidR="00BE3CCC" w:rsidRDefault="00BE3CCC" w:rsidP="00BE3CCC">
      <w:pPr>
        <w:spacing w:line="480" w:lineRule="auto"/>
        <w:ind w:firstLine="720"/>
        <w:jc w:val="both"/>
        <w:rPr>
          <w:b/>
        </w:rPr>
      </w:pPr>
      <w:r>
        <w:t xml:space="preserve">By the mid 1890s, German conflicts with neighboring European powers had deepened. To the west was France. Since the Franco-Prussian War and the resulting unification of Germany in 1871, France had harbored deep resentment for the loss of Alsace-Lorraine and its military and political humiliations. </w:t>
      </w:r>
      <w:r>
        <w:rPr>
          <w:i/>
        </w:rPr>
        <w:t>Revanche</w:t>
      </w:r>
      <w:r>
        <w:t xml:space="preserve"> had become a foundational element of the French national identity, and the Third Republic long waited for the opportunity to extract revenge. In the east stood Russia. Indeed, Russo-German relations had remained stable, if not amicable, for much of Bismarck’s tenure as Imperial Chancellor. Following his resignation</w:t>
      </w:r>
      <w:r w:rsidR="0014379A">
        <w:t xml:space="preserve"> in 1890</w:t>
      </w:r>
      <w:r>
        <w:t xml:space="preserve">, however, the new Chancellor Leopold von Caprivi permitted the expiration of a secret Russo-German diplomatic understanding that had served as the linchpin of their mutual cooperation. The Chancellor saw any covert understanding as an affront to Germany’s principle continental friend and ally, </w:t>
      </w:r>
      <w:r>
        <w:lastRenderedPageBreak/>
        <w:t xml:space="preserve">Austria-Hungary, </w:t>
      </w:r>
      <w:r w:rsidR="0014379A">
        <w:t>which</w:t>
      </w:r>
      <w:r>
        <w:t xml:space="preserve"> vehemently opposed Russian intrusions into the Balkans where Austria-Hungary’s own imperial interests lay. Following this diplomatic backslide in Central Europe, the </w:t>
      </w:r>
      <w:r w:rsidR="0014379A">
        <w:t>Russian</w:t>
      </w:r>
      <w:r>
        <w:t xml:space="preserve"> Empire looked to France for a partnership, and in 1892 the two powers entered into a binding military alliance.</w:t>
      </w:r>
    </w:p>
    <w:p w:rsidR="00BE3CCC" w:rsidRDefault="00BE3CCC" w:rsidP="00BE3CCC">
      <w:pPr>
        <w:spacing w:line="480" w:lineRule="auto"/>
        <w:ind w:firstLine="720"/>
        <w:jc w:val="both"/>
      </w:pPr>
      <w:r>
        <w:t>Through the outbreak of the First World War, the German government and military high command planned above all else a two-front war against this Franco-Russian union. The organization of the army and the development of its military strategies reflected this expectation and culminated with the renowned Schlieffen Plan of 1906, the execution of which Germany attempted in August 1914.</w:t>
      </w:r>
      <w:r w:rsidRPr="00EC184A">
        <w:rPr>
          <w:rStyle w:val="FootnoteReference"/>
        </w:rPr>
        <w:footnoteReference w:id="19"/>
      </w:r>
      <w:r>
        <w:t xml:space="preserve"> Diplomatically, Germany also prepared itself. It committed itself to the survival and integrity of the aging Austro-Hungarian Empire, whose various ethnic minorities undermined its stability by agitating for expanded political power, if not outright separation. In 1882 the two Germanic powers entered into a defensive alliance with Italy, guaranteeing military assistance should one member be attacked by two or more powers. In light of its military planning and diplomatic maneuvers, Germany prepared itself for a two-front war against France and Russia, and simultaneously cemented its continental hegemony through continued economic, industrial, and military expansion.</w:t>
      </w:r>
    </w:p>
    <w:p w:rsidR="00BE3CCC" w:rsidRDefault="00BE3CCC" w:rsidP="00BE3CCC">
      <w:pPr>
        <w:spacing w:line="480" w:lineRule="auto"/>
        <w:ind w:firstLine="720"/>
        <w:jc w:val="both"/>
      </w:pPr>
      <w:r>
        <w:t>Prior to the 1890s Anglo-German relations remained stable, and often amicable.</w:t>
      </w:r>
      <w:r w:rsidRPr="00EC184A">
        <w:rPr>
          <w:rStyle w:val="FootnoteReference"/>
        </w:rPr>
        <w:footnoteReference w:id="20"/>
      </w:r>
      <w:r w:rsidRPr="0019044D">
        <w:t xml:space="preserve"> </w:t>
      </w:r>
      <w:r>
        <w:t xml:space="preserve">Britain had assisted with Germany’s colonial endeavors in 1884-5 and the two courted notions of an alliance in the later part of the decade, but by 1890 those relations had begun to sour. The dismissal of Bismarck and the onset of Wilhelm II’s more belligerent and unpredictable “New Course” policies ushered in a period of diplomatic uncertainty between the two nations; only </w:t>
      </w:r>
      <w:r>
        <w:lastRenderedPageBreak/>
        <w:t>greater and much more grounded fears of Russian and French ambitions kept Britain and Germany in eager cooperation with one another. Yet by 1895 they experienced their first major diplomatic row over British actions in South Africa.</w:t>
      </w:r>
    </w:p>
    <w:p w:rsidR="00BE3CCC" w:rsidRPr="008E636F" w:rsidRDefault="00BE3CCC" w:rsidP="00BE3CCC">
      <w:pPr>
        <w:spacing w:line="480" w:lineRule="auto"/>
        <w:ind w:firstLine="720"/>
        <w:jc w:val="both"/>
      </w:pPr>
      <w:r>
        <w:t>British interests in the region had existed since the beginning of the 19</w:t>
      </w:r>
      <w:r w:rsidRPr="00EF2E4C">
        <w:rPr>
          <w:vertAlign w:val="superscript"/>
        </w:rPr>
        <w:t>th</w:t>
      </w:r>
      <w:r>
        <w:t xml:space="preserve"> century with the acquisition and gradual development of the Cape Colony and Natal, two pieces of today’s South Africa. Obstructing British expansion to the northeast lay the two independent Boer republics of the Orange Free State and the Transvaal Republic, which had been founded by former Dutch settlers who sought to escape British rule in the Cape. The discovery of large amounts of gold in the Transvaal in 1886 brought immediate international attention to the republic and thousands of miners from around the world. In response to the massive influx of these </w:t>
      </w:r>
      <w:r>
        <w:rPr>
          <w:i/>
        </w:rPr>
        <w:t>Uitlanders</w:t>
      </w:r>
      <w:r>
        <w:t>, the Boer government began passing legislation restricting voting rights, citizenship, and schooling, while also levying new taxes against them. Over the ensuing decade British intrigues began developing to liberate “[the] community of some 60,000 adult males of…mainly English birth” who were subjected by oppressive rule of the elite Boer minority.</w:t>
      </w:r>
      <w:r w:rsidRPr="00EC184A">
        <w:rPr>
          <w:rStyle w:val="FootnoteReference"/>
        </w:rPr>
        <w:footnoteReference w:id="21"/>
      </w:r>
      <w:r>
        <w:t xml:space="preserve"> In 1895 Cecil Rhodes, Prime Minister of the Cape Colony, planned an armed incursion into the Transvaal Republic without the knowledge or support of the British government. Utilizing a private army led by his close confidant Leander Starr Jameson, roughly 500 men crossed into the Transvaal in late December to incite an uprising among </w:t>
      </w:r>
      <w:r>
        <w:rPr>
          <w:i/>
        </w:rPr>
        <w:t>Uitlanders</w:t>
      </w:r>
      <w:r>
        <w:t xml:space="preserve"> and overthrow the Boer government. After four days, the effort had failed entirely, and the surviving raiders were captured and retu</w:t>
      </w:r>
      <w:r w:rsidR="0014379A">
        <w:t>rned to the Cape Colony for tria</w:t>
      </w:r>
      <w:r>
        <w:t>l in England.</w:t>
      </w:r>
    </w:p>
    <w:p w:rsidR="00BE3CCC" w:rsidRDefault="00BE3CCC" w:rsidP="00BE3CCC">
      <w:pPr>
        <w:spacing w:line="480" w:lineRule="auto"/>
        <w:ind w:firstLine="720"/>
        <w:jc w:val="both"/>
      </w:pPr>
      <w:r>
        <w:t xml:space="preserve"> The Jameson Raid elicited strong anti-British reactions, particularly in Germany. As the Kaiser notes, “the German nation was outraged at this attempt to overpower a little nation, which was Dutch—and, hence, Lower Saxon-German in origin—and to which we were sympathetic </w:t>
      </w:r>
      <w:r>
        <w:lastRenderedPageBreak/>
        <w:t>because of racial relationship.”</w:t>
      </w:r>
      <w:r w:rsidRPr="00EC184A">
        <w:rPr>
          <w:rStyle w:val="FootnoteReference"/>
        </w:rPr>
        <w:footnoteReference w:id="22"/>
      </w:r>
      <w:r>
        <w:t xml:space="preserve"> Moreover, since the discovery of gold in 1886, German economic influence and interest in the Republic had also grown: thousands of German businessmen moved to the Transvaal; a railroad largely supported by German capital developed as a link between the Transvaal capital of Praetoria with a Portuguese port in Mozambique; and German merchants utilized this rail-port connection as a shipping hub in the Indian Ocean.</w:t>
      </w:r>
      <w:r w:rsidRPr="00EC184A">
        <w:rPr>
          <w:rStyle w:val="FootnoteReference"/>
        </w:rPr>
        <w:footnoteReference w:id="23"/>
      </w:r>
      <w:r>
        <w:t xml:space="preserve"> Following the Raid, and in the midst of heated anti-British and pro-Boer declarations in the press and among the public, the Kaiser wrote to the Republic’s president, Paul Kruger, the infamous Kruger Telegram. In the message, Wilhelm declared his open support for the people of the Transvaal in their efforts to maintain independence against encroaching British influence “without appealing for the help of friendly powers.”</w:t>
      </w:r>
      <w:r w:rsidRPr="00EC184A">
        <w:rPr>
          <w:rStyle w:val="FootnoteReference"/>
        </w:rPr>
        <w:footnoteReference w:id="24"/>
      </w:r>
    </w:p>
    <w:p w:rsidR="00BE3CCC" w:rsidRDefault="00160E51" w:rsidP="00BE3CCC">
      <w:pPr>
        <w:spacing w:line="480" w:lineRule="auto"/>
        <w:ind w:firstLine="720"/>
        <w:jc w:val="both"/>
      </w:pPr>
      <w:r>
        <w:t>The t</w:t>
      </w:r>
      <w:r w:rsidR="00BE3CCC">
        <w:t xml:space="preserve">elegram set off a diplomatic row between the two countries as their respective governments tried to account for the actions that had transpired. Britain declared the Jameson Raid to be an </w:t>
      </w:r>
      <w:r w:rsidR="00A42E92">
        <w:t xml:space="preserve">action unauthorized by </w:t>
      </w:r>
      <w:r w:rsidR="002E5B41">
        <w:t>the government in London</w:t>
      </w:r>
      <w:r w:rsidR="00BE3CCC">
        <w:t xml:space="preserve">, and the Kaiser and </w:t>
      </w:r>
      <w:r w:rsidR="002E5B41">
        <w:t>his ministers</w:t>
      </w:r>
      <w:r w:rsidR="00BE3CCC">
        <w:t xml:space="preserve"> were forced to clarify the true meaning and intent behind the Kruger Telegram. Together, the events between December 1895 and January 1896 mark what historian Paul Kennedy describes as “without doubt the most serious moment in the Anglo-German political relationship” in nearly three decades.</w:t>
      </w:r>
      <w:r w:rsidR="00BE3CCC" w:rsidRPr="00EC184A">
        <w:rPr>
          <w:rStyle w:val="FootnoteReference"/>
        </w:rPr>
        <w:footnoteReference w:id="25"/>
      </w:r>
      <w:r w:rsidR="00BE3CCC">
        <w:t xml:space="preserve"> Thereafter, press, public, and leading government figures of both nations began expressing inward and outward hostility and mistrust toward one another. For Tirpitz, the distinct growth of anti-British sentiment in the German government and society signaled a ripening opportunity to make a concerted push for expanding the empire’s naval capabilities.  </w:t>
      </w:r>
    </w:p>
    <w:p w:rsidR="00BE3CCC" w:rsidRDefault="00BE3CCC" w:rsidP="00BE3CCC">
      <w:pPr>
        <w:spacing w:line="480" w:lineRule="auto"/>
        <w:ind w:firstLine="720"/>
        <w:jc w:val="both"/>
      </w:pPr>
    </w:p>
    <w:p w:rsidR="00BE3CCC" w:rsidRDefault="00BE3CCC" w:rsidP="00BE3CCC">
      <w:pPr>
        <w:spacing w:line="480" w:lineRule="auto"/>
        <w:jc w:val="center"/>
        <w:outlineLvl w:val="0"/>
      </w:pPr>
      <w:r>
        <w:rPr>
          <w:u w:val="single"/>
        </w:rPr>
        <w:lastRenderedPageBreak/>
        <w:t>Government and Politics</w:t>
      </w:r>
    </w:p>
    <w:p w:rsidR="00BE3CCC" w:rsidRDefault="00BE3CCC" w:rsidP="00BE3CCC">
      <w:pPr>
        <w:spacing w:line="480" w:lineRule="auto"/>
        <w:jc w:val="both"/>
      </w:pPr>
      <w:r>
        <w:tab/>
        <w:t>Crucial to the passing of Admiral Tirpitz’s passing of the 1900 Navy Bill, as with those before and after, was the institutional structure of the empire and the drastically diverse interests among its political parties. At the head of the empire and its executive branch was the Kaiser, whose powers were defined by the German Constitution of 1871.</w:t>
      </w:r>
      <w:r w:rsidRPr="00EC184A">
        <w:rPr>
          <w:rStyle w:val="FootnoteReference"/>
        </w:rPr>
        <w:footnoteReference w:id="26"/>
      </w:r>
      <w:r>
        <w:t xml:space="preserve"> His power and authority included command of the empire’s military forces, the appointment of federal ministers and advisors, including the Imperial Chancellor, the ability to summon and dismiss government officials, including the popularly elected Reichstag, and the oversight and enforcement of federal legislation.</w:t>
      </w:r>
      <w:r w:rsidRPr="00EC184A">
        <w:rPr>
          <w:rStyle w:val="FootnoteReference"/>
        </w:rPr>
        <w:footnoteReference w:id="27"/>
      </w:r>
      <w:r>
        <w:t xml:space="preserve"> Indeed, the powers ascribed to the Kaiser were far reaching, and his prerogative was a powerful element in steering government directives and influencing popular opinion. Yet his voice alone could not dictate the nation’s policies.</w:t>
      </w:r>
    </w:p>
    <w:p w:rsidR="00BE3CCC" w:rsidRDefault="00BE3CCC" w:rsidP="00BE3CCC">
      <w:pPr>
        <w:spacing w:line="480" w:lineRule="auto"/>
        <w:jc w:val="both"/>
      </w:pPr>
      <w:r>
        <w:tab/>
        <w:t xml:space="preserve">Opposite the Kaiser and his ministers stood the democratically elected Reichstag, whose primary responsibilities </w:t>
      </w:r>
      <w:r w:rsidR="002E5B41">
        <w:t>included</w:t>
      </w:r>
      <w:r>
        <w:t xml:space="preserve"> passing federal legislation and handling the empire’s financial affairs. By controlling the budget and the levers of the German economy, the Reichstag possessed a potentially strong hand in federal affairs, much to the </w:t>
      </w:r>
      <w:r w:rsidR="002E5B41">
        <w:t>frustration</w:t>
      </w:r>
      <w:r>
        <w:t xml:space="preserve"> of Wilhelm II and his Imperial Chancellors.</w:t>
      </w:r>
      <w:r w:rsidRPr="00EC184A">
        <w:rPr>
          <w:rStyle w:val="FootnoteReference"/>
        </w:rPr>
        <w:footnoteReference w:id="28"/>
      </w:r>
      <w:r>
        <w:t xml:space="preserve"> Among its authorities, as described by Gordon Craig, were those over “matters of transportation and communications, control of the banking system, coinage and international exchange, weights and mea</w:t>
      </w:r>
      <w:r w:rsidR="002E5B41">
        <w:t>sures, patents, consular rights.</w:t>
      </w:r>
      <w:r>
        <w:t xml:space="preserve">” </w:t>
      </w:r>
      <w:r w:rsidR="002E5B41">
        <w:t xml:space="preserve">Of </w:t>
      </w:r>
      <w:r>
        <w:t>great importance for their impact o</w:t>
      </w:r>
      <w:r w:rsidR="002E5B41">
        <w:t>n foreign relations were its oversight of international</w:t>
      </w:r>
      <w:r>
        <w:t xml:space="preserve"> trade agreements and tariff policies.</w:t>
      </w:r>
      <w:r w:rsidRPr="00EC184A">
        <w:rPr>
          <w:rStyle w:val="FootnoteReference"/>
        </w:rPr>
        <w:footnoteReference w:id="29"/>
      </w:r>
      <w:r>
        <w:t xml:space="preserve"> The Reichstag remained weak, however, in many key regards: it was unable repeal its </w:t>
      </w:r>
      <w:r>
        <w:lastRenderedPageBreak/>
        <w:t>own laws, rescind its own taxation measures, or propose its own legislation; “its sole function,” decried the Progressive Liberal Eugen Richter, “being to pronounce upon the proposals of government.”</w:t>
      </w:r>
      <w:r w:rsidRPr="00EC184A">
        <w:rPr>
          <w:rStyle w:val="FootnoteReference"/>
        </w:rPr>
        <w:footnoteReference w:id="30"/>
      </w:r>
      <w:r>
        <w:t xml:space="preserve"> </w:t>
      </w:r>
      <w:r w:rsidR="00057A44">
        <w:t>When the government tried winning a modest, though poorly developed, presented</w:t>
      </w:r>
      <w:r w:rsidR="00E76B06">
        <w:t>,</w:t>
      </w:r>
      <w:r w:rsidR="00057A44">
        <w:t xml:space="preserve"> and defended </w:t>
      </w:r>
      <w:r w:rsidR="003668A5">
        <w:t>Navy Bill</w:t>
      </w:r>
      <w:r w:rsidR="00057A44">
        <w:t xml:space="preserve"> from the Reichstag in spring </w:t>
      </w:r>
      <w:r w:rsidR="00E76B06">
        <w:t xml:space="preserve">of </w:t>
      </w:r>
      <w:r w:rsidR="00057A44">
        <w:t xml:space="preserve">1897 under then </w:t>
      </w:r>
      <w:r w:rsidR="00D1258F">
        <w:t xml:space="preserve">Navy Secretary </w:t>
      </w:r>
      <w:r w:rsidR="003668A5">
        <w:t xml:space="preserve">Admiral </w:t>
      </w:r>
      <w:r w:rsidR="00057A44">
        <w:t>Hollmann, the parliamentary</w:t>
      </w:r>
      <w:r w:rsidR="003668A5">
        <w:t xml:space="preserve"> body rejected it soundly. The B</w:t>
      </w:r>
      <w:r w:rsidR="00057A44">
        <w:t xml:space="preserve">ill had called for a smattering of different experimental ships and contained no solid explanation to their </w:t>
      </w:r>
      <w:r>
        <w:t>usage or an overarching strategy</w:t>
      </w:r>
      <w:r w:rsidR="003668A5">
        <w:t xml:space="preserve"> for the defense of Germany’s coasts and maritime interests</w:t>
      </w:r>
      <w:r>
        <w:t>.</w:t>
      </w:r>
      <w:r w:rsidR="00E76B06" w:rsidRPr="00EC184A">
        <w:rPr>
          <w:rStyle w:val="FootnoteReference"/>
        </w:rPr>
        <w:footnoteReference w:id="31"/>
      </w:r>
      <w:r>
        <w:t xml:space="preserve"> Although a multitude</w:t>
      </w:r>
      <w:r w:rsidR="003668A5">
        <w:t xml:space="preserve"> of factors contributed to the legislation’s</w:t>
      </w:r>
      <w:r>
        <w:t xml:space="preserve"> failure and Hollmann’s replacement by Tirpitz, its rejection in the Reichstag lay in part with the legislative body’s diverse political makeup with competing interests and ideologies—factors that Tirpitz would need to weave together for the success of not only of his transformational 1898 Navy Law, but for its pivotal successor in 1900.</w:t>
      </w:r>
    </w:p>
    <w:p w:rsidR="00BE3CCC" w:rsidRPr="009107BE" w:rsidRDefault="00BE3CCC" w:rsidP="003668A5">
      <w:pPr>
        <w:spacing w:line="480" w:lineRule="auto"/>
        <w:jc w:val="both"/>
      </w:pPr>
      <w:r>
        <w:tab/>
        <w:t xml:space="preserve">By the 1890s, the Reichstag’s diverse ideological makeup broke down into five leading political parties. On the far right of the empire’s political spectrum were the Conservatives, or the </w:t>
      </w:r>
      <w:r>
        <w:rPr>
          <w:i/>
        </w:rPr>
        <w:t>Reichspartei</w:t>
      </w:r>
      <w:r>
        <w:t>. They were primarily agrarian, land-holding Prussian aristocrats who had long standing ties to the Prussian state, army, and monarch</w:t>
      </w:r>
      <w:r w:rsidR="003668A5">
        <w:t>y</w:t>
      </w:r>
      <w:r>
        <w:t xml:space="preserve">. </w:t>
      </w:r>
      <w:r w:rsidR="00314F91">
        <w:t xml:space="preserve">They </w:t>
      </w:r>
      <w:r w:rsidR="003668A5">
        <w:t>traditionally</w:t>
      </w:r>
      <w:r>
        <w:t xml:space="preserve"> supported the policies </w:t>
      </w:r>
      <w:r w:rsidR="00314F91">
        <w:t>of</w:t>
      </w:r>
      <w:r>
        <w:t xml:space="preserve"> the Kaiser and his Imperial Chancellor.</w:t>
      </w:r>
      <w:r w:rsidRPr="00EC184A">
        <w:rPr>
          <w:rStyle w:val="FootnoteReference"/>
        </w:rPr>
        <w:footnoteReference w:id="32"/>
      </w:r>
      <w:r>
        <w:t xml:space="preserve">  The Catholic Centre party, originally formed to defend Catholic interests against Bismarck during the </w:t>
      </w:r>
      <w:r>
        <w:rPr>
          <w:i/>
        </w:rPr>
        <w:t>Kulturkampf</w:t>
      </w:r>
      <w:r>
        <w:t xml:space="preserve"> of the 1870s, was the largest in the Reichstag by the 1890s and had developed a broader appeal. It became a more secularly focused </w:t>
      </w:r>
      <w:r>
        <w:rPr>
          <w:i/>
        </w:rPr>
        <w:t>Regierungspartei</w:t>
      </w:r>
      <w:r>
        <w:t xml:space="preserve"> (party of government) by </w:t>
      </w:r>
      <w:r w:rsidR="003668A5">
        <w:t>moving</w:t>
      </w:r>
      <w:r>
        <w:t xml:space="preserve"> away from its</w:t>
      </w:r>
      <w:r w:rsidR="003668A5">
        <w:t xml:space="preserve"> exclusively clerical interests, though its constituency continued to stem primarily from Catholic peasants, members </w:t>
      </w:r>
      <w:r w:rsidR="003668A5">
        <w:lastRenderedPageBreak/>
        <w:t>of the lower middle class, and laborers.</w:t>
      </w:r>
      <w:r w:rsidRPr="00EC184A">
        <w:rPr>
          <w:rStyle w:val="FootnoteReference"/>
        </w:rPr>
        <w:footnoteReference w:id="33"/>
      </w:r>
      <w:r>
        <w:t xml:space="preserve"> The National Liberals and the Left Liberals made up the government’s two leading liberal parties. Both groups were comprised of predominantly educated, upper middle class citizens and shared similar free market economic principles. Their differentiations lay in the former’s concern for greater “centralization…secularization…and material progress” and the latter’s for the expansion of parliamentary rights, increased scrutiny of government policy, and skepticism of all things military.</w:t>
      </w:r>
      <w:r w:rsidRPr="00EC184A">
        <w:rPr>
          <w:rStyle w:val="FootnoteReference"/>
        </w:rPr>
        <w:footnoteReference w:id="34"/>
      </w:r>
      <w:r>
        <w:t xml:space="preserve"> The Democratic Socialist Party was the last and left-most major political faction in the Reichstag of the 1890s. Representing the nation’s working class and labor unions, they opposed the empire’s f</w:t>
      </w:r>
      <w:r w:rsidR="00B75688">
        <w:t>ree-market economics and, like L</w:t>
      </w:r>
      <w:r>
        <w:t xml:space="preserve">eft Liberals, stood in opposition to the concentration of power in the monarchy and the dominating role of the military. As Tirpitz mustered support for his naval expansion programs beginning in </w:t>
      </w:r>
      <w:r w:rsidR="004055F8">
        <w:t>fall of 1897</w:t>
      </w:r>
      <w:r>
        <w:t>, it was these parties of the Reichstag that would either enable or prevent Germany from pursuing its costly world ambitions.</w:t>
      </w:r>
    </w:p>
    <w:p w:rsidR="00BE3CCC" w:rsidRDefault="00BE3CCC" w:rsidP="00BE3CCC">
      <w:pPr>
        <w:spacing w:line="480" w:lineRule="auto"/>
        <w:rPr>
          <w:sz w:val="28"/>
          <w:szCs w:val="28"/>
          <w:u w:val="single"/>
        </w:rPr>
      </w:pPr>
    </w:p>
    <w:p w:rsidR="00BE3CCC" w:rsidRPr="002C1779" w:rsidRDefault="00BE3CCC" w:rsidP="00BE3CCC">
      <w:pPr>
        <w:spacing w:line="480" w:lineRule="auto"/>
        <w:jc w:val="center"/>
        <w:rPr>
          <w:sz w:val="28"/>
          <w:szCs w:val="28"/>
          <w:u w:val="single"/>
        </w:rPr>
      </w:pPr>
      <w:r>
        <w:rPr>
          <w:sz w:val="28"/>
          <w:szCs w:val="28"/>
          <w:u w:val="single"/>
        </w:rPr>
        <w:t>II. Tirpitz and the First Navy Law of 1898</w:t>
      </w:r>
    </w:p>
    <w:p w:rsidR="00BE3CCC" w:rsidRPr="00E3246D" w:rsidRDefault="00BE3CCC" w:rsidP="00BE3CCC">
      <w:pPr>
        <w:spacing w:line="480" w:lineRule="auto"/>
        <w:jc w:val="center"/>
        <w:outlineLvl w:val="0"/>
        <w:rPr>
          <w:u w:val="single"/>
        </w:rPr>
      </w:pPr>
      <w:r>
        <w:rPr>
          <w:u w:val="single"/>
        </w:rPr>
        <w:t>A Turning Point</w:t>
      </w:r>
    </w:p>
    <w:p w:rsidR="00BE3CCC" w:rsidRDefault="00160E51" w:rsidP="002215A1">
      <w:pPr>
        <w:spacing w:line="480" w:lineRule="auto"/>
        <w:jc w:val="both"/>
      </w:pPr>
      <w:r>
        <w:tab/>
        <w:t>The p</w:t>
      </w:r>
      <w:r w:rsidR="00BE3CCC">
        <w:t>assage of the Navy Law of 1898 marked a turning point in German naval policy and strategy</w:t>
      </w:r>
      <w:r w:rsidR="00D8068A">
        <w:t>.</w:t>
      </w:r>
      <w:r w:rsidR="00BE3CCC">
        <w:t xml:space="preserve"> It set a precedent for the strategic expansion of the navy, as well as </w:t>
      </w:r>
      <w:r w:rsidR="00B75688">
        <w:t xml:space="preserve">for political cooperation on transformative naval legislation, even when </w:t>
      </w:r>
      <w:r w:rsidR="002215A1">
        <w:t>fleet expansion seemed antithetical to those parties</w:t>
      </w:r>
      <w:r w:rsidR="00CB288B">
        <w:t>’</w:t>
      </w:r>
      <w:r w:rsidR="002215A1">
        <w:t xml:space="preserve"> economic or ideological interests.</w:t>
      </w:r>
      <w:r w:rsidR="00BE3CCC">
        <w:t xml:space="preserve"> The Navy Law of 1898 commenced what Jona</w:t>
      </w:r>
      <w:r w:rsidR="00A502C4">
        <w:t>than Steinberg calls “a new era</w:t>
      </w:r>
      <w:r w:rsidR="00BE3CCC">
        <w:t>”</w:t>
      </w:r>
      <w:r w:rsidR="00A502C4">
        <w:t xml:space="preserve"> in German history</w:t>
      </w:r>
      <w:r w:rsidR="00BE3CCC">
        <w:t xml:space="preserve"> and what Paul Kennedy regards “as a </w:t>
      </w:r>
      <w:r w:rsidR="00BE3CCC">
        <w:lastRenderedPageBreak/>
        <w:t>landmark in the history of Germany’s naval development and foreign policy.”</w:t>
      </w:r>
      <w:r w:rsidR="00BE3CCC" w:rsidRPr="00EC184A">
        <w:rPr>
          <w:rStyle w:val="FootnoteReference"/>
        </w:rPr>
        <w:footnoteReference w:id="35"/>
      </w:r>
      <w:r w:rsidR="00BE3CCC">
        <w:t xml:space="preserve"> This revolution to the nation’s policy and direction came through the achievement of two aims. First, it set in motion the construction of a fleet of modern battleships capable as serving as </w:t>
      </w:r>
      <w:r w:rsidR="00A502C4">
        <w:t>the</w:t>
      </w:r>
      <w:r w:rsidR="00BE3CCC">
        <w:t xml:space="preserve"> “political power factor” </w:t>
      </w:r>
      <w:r w:rsidR="00A502C4">
        <w:t xml:space="preserve">envisioned by Tirpitz for use against </w:t>
      </w:r>
      <w:r w:rsidR="00BE3CCC">
        <w:t xml:space="preserve">foreign </w:t>
      </w:r>
      <w:r w:rsidR="00A502C4">
        <w:t>powers</w:t>
      </w:r>
      <w:r w:rsidR="00BE3CCC">
        <w:t xml:space="preserve"> in the North Sea. </w:t>
      </w:r>
      <w:r w:rsidR="00A502C4">
        <w:t>Second</w:t>
      </w:r>
      <w:r w:rsidR="00BE3CCC">
        <w:t xml:space="preserve">, although tacitly, the Navy </w:t>
      </w:r>
      <w:r w:rsidR="007E1F2F">
        <w:t>Law</w:t>
      </w:r>
      <w:r w:rsidR="00BE3CCC">
        <w:t xml:space="preserve"> reflected a major shift to German naval and foreign policy</w:t>
      </w:r>
      <w:r w:rsidR="00A502C4">
        <w:t xml:space="preserve"> at the highest levels of government</w:t>
      </w:r>
      <w:r w:rsidR="00BE3CCC">
        <w:t xml:space="preserve">—the recognition of Britain as the primary threat to Germany’s world ambitions and the pursuit of a naval policy bent on altering Anglo-German </w:t>
      </w:r>
      <w:r w:rsidR="00A502C4">
        <w:t>relations</w:t>
      </w:r>
      <w:r w:rsidR="00BE3CCC">
        <w:t xml:space="preserve">. </w:t>
      </w:r>
      <w:r w:rsidR="002215A1">
        <w:t>Although</w:t>
      </w:r>
      <w:r w:rsidR="00BE3CCC">
        <w:t xml:space="preserve"> the Admiral would </w:t>
      </w:r>
      <w:r w:rsidR="002215A1">
        <w:t>only vaguely explain the true rational</w:t>
      </w:r>
      <w:r>
        <w:t>e</w:t>
      </w:r>
      <w:r w:rsidR="002215A1">
        <w:t xml:space="preserve"> behind his policies until 1900 </w:t>
      </w:r>
      <w:r w:rsidR="00BE3CCC">
        <w:t xml:space="preserve">and pressed instead upon the dire consequences of forgoing fleet expansion—slackening trade and industry, resurgent emigration, and the </w:t>
      </w:r>
      <w:r w:rsidR="00CB288B">
        <w:t xml:space="preserve">possible </w:t>
      </w:r>
      <w:r w:rsidR="00BE3CCC">
        <w:t xml:space="preserve">ruin of foreign interests—he maintained in his mind, as his memoirs and </w:t>
      </w:r>
      <w:r w:rsidR="00B55047">
        <w:t>infamous</w:t>
      </w:r>
      <w:r w:rsidR="00BE3CCC">
        <w:t xml:space="preserve"> Memorandum </w:t>
      </w:r>
      <w:r w:rsidR="00B55047">
        <w:t>clearly indicate</w:t>
      </w:r>
      <w:r w:rsidR="00BE3CCC">
        <w:t>, a growing desire to wrest away Britain’s control of the seas.</w:t>
      </w:r>
      <w:r w:rsidR="00BE3CCC" w:rsidRPr="00EC184A">
        <w:rPr>
          <w:rStyle w:val="FootnoteReference"/>
        </w:rPr>
        <w:footnoteReference w:id="36"/>
      </w:r>
      <w:r w:rsidR="00BE3CCC">
        <w:t xml:space="preserve"> The successful development and passage of the Navy Law of 1898 was the first step, and after twenty-six years of failed efforts</w:t>
      </w:r>
      <w:r w:rsidR="00314F91">
        <w:t xml:space="preserve"> to</w:t>
      </w:r>
      <w:r w:rsidR="00BE3CCC">
        <w:t xml:space="preserve"> create a fleet with a clearly defined strategy, it was no easy feat.</w:t>
      </w:r>
    </w:p>
    <w:p w:rsidR="00BE3CCC" w:rsidRDefault="00BE3CCC" w:rsidP="00BE3CCC">
      <w:pPr>
        <w:spacing w:line="480" w:lineRule="auto"/>
        <w:ind w:firstLine="720"/>
        <w:jc w:val="both"/>
      </w:pPr>
      <w:r>
        <w:t xml:space="preserve">The Navy </w:t>
      </w:r>
      <w:r w:rsidR="007E1F2F">
        <w:t>Law’s</w:t>
      </w:r>
      <w:r>
        <w:t xml:space="preserve"> first outward strategic goal was clear: to construct a fleet capable of ensuring </w:t>
      </w:r>
      <w:r w:rsidR="00CB288B">
        <w:t>Germany’s</w:t>
      </w:r>
      <w:r>
        <w:t xml:space="preserve"> ability to expand, advancing the nation’s position in international affairs</w:t>
      </w:r>
      <w:r w:rsidR="00CB288B">
        <w:t>, and ultimately protecting militarily against foreign threats</w:t>
      </w:r>
      <w:r>
        <w:t>. The creation of this battle fleet was outlined in the text of the “Law Concerning the German Fleet,” presented by Imperial Chancellor Pr</w:t>
      </w:r>
      <w:r w:rsidR="00906AA1">
        <w:t>ince Hohenlohe to the Bundesrat</w:t>
      </w:r>
      <w:r>
        <w:t xml:space="preserve"> in October 1897.</w:t>
      </w:r>
      <w:r w:rsidRPr="00EC184A">
        <w:rPr>
          <w:rStyle w:val="FootnoteReference"/>
        </w:rPr>
        <w:footnoteReference w:id="37"/>
      </w:r>
      <w:r>
        <w:t xml:space="preserve"> It set down for the reorganization of </w:t>
      </w:r>
      <w:r>
        <w:lastRenderedPageBreak/>
        <w:t>already existing and yet-to-be-built naval forces into a home fleet of seventeen battleships, eight armored coastal vessels, ten large and thirty small cruisers. The fleet would be divided into two squadrons with eight battleships each and a flagship for the Admiral of the fleet, with two additional battleships in reserve to maintain maximum fleet-readiness.</w:t>
      </w:r>
      <w:r w:rsidRPr="00EE1845">
        <w:t xml:space="preserve"> </w:t>
      </w:r>
      <w:r>
        <w:t xml:space="preserve">To meet these requirements, the government </w:t>
      </w:r>
      <w:r w:rsidR="00906AA1">
        <w:t>would have to</w:t>
      </w:r>
      <w:r>
        <w:t xml:space="preserve"> construct seven new battleships,</w:t>
      </w:r>
      <w:r w:rsidRPr="00EC184A">
        <w:rPr>
          <w:rStyle w:val="FootnoteReference"/>
        </w:rPr>
        <w:footnoteReference w:id="38"/>
      </w:r>
      <w:r>
        <w:t xml:space="preserve"> two armored cruisers, and seven light cruisers by the end of the 1904-05 fiscal year, the end date stipula</w:t>
      </w:r>
      <w:r w:rsidR="003A6283">
        <w:t>ted by the Law</w:t>
      </w:r>
      <w:r>
        <w:t>.</w:t>
      </w:r>
      <w:r w:rsidRPr="00EC184A">
        <w:rPr>
          <w:rStyle w:val="FootnoteReference"/>
        </w:rPr>
        <w:footnoteReference w:id="39"/>
      </w:r>
      <w:r>
        <w:t xml:space="preserve"> The legislation further addressed issues of training, and the development of smaller, auxiliary and support vessels, before broaching the topic of ship life and replacement. The </w:t>
      </w:r>
      <w:r w:rsidR="007E1F2F">
        <w:t>Law</w:t>
      </w:r>
      <w:r>
        <w:t xml:space="preserve"> established the active life for each type of vessel—battleships with twenty-five years, large cruisers with twenty, and small cruisers with fifteen—after which time the Reichstag would be obligated to allocate funds for replacements.</w:t>
      </w:r>
      <w:r w:rsidRPr="00EC184A">
        <w:rPr>
          <w:rStyle w:val="FootnoteReference"/>
        </w:rPr>
        <w:footnoteReference w:id="40"/>
      </w:r>
    </w:p>
    <w:p w:rsidR="00BE3CCC" w:rsidRDefault="00BE3CCC" w:rsidP="00BE3CCC">
      <w:pPr>
        <w:spacing w:line="480" w:lineRule="auto"/>
        <w:ind w:firstLine="720"/>
        <w:jc w:val="both"/>
      </w:pPr>
      <w:r>
        <w:t xml:space="preserve">While </w:t>
      </w:r>
      <w:r w:rsidR="00D1258F">
        <w:t>former Navy Secretary</w:t>
      </w:r>
      <w:r w:rsidR="00CE4036">
        <w:t xml:space="preserve"> </w:t>
      </w:r>
      <w:r>
        <w:t xml:space="preserve">Hollmann’s failed Navy Bill of the previous spring </w:t>
      </w:r>
      <w:r w:rsidR="00CE4036">
        <w:t xml:space="preserve">had </w:t>
      </w:r>
      <w:r>
        <w:t xml:space="preserve">requested a yearly budget of 70 million marks—“the highest estimates ever submitted to the Reichstag”—for his relatively modest fleet, the estimates for Tirpitz’s First </w:t>
      </w:r>
      <w:r w:rsidR="005D4CC6">
        <w:t>Navy</w:t>
      </w:r>
      <w:r>
        <w:t xml:space="preserve"> Law doubled that.</w:t>
      </w:r>
      <w:r w:rsidRPr="00EC184A">
        <w:rPr>
          <w:rStyle w:val="FootnoteReference"/>
        </w:rPr>
        <w:footnoteReference w:id="41"/>
      </w:r>
      <w:r>
        <w:t xml:space="preserve"> Accounting for construction of the new ships, training and employment of thousands of new sailors, purchase of armaments, and other </w:t>
      </w:r>
      <w:r w:rsidR="00381419">
        <w:t>recurring</w:t>
      </w:r>
      <w:r>
        <w:t xml:space="preserve"> and non-</w:t>
      </w:r>
      <w:r w:rsidR="00381419">
        <w:t>recurring</w:t>
      </w:r>
      <w:r>
        <w:t xml:space="preserve"> costs, the government put forth annual estimates ranging from 117.5 million marks for the 1897-98 fiscal year to 149.7 million for 1904-05; together, these expenses during the Law’s seven-year run would total just below an enormous 1 billion marks.</w:t>
      </w:r>
      <w:r w:rsidRPr="00EC184A">
        <w:rPr>
          <w:rStyle w:val="FootnoteReference"/>
        </w:rPr>
        <w:footnoteReference w:id="42"/>
      </w:r>
      <w:r>
        <w:t xml:space="preserve"> </w:t>
      </w:r>
      <w:r w:rsidR="003D2D0F">
        <w:t xml:space="preserve">The Empire’s usual revenue was expected to cover these projected naval expenditures, and a compromise hammered out in the Budget Committee </w:t>
      </w:r>
      <w:r w:rsidR="003D2D0F">
        <w:lastRenderedPageBreak/>
        <w:t>prevented any additional indirect taxes or increases in already existing indirect taxes should expenditures exceed said revenues.</w:t>
      </w:r>
      <w:r w:rsidR="00E53063" w:rsidRPr="00EC184A">
        <w:rPr>
          <w:rStyle w:val="FootnoteReference"/>
        </w:rPr>
        <w:footnoteReference w:id="43"/>
      </w:r>
      <w:r w:rsidR="00E53063">
        <w:t xml:space="preserve"> To this, lamented Herr Richter of the Left Liberals, should Imperial revenues not cover the navy’s expend</w:t>
      </w:r>
      <w:r w:rsidR="00754F05">
        <w:t>itures, lamented Herr Richter of</w:t>
      </w:r>
      <w:r w:rsidR="00E53063">
        <w:t xml:space="preserve"> the Left Liberals, funds for other purposes would ultimately be diverted to the navy to bypass the ban on altering indirect taxation levels, and thus enabling new taxation on the masses to compensate for those other budgetary reductions.</w:t>
      </w:r>
      <w:r w:rsidR="00E53063" w:rsidRPr="00EC184A">
        <w:rPr>
          <w:rStyle w:val="FootnoteReference"/>
        </w:rPr>
        <w:footnoteReference w:id="44"/>
      </w:r>
      <w:r w:rsidR="00754F05">
        <w:t xml:space="preserve"> </w:t>
      </w:r>
      <w:r>
        <w:t xml:space="preserve">In spite of these increased costs, however, the provisions outlining the </w:t>
      </w:r>
      <w:r w:rsidR="005D4CC6">
        <w:t>Law</w:t>
      </w:r>
      <w:r>
        <w:t>, Steinberg asserts, “must have seemed both</w:t>
      </w:r>
      <w:r w:rsidR="00314F91">
        <w:t xml:space="preserve"> convincing and straightforward</w:t>
      </w:r>
      <w:r>
        <w:t>”</w:t>
      </w:r>
      <w:r w:rsidR="00314F91">
        <w:t xml:space="preserve"> to Reichstag deputies, as well as</w:t>
      </w:r>
      <w:r>
        <w:t xml:space="preserve"> commendable for their clarity.</w:t>
      </w:r>
      <w:r w:rsidRPr="00EC184A">
        <w:rPr>
          <w:rStyle w:val="FootnoteReference"/>
        </w:rPr>
        <w:footnoteReference w:id="45"/>
      </w:r>
      <w:r>
        <w:t xml:space="preserve"> They outlined a coherent naval strategy, provided a new level of organizational and technical standardization among ship types, and financially committed the</w:t>
      </w:r>
      <w:r w:rsidR="00381419">
        <w:t xml:space="preserve"> Reichstag to the navy’s upkeep</w:t>
      </w:r>
      <w:r>
        <w:t xml:space="preserve"> in a manner that was “convincingly presented for all to see.” Moreover, they </w:t>
      </w:r>
      <w:r w:rsidR="00381419">
        <w:t>came to form</w:t>
      </w:r>
      <w:r>
        <w:t xml:space="preserve"> the basis </w:t>
      </w:r>
      <w:r w:rsidR="00381419">
        <w:t>of</w:t>
      </w:r>
      <w:r>
        <w:t xml:space="preserve"> the Admiral’s second expansion effort in 1900.</w:t>
      </w:r>
      <w:r w:rsidRPr="00EC184A">
        <w:rPr>
          <w:rStyle w:val="FootnoteReference"/>
        </w:rPr>
        <w:footnoteReference w:id="46"/>
      </w:r>
    </w:p>
    <w:p w:rsidR="00BE3CCC" w:rsidRDefault="00BE3CCC" w:rsidP="00381419">
      <w:pPr>
        <w:spacing w:line="480" w:lineRule="auto"/>
        <w:ind w:firstLine="720"/>
        <w:jc w:val="both"/>
      </w:pPr>
      <w:r>
        <w:t xml:space="preserve">The second strategic aim of the </w:t>
      </w:r>
      <w:r w:rsidR="006652C7">
        <w:t>Navy</w:t>
      </w:r>
      <w:r>
        <w:t xml:space="preserve"> Law was to redefine the empire’s foreign policy. To many Germans, the goal of the naval expansion program was </w:t>
      </w:r>
      <w:r w:rsidR="00381419">
        <w:t>simply</w:t>
      </w:r>
      <w:r>
        <w:t xml:space="preserve"> to bring Germany up to speed with the rest of the world’s powers in terms of naval strength, as well as ensure a measure of protection for its growing overseas interests. In 1897 France and Russia were Germany’s two most likely adversaries, and any naval expansion appeared as a measure of defense against incursions by either power into German waters or against German overseas interests.</w:t>
      </w:r>
      <w:r w:rsidRPr="00EC184A">
        <w:rPr>
          <w:rStyle w:val="FootnoteReference"/>
        </w:rPr>
        <w:footnoteReference w:id="47"/>
      </w:r>
      <w:r>
        <w:t xml:space="preserve"> Yet the Law underscored the beginning shift of German policy in an anti-British direction. It </w:t>
      </w:r>
      <w:r w:rsidR="00CE4036">
        <w:t>reflected, to an extent,</w:t>
      </w:r>
      <w:r>
        <w:t xml:space="preserve"> the </w:t>
      </w:r>
      <w:r w:rsidR="00CE4036">
        <w:t>new</w:t>
      </w:r>
      <w:r>
        <w:t xml:space="preserve"> hostility and antipath</w:t>
      </w:r>
      <w:r w:rsidR="00381419">
        <w:t xml:space="preserve">y for British imperial policies that developed from the </w:t>
      </w:r>
      <w:r w:rsidR="00381419">
        <w:lastRenderedPageBreak/>
        <w:t>Kaiser down to various segments of the German population, particularly following the Jameson Raid and Kruger Telegram.</w:t>
      </w:r>
      <w:r w:rsidR="00CE4036">
        <w:t xml:space="preserve"> </w:t>
      </w:r>
      <w:r w:rsidR="00381419">
        <w:t>M</w:t>
      </w:r>
      <w:r w:rsidR="00CE4036">
        <w:t xml:space="preserve">ore importantly, </w:t>
      </w:r>
      <w:r w:rsidR="00381419">
        <w:t>however, the Law</w:t>
      </w:r>
      <w:r w:rsidR="00CE4036">
        <w:t xml:space="preserve"> </w:t>
      </w:r>
      <w:r w:rsidR="00381419">
        <w:t>set</w:t>
      </w:r>
      <w:r w:rsidR="00CE4036">
        <w:t xml:space="preserve"> in motion the deeper</w:t>
      </w:r>
      <w:r>
        <w:t xml:space="preserve"> machinations of Admiral Tirpitz to upset British naval hegemony.</w:t>
      </w:r>
    </w:p>
    <w:p w:rsidR="00BE3CCC" w:rsidRDefault="00BE3CCC" w:rsidP="00BE3CCC">
      <w:pPr>
        <w:spacing w:line="480" w:lineRule="auto"/>
        <w:ind w:firstLine="720"/>
        <w:jc w:val="both"/>
      </w:pPr>
      <w:r>
        <w:t xml:space="preserve">As the </w:t>
      </w:r>
      <w:r w:rsidR="00D1258F">
        <w:t>Navy Secretary’s</w:t>
      </w:r>
      <w:r>
        <w:t xml:space="preserve"> top-secret June Memorandum directly characterized England as “the most dangerous naval enemy,” the </w:t>
      </w:r>
      <w:r w:rsidR="006652C7">
        <w:t>Navy</w:t>
      </w:r>
      <w:r>
        <w:t xml:space="preserve"> Law would grant Germany that measure of naval leverage necessary to direct Anglo-German relations. Through the creation of its seventeen-battleship fleet, Tirpitz argued, Germany could put forth the concentration of naval force necessary to achieve the “greatest military potential between Heligoland and the Thames.”</w:t>
      </w:r>
      <w:r w:rsidRPr="00EC184A">
        <w:rPr>
          <w:rStyle w:val="FootnoteReference"/>
        </w:rPr>
        <w:footnoteReference w:id="48"/>
      </w:r>
      <w:r>
        <w:t xml:space="preserve"> It was through this threat in the North Sea, one capable of inflicting enough damage upon the British home fleet to where it would be unable to defend against other hostile foreign fleets, that Tirpitz saw the navy as the tool with which to direct Anglo-German relations in the coming years. The </w:t>
      </w:r>
      <w:r w:rsidR="000E1BDC">
        <w:t>Navy</w:t>
      </w:r>
      <w:r>
        <w:t xml:space="preserve"> Law of 1898, whose contents so closely mirror those of the Admiral’s Memorandum, was thus the </w:t>
      </w:r>
      <w:r w:rsidR="000E1BDC">
        <w:t>initial</w:t>
      </w:r>
      <w:r>
        <w:t xml:space="preserve"> step in a new Anglophobic foreign policy that was </w:t>
      </w:r>
      <w:r w:rsidR="000E1BDC">
        <w:t>more fully realized by the legislation of 1900</w:t>
      </w:r>
      <w:r>
        <w:t>.</w:t>
      </w:r>
    </w:p>
    <w:p w:rsidR="00BE3CCC" w:rsidRDefault="00BE3CCC" w:rsidP="00BE3CCC">
      <w:pPr>
        <w:spacing w:line="480" w:lineRule="auto"/>
        <w:ind w:firstLine="720"/>
        <w:jc w:val="both"/>
      </w:pPr>
    </w:p>
    <w:p w:rsidR="00BE3CCC" w:rsidRPr="0007667A" w:rsidRDefault="00BF5A37" w:rsidP="00BE3CCC">
      <w:pPr>
        <w:spacing w:line="480" w:lineRule="auto"/>
        <w:ind w:firstLine="720"/>
        <w:jc w:val="center"/>
        <w:outlineLvl w:val="0"/>
        <w:rPr>
          <w:i/>
          <w:u w:val="single"/>
        </w:rPr>
      </w:pPr>
      <w:r>
        <w:rPr>
          <w:u w:val="single"/>
        </w:rPr>
        <w:t>Politics of the Navy Law</w:t>
      </w:r>
    </w:p>
    <w:p w:rsidR="00BE3CCC" w:rsidRDefault="00BE3CCC" w:rsidP="002E17A0">
      <w:pPr>
        <w:spacing w:line="480" w:lineRule="auto"/>
        <w:ind w:firstLine="720"/>
        <w:jc w:val="both"/>
      </w:pPr>
      <w:r>
        <w:t xml:space="preserve">As Tirpitz and other government officials brought the </w:t>
      </w:r>
      <w:r w:rsidR="00BE14A1">
        <w:t>Law</w:t>
      </w:r>
      <w:r>
        <w:t xml:space="preserve"> to the Reichstag for debate and met privately with leading deputies, the major political parties revealed their positions and the various social, economic, and polit</w:t>
      </w:r>
      <w:r w:rsidR="00D1258F">
        <w:t xml:space="preserve">ical issues at stake. The Navy Secretary </w:t>
      </w:r>
      <w:r>
        <w:t xml:space="preserve">was correct in where he expected opposition and anticipated support. </w:t>
      </w:r>
      <w:r w:rsidR="00BE14A1">
        <w:t>Against</w:t>
      </w:r>
      <w:r>
        <w:t xml:space="preserve"> his efforts stood the Social Democrats and the Left Liberals. Led by August Bebel and Eugen Richter, the two parties from the outset denounced his plans for either its capitalistic or imperialistic nature. Opposite the left-most part</w:t>
      </w:r>
      <w:r w:rsidR="003A6283">
        <w:t xml:space="preserve">ies stood the National Liberals, whose pro-navy attitude stemmed from their </w:t>
      </w:r>
      <w:r w:rsidR="003A6283">
        <w:lastRenderedPageBreak/>
        <w:t>fundamenta</w:t>
      </w:r>
      <w:r w:rsidR="000E1BDC">
        <w:t xml:space="preserve">l support for industrial growth, </w:t>
      </w:r>
      <w:r w:rsidR="003A6283">
        <w:t xml:space="preserve">the protection </w:t>
      </w:r>
      <w:r w:rsidR="000E1BDC">
        <w:t xml:space="preserve">of trade, </w:t>
      </w:r>
      <w:r w:rsidR="003A6283">
        <w:t xml:space="preserve">and expansion </w:t>
      </w:r>
      <w:r w:rsidR="00BF5A37">
        <w:t>into</w:t>
      </w:r>
      <w:r w:rsidR="003A6283">
        <w:t xml:space="preserve"> overseas markets</w:t>
      </w:r>
      <w:r w:rsidR="00D1258F">
        <w:t xml:space="preserve">. Similarly, the Navy Secretary </w:t>
      </w:r>
      <w:r w:rsidR="00906AA1">
        <w:t>trusted that the Conservative P</w:t>
      </w:r>
      <w:r>
        <w:t xml:space="preserve">arty could be relied on to back any major military bill, regardless of </w:t>
      </w:r>
      <w:r w:rsidR="00062B10">
        <w:t>the party’s</w:t>
      </w:r>
      <w:r>
        <w:t xml:space="preserve"> cool feeling</w:t>
      </w:r>
      <w:r w:rsidR="00062B10">
        <w:t>s</w:t>
      </w:r>
      <w:r>
        <w:t xml:space="preserve"> towards the navy.</w:t>
      </w:r>
      <w:r w:rsidRPr="00EC184A">
        <w:rPr>
          <w:rStyle w:val="FootnoteReference"/>
        </w:rPr>
        <w:footnoteReference w:id="49"/>
      </w:r>
      <w:r w:rsidR="00906AA1">
        <w:t xml:space="preserve">  With the Catholic Centre P</w:t>
      </w:r>
      <w:r>
        <w:t xml:space="preserve">arty lay the </w:t>
      </w:r>
      <w:r w:rsidR="00BF5A37">
        <w:t xml:space="preserve">real </w:t>
      </w:r>
      <w:r>
        <w:t>balance of power. It was the largest and most politically powerful group in the Reichstag, though also the one whose political and ideological interests were the most difficult to discern.</w:t>
      </w:r>
      <w:r w:rsidRPr="00EC184A">
        <w:rPr>
          <w:rStyle w:val="FootnoteReference"/>
        </w:rPr>
        <w:footnoteReference w:id="50"/>
      </w:r>
      <w:r>
        <w:t xml:space="preserve"> Here stood the greatest and most significant challenge for the </w:t>
      </w:r>
      <w:r w:rsidR="00D1258F">
        <w:t>Navy Secretary</w:t>
      </w:r>
      <w:r>
        <w:t xml:space="preserve">. If Tirpitz was to navigate his Navy Law through the Reichstag and have any chance of expanding the German navy to challenge Britain, he needed to win the </w:t>
      </w:r>
      <w:r w:rsidR="00BF5A37">
        <w:t xml:space="preserve">support of the Centre party and—ideally—develop </w:t>
      </w:r>
      <w:r>
        <w:t>a working and lasting relationship between it</w:t>
      </w:r>
      <w:r w:rsidR="00062B10">
        <w:t>self</w:t>
      </w:r>
      <w:r>
        <w:t>, the National Liberals, and the Conservatives.</w:t>
      </w:r>
    </w:p>
    <w:p w:rsidR="00BE3CCC" w:rsidRPr="00753F5D" w:rsidRDefault="00BE3CCC" w:rsidP="0078459C">
      <w:pPr>
        <w:spacing w:line="480" w:lineRule="auto"/>
        <w:ind w:firstLine="720"/>
        <w:jc w:val="both"/>
      </w:pPr>
      <w:r>
        <w:t xml:space="preserve">In this regard, the </w:t>
      </w:r>
      <w:r w:rsidR="00D1258F">
        <w:t>Navy Secretary</w:t>
      </w:r>
      <w:r>
        <w:t xml:space="preserve"> operated within the government’s policy of </w:t>
      </w:r>
      <w:r>
        <w:rPr>
          <w:i/>
        </w:rPr>
        <w:t>Sammlungspolitik</w:t>
      </w:r>
      <w:r>
        <w:t xml:space="preserve">, which </w:t>
      </w:r>
      <w:r w:rsidR="00C57226">
        <w:t>had begun</w:t>
      </w:r>
      <w:r>
        <w:t xml:space="preserve"> taking form with the </w:t>
      </w:r>
      <w:r w:rsidR="00C57226">
        <w:t xml:space="preserve">“new class” of imperial ministers </w:t>
      </w:r>
      <w:r w:rsidR="00BF5A37">
        <w:t xml:space="preserve">that </w:t>
      </w:r>
      <w:r w:rsidR="00837CA6">
        <w:t>the Kaiser appointed</w:t>
      </w:r>
      <w:r w:rsidR="00BF5A37">
        <w:t xml:space="preserve"> in 1897</w:t>
      </w:r>
      <w:r w:rsidR="00C57226">
        <w:t>.</w:t>
      </w:r>
      <w:r>
        <w:t xml:space="preserve"> The policy focused on the pursuit of Germany’s global political ambitions, or </w:t>
      </w:r>
      <w:r w:rsidRPr="00E60D30">
        <w:rPr>
          <w:i/>
        </w:rPr>
        <w:t>Weltpolitik</w:t>
      </w:r>
      <w:r>
        <w:t>, through the creation of a firm political coalition between the Reichstag’s three leading parties whose ideologies most coincided with the government’s d</w:t>
      </w:r>
      <w:r w:rsidR="00F9127C">
        <w:t xml:space="preserve">omestic and international aims. </w:t>
      </w:r>
      <w:r>
        <w:t xml:space="preserve">These parties—Conservative, National Liberal, and Catholic Centre—would provide the government with the parliamentary majority necessary to pass legislation pertinent </w:t>
      </w:r>
      <w:r w:rsidR="00906AA1">
        <w:t xml:space="preserve">to </w:t>
      </w:r>
      <w:r>
        <w:t xml:space="preserve">economic development, military expansion, and colonial acquisition. For sure, this would be no easy task. As with all political parties, their differing political and economic interests prevented them from supporting legislation deemed detrimental to their own self-interests. </w:t>
      </w:r>
      <w:r w:rsidR="005E42FF">
        <w:t xml:space="preserve">Compromise and mutual concessions from the government and the parties themselves </w:t>
      </w:r>
      <w:r w:rsidR="00E077C5">
        <w:t>would supposedly enable</w:t>
      </w:r>
      <w:r w:rsidR="005E42FF">
        <w:t xml:space="preserve"> </w:t>
      </w:r>
      <w:r w:rsidR="00837CA6">
        <w:t>all parties</w:t>
      </w:r>
      <w:r w:rsidR="005E42FF">
        <w:t xml:space="preserve"> </w:t>
      </w:r>
      <w:r w:rsidR="00837CA6">
        <w:t>to operate together</w:t>
      </w:r>
      <w:r w:rsidR="005E42FF">
        <w:t xml:space="preserve">. </w:t>
      </w:r>
      <w:r w:rsidR="00F9127C">
        <w:t xml:space="preserve">The growth of socialism </w:t>
      </w:r>
      <w:r w:rsidR="00F9127C">
        <w:lastRenderedPageBreak/>
        <w:t xml:space="preserve">served as a further pretext for cooperation, government officials believed. By fostering cooperation among the leading political parties, the government could create a powerful political bloc </w:t>
      </w:r>
      <w:r w:rsidR="0078459C">
        <w:t xml:space="preserve">that could “tame the proletariat, which had grown restive under the impact of the depression, by means of a </w:t>
      </w:r>
      <w:r w:rsidR="0078459C">
        <w:rPr>
          <w:i/>
        </w:rPr>
        <w:t>Weltpolitik</w:t>
      </w:r>
      <w:r w:rsidR="0078459C">
        <w:t xml:space="preserve"> which would obviate the effects of the depression, heal the economy, and vindicate the political system responsible for such impressive achievements.”</w:t>
      </w:r>
      <w:r w:rsidR="0078459C" w:rsidRPr="00EC184A">
        <w:rPr>
          <w:rStyle w:val="FootnoteReference"/>
        </w:rPr>
        <w:footnoteReference w:id="51"/>
      </w:r>
      <w:r>
        <w:t xml:space="preserve"> In these regards, the Navy Law served as the government’s first major legislative effort to pursue Germany’s “domestic and international master plan” under the auspices of </w:t>
      </w:r>
      <w:r>
        <w:rPr>
          <w:i/>
        </w:rPr>
        <w:t>Sammlungspolitik</w:t>
      </w:r>
      <w:r>
        <w:t>.</w:t>
      </w:r>
      <w:r w:rsidRPr="00EC184A">
        <w:rPr>
          <w:rStyle w:val="FootnoteReference"/>
        </w:rPr>
        <w:footnoteReference w:id="52"/>
      </w:r>
      <w:r>
        <w:t xml:space="preserve"> Still, the Law’s passage was far from guaranteed, and Tirpitz had to secure the actual votes from the various political parties, whose </w:t>
      </w:r>
      <w:r w:rsidR="00BF5A37">
        <w:t>views on</w:t>
      </w:r>
      <w:r>
        <w:t xml:space="preserve"> naval expansion, its merits, and its benefits, certainly may have been skeptical or outright unfavorable.</w:t>
      </w:r>
    </w:p>
    <w:p w:rsidR="00BE3CCC" w:rsidRPr="00205560" w:rsidRDefault="00BE3CCC" w:rsidP="00BE3CCC">
      <w:pPr>
        <w:spacing w:line="480" w:lineRule="auto"/>
        <w:ind w:firstLine="720"/>
        <w:jc w:val="both"/>
      </w:pPr>
      <w:r>
        <w:t xml:space="preserve">Among the Reichstag’s leading political parties, opposition to the Navy Law from Social Democrats and Left Liberals was fairly straightforward. For the former, the navy was nothing more than a capitalist institution that was used to fuel big industry, and the fleet building program was another massive industrial undertaking to be built on the back of the proletariat. Moreover, the navy served as one arm in Germany’s pursuit of overseas imperialism, which </w:t>
      </w:r>
      <w:r w:rsidR="00311B3D">
        <w:t xml:space="preserve">propagated capitalism by forcing open foreign markets </w:t>
      </w:r>
      <w:r>
        <w:t>and extracting wealth and resources for the betterment of Germans in Europe.</w:t>
      </w:r>
      <w:r w:rsidRPr="00EC184A">
        <w:rPr>
          <w:rStyle w:val="FootnoteReference"/>
        </w:rPr>
        <w:footnoteReference w:id="53"/>
      </w:r>
      <w:r>
        <w:t xml:space="preserve"> The latter rejected Tirpitz’s navy program not on capitalistic grounds, but on anti-imperialist and anti-militaristic ones. Eugen Richter, one outspoken Liberal leader, blasted naval expansion as an attempt at achieving glorified national </w:t>
      </w:r>
      <w:r w:rsidR="00837CA6">
        <w:t xml:space="preserve">and </w:t>
      </w:r>
      <w:r>
        <w:t xml:space="preserve">imperial ambitions that satisfied the personal fancies of an irrational monarch, which may </w:t>
      </w:r>
      <w:r>
        <w:lastRenderedPageBreak/>
        <w:t>have amounted to an absolutist’s delusions of grandeur.</w:t>
      </w:r>
      <w:r w:rsidRPr="00EC184A">
        <w:rPr>
          <w:rStyle w:val="FootnoteReference"/>
        </w:rPr>
        <w:footnoteReference w:id="54"/>
      </w:r>
      <w:r>
        <w:t xml:space="preserve"> Liberal pacifists feared that this new instrument of power would only hamper the nation’s ability to conduct its international affairs peacefully. Major naval expansion would create an unnecessary antagonism or level of intimidation that could catalyze further arms buildups among all of Europe’s powers.</w:t>
      </w:r>
      <w:r w:rsidRPr="00EC184A">
        <w:rPr>
          <w:rStyle w:val="FootnoteReference"/>
        </w:rPr>
        <w:footnoteReference w:id="55"/>
      </w:r>
      <w:r>
        <w:t xml:space="preserve"> Neither the Liberals of the Left nor the Social Democrats yielded ground to the </w:t>
      </w:r>
      <w:r w:rsidR="00D1258F">
        <w:t>Navy Secretary</w:t>
      </w:r>
      <w:r>
        <w:t>. He accepted their refutation of his naval program and made no attempt to court them.</w:t>
      </w:r>
      <w:r w:rsidRPr="00EC184A">
        <w:rPr>
          <w:rStyle w:val="FootnoteReference"/>
        </w:rPr>
        <w:footnoteReference w:id="56"/>
      </w:r>
    </w:p>
    <w:p w:rsidR="00BE3CCC" w:rsidRPr="003B0C87" w:rsidRDefault="00BE3CCC" w:rsidP="0044186B">
      <w:pPr>
        <w:tabs>
          <w:tab w:val="left" w:pos="720"/>
          <w:tab w:val="left" w:pos="1440"/>
          <w:tab w:val="left" w:pos="2160"/>
          <w:tab w:val="left" w:pos="2880"/>
          <w:tab w:val="left" w:pos="3600"/>
          <w:tab w:val="left" w:pos="4320"/>
        </w:tabs>
        <w:spacing w:line="480" w:lineRule="auto"/>
        <w:ind w:firstLine="720"/>
        <w:jc w:val="both"/>
      </w:pPr>
      <w:r>
        <w:t xml:space="preserve">Weaving together the </w:t>
      </w:r>
      <w:r>
        <w:rPr>
          <w:i/>
        </w:rPr>
        <w:t>Sammlungspolitik</w:t>
      </w:r>
      <w:r>
        <w:t xml:space="preserve"> coalition for the Navy Law was </w:t>
      </w:r>
      <w:r w:rsidR="00395590">
        <w:t>challenging</w:t>
      </w:r>
      <w:r>
        <w:t>.</w:t>
      </w:r>
      <w:r w:rsidR="002E17A0">
        <w:t xml:space="preserve"> The National Liberals</w:t>
      </w:r>
      <w:r w:rsidR="0044186B">
        <w:t>, who made up 46 of the Reichstag’s 397 deputies</w:t>
      </w:r>
      <w:r w:rsidR="00837CA6">
        <w:t xml:space="preserve"> in 1897</w:t>
      </w:r>
      <w:r w:rsidR="0044186B">
        <w:t>,</w:t>
      </w:r>
      <w:r w:rsidR="002E17A0">
        <w:t xml:space="preserve"> “were our best friends,” the Admiral recounts.</w:t>
      </w:r>
      <w:r w:rsidR="0044186B" w:rsidRPr="00EC184A">
        <w:rPr>
          <w:rStyle w:val="FootnoteReference"/>
        </w:rPr>
        <w:footnoteReference w:id="57"/>
      </w:r>
      <w:r w:rsidR="002E17A0">
        <w:t xml:space="preserve"> Although divided between major industrialists and those “representing the exporting and non-cartellized finishing industries,” National Liberals on the whole supported naval expansion.</w:t>
      </w:r>
      <w:r w:rsidR="00FF36A1" w:rsidRPr="00EC184A">
        <w:rPr>
          <w:rStyle w:val="FootnoteReference"/>
        </w:rPr>
        <w:footnoteReference w:id="58"/>
      </w:r>
      <w:r w:rsidR="002E17A0">
        <w:t xml:space="preserve"> Both groups had an interest in the furthered industrialization of the empire, maintenance of a free-market and capitalistic economic system, and the protection and expansion of overseas markets.</w:t>
      </w:r>
      <w:r w:rsidR="0044186B">
        <w:t xml:space="preserve"> Tirpitz’s Plan</w:t>
      </w:r>
      <w:r>
        <w:t xml:space="preserve"> funneled enormous sums of money into the shipbuilding, steel, and munitions industries. It necessitated the expansion of harbors and major waterways, which would accommodate further expansions to the nation’s merchant marine and foreign trade. It would </w:t>
      </w:r>
      <w:r w:rsidRPr="00C17359">
        <w:t>supposedly</w:t>
      </w:r>
      <w:r>
        <w:t xml:space="preserve"> provide both a new level of protection to Germany’s booming </w:t>
      </w:r>
      <w:r w:rsidR="00212458">
        <w:t xml:space="preserve">maritime </w:t>
      </w:r>
      <w:r>
        <w:t>t</w:t>
      </w:r>
      <w:r w:rsidR="005E42FF">
        <w:t xml:space="preserve">rade and its overseas holdings, while granting </w:t>
      </w:r>
      <w:r w:rsidR="007C250E">
        <w:t>the nation</w:t>
      </w:r>
      <w:r>
        <w:t xml:space="preserve"> a stronger presence in international affairs. With such a small percentage of the Reichstag’s seats, however, Tirpitz and the National Liberals enliste</w:t>
      </w:r>
      <w:r w:rsidR="000F7DF3">
        <w:t>d the aid of Conservative</w:t>
      </w:r>
      <w:r w:rsidR="00212458">
        <w:t>s and Catholic Centre</w:t>
      </w:r>
      <w:r>
        <w:t>.</w:t>
      </w:r>
    </w:p>
    <w:p w:rsidR="00BE3CCC" w:rsidRDefault="00BE3CCC" w:rsidP="00212458">
      <w:pPr>
        <w:tabs>
          <w:tab w:val="left" w:pos="720"/>
          <w:tab w:val="left" w:pos="1440"/>
          <w:tab w:val="left" w:pos="2160"/>
          <w:tab w:val="left" w:pos="2880"/>
          <w:tab w:val="left" w:pos="3600"/>
          <w:tab w:val="left" w:pos="4320"/>
        </w:tabs>
        <w:spacing w:line="480" w:lineRule="auto"/>
        <w:ind w:firstLine="720"/>
        <w:jc w:val="both"/>
      </w:pPr>
      <w:r>
        <w:lastRenderedPageBreak/>
        <w:t xml:space="preserve">As the party of Prussian Junkers and landed aristocracy, Conservatives concerned themselves with issues of agriculture, the army, and their </w:t>
      </w:r>
      <w:r w:rsidR="00212458">
        <w:t>traditionally prominent position in the Prussian State and German Empire</w:t>
      </w:r>
      <w:r>
        <w:t xml:space="preserve">. </w:t>
      </w:r>
      <w:r w:rsidR="00212458">
        <w:t>They held reactionary and anti-expansionist views, especially as industrialization and urbanization increasingly threatened their way of life.</w:t>
      </w:r>
      <w:r>
        <w:t xml:space="preserve"> As Tirpitz and the lead figures in the Navy Office began developing Germany’s new naval strategy in the summer of 1897, they recognized the challenge presented by anti-navy Conservatives. One internal department mem</w:t>
      </w:r>
      <w:r w:rsidR="00D1258F">
        <w:t>o written to the Navy Secretary</w:t>
      </w:r>
      <w:r>
        <w:t xml:space="preserve"> in July contained several points necessary for conveyance to “make clear that the development of the navy is not necessarily a threat to their interests,” but </w:t>
      </w:r>
      <w:r w:rsidR="00805320">
        <w:t>rather a boon. It asserted that</w:t>
      </w:r>
      <w:r>
        <w:t xml:space="preserve"> agrarians, too, are involved in the nation’s export industry; they benefit from the wealth brought back from overseas markets; their political strength is tied to a strong government, necessitating a powerful military hand in foreign affairs; and that they must accept and prepare for a Germany even more dominated by trade and industry through the support of naval expansion efforts.</w:t>
      </w:r>
      <w:r w:rsidRPr="00EC184A">
        <w:rPr>
          <w:rStyle w:val="FootnoteReference"/>
        </w:rPr>
        <w:footnoteReference w:id="59"/>
      </w:r>
      <w:r>
        <w:t xml:space="preserve"> Tirpitz and the Navy Office pressed forth these issues during subsequent months</w:t>
      </w:r>
      <w:r w:rsidR="007C250E">
        <w:t xml:space="preserve"> through public discourse and </w:t>
      </w:r>
      <w:r w:rsidR="00212458">
        <w:t>“scholarly”</w:t>
      </w:r>
      <w:r w:rsidR="007C250E">
        <w:t xml:space="preserve"> materials, including the publication and circulation of one such document titled</w:t>
      </w:r>
      <w:r w:rsidR="00805320">
        <w:t xml:space="preserve"> </w:t>
      </w:r>
      <w:r w:rsidRPr="00805320">
        <w:rPr>
          <w:i/>
        </w:rPr>
        <w:t>The Sea</w:t>
      </w:r>
      <w:r w:rsidR="00805320">
        <w:rPr>
          <w:i/>
        </w:rPr>
        <w:t xml:space="preserve"> Interests of the German Empire</w:t>
      </w:r>
      <w:r w:rsidR="00805320">
        <w:t>.</w:t>
      </w:r>
      <w:r w:rsidR="007C250E">
        <w:t xml:space="preserve"> This work</w:t>
      </w:r>
      <w:r>
        <w:t xml:space="preserve"> </w:t>
      </w:r>
      <w:r w:rsidR="007C250E">
        <w:t xml:space="preserve">made the case for naval expansion by illustrating the growth of </w:t>
      </w:r>
      <w:r>
        <w:t>Germany’s population, industry, and economy, as well as the increasingly dismal state of the empire’s navy relative to those of rival Great Powers</w:t>
      </w:r>
      <w:r w:rsidR="007C250E">
        <w:t xml:space="preserve"> through countless tables and statistics</w:t>
      </w:r>
      <w:r>
        <w:t>.</w:t>
      </w:r>
      <w:r w:rsidRPr="00EC184A">
        <w:rPr>
          <w:rStyle w:val="FootnoteReference"/>
        </w:rPr>
        <w:footnoteReference w:id="60"/>
      </w:r>
      <w:r>
        <w:t xml:space="preserve"> If the Conservatives were to </w:t>
      </w:r>
      <w:r w:rsidR="000D1298">
        <w:t xml:space="preserve">accept such facts and </w:t>
      </w:r>
      <w:r>
        <w:t xml:space="preserve">give any credence to </w:t>
      </w:r>
      <w:r w:rsidR="000D1298">
        <w:t>the aforementioned</w:t>
      </w:r>
      <w:r>
        <w:t xml:space="preserve"> </w:t>
      </w:r>
      <w:r w:rsidR="000D1298">
        <w:t>assertions</w:t>
      </w:r>
      <w:r>
        <w:t>, then they must give a measure of su</w:t>
      </w:r>
      <w:r w:rsidR="00906AA1">
        <w:t xml:space="preserve">pport to Tirpitz’s </w:t>
      </w:r>
      <w:r w:rsidR="00212458">
        <w:t>Navy</w:t>
      </w:r>
      <w:r>
        <w:t xml:space="preserve"> Law.</w:t>
      </w:r>
    </w:p>
    <w:p w:rsidR="00BE3CCC" w:rsidRDefault="00BE3CCC" w:rsidP="00BE3CCC">
      <w:pPr>
        <w:tabs>
          <w:tab w:val="left" w:pos="720"/>
          <w:tab w:val="left" w:pos="1440"/>
          <w:tab w:val="left" w:pos="2160"/>
          <w:tab w:val="left" w:pos="2880"/>
          <w:tab w:val="left" w:pos="3600"/>
          <w:tab w:val="left" w:pos="4320"/>
        </w:tabs>
        <w:spacing w:line="480" w:lineRule="auto"/>
        <w:jc w:val="both"/>
      </w:pPr>
      <w:r>
        <w:lastRenderedPageBreak/>
        <w:tab/>
        <w:t xml:space="preserve">By late 1897 the policy of </w:t>
      </w:r>
      <w:r>
        <w:rPr>
          <w:i/>
        </w:rPr>
        <w:t>Sammlungspolitik</w:t>
      </w:r>
      <w:r>
        <w:t xml:space="preserve"> </w:t>
      </w:r>
      <w:r w:rsidR="00212458">
        <w:t>began</w:t>
      </w:r>
      <w:r>
        <w:t xml:space="preserve"> to take form. In spite of whatever financial, material, and human resources it would detract from the army and agriculture, Conservatives outwardly accepted the premise of a defensive fleet for maintaining Germany’s military strength in world affairs and protecting its growing overseas interests.  In the </w:t>
      </w:r>
      <w:r w:rsidR="00DE4FA2">
        <w:t>Reichstag’s</w:t>
      </w:r>
      <w:r>
        <w:t xml:space="preserve"> debate </w:t>
      </w:r>
      <w:r w:rsidR="00DE4FA2">
        <w:t xml:space="preserve">on the first reading of </w:t>
      </w:r>
      <w:r>
        <w:t xml:space="preserve">the Law in December, Count </w:t>
      </w:r>
      <w:r w:rsidR="00AD0C24">
        <w:t>Limburg</w:t>
      </w:r>
      <w:r>
        <w:t>-Stirum spoke in its favor on beha</w:t>
      </w:r>
      <w:r w:rsidR="000D1298">
        <w:t>lf of the Conservatives by</w:t>
      </w:r>
      <w:r>
        <w:t xml:space="preserve"> underscoring several factors. He identified the necessity </w:t>
      </w:r>
      <w:r w:rsidR="000D1298">
        <w:t xml:space="preserve">of </w:t>
      </w:r>
      <w:r>
        <w:t>fleet expansion for the protection of the nation’s</w:t>
      </w:r>
      <w:r w:rsidR="00212458">
        <w:t xml:space="preserve"> rapidly growing maritime trade</w:t>
      </w:r>
      <w:r>
        <w:t xml:space="preserve"> “that has grown so much in the last twenty years,” and gave explicit recognition that German agriculture, not </w:t>
      </w:r>
      <w:r w:rsidR="00212458">
        <w:t>just</w:t>
      </w:r>
      <w:r>
        <w:t xml:space="preserve"> industry, had a vested interest in the security of the </w:t>
      </w:r>
      <w:r w:rsidR="000D1298">
        <w:t>that</w:t>
      </w:r>
      <w:r>
        <w:t xml:space="preserve"> trade and </w:t>
      </w:r>
      <w:r w:rsidR="000D1298">
        <w:t xml:space="preserve">the nation’s </w:t>
      </w:r>
      <w:r>
        <w:t xml:space="preserve">overseas possessions. Conservatives </w:t>
      </w:r>
      <w:r w:rsidR="007E47A7">
        <w:t xml:space="preserve">also </w:t>
      </w:r>
      <w:r>
        <w:t xml:space="preserve">recognized the limits of their military power on the continent. Regardless of the army’s war-readiness, victory on land against another European power did little to guarantee </w:t>
      </w:r>
      <w:r w:rsidR="007E47A7">
        <w:t xml:space="preserve">the </w:t>
      </w:r>
      <w:r>
        <w:t xml:space="preserve">protection </w:t>
      </w:r>
      <w:r w:rsidR="007E47A7">
        <w:t>of</w:t>
      </w:r>
      <w:r>
        <w:t xml:space="preserve"> its expanding </w:t>
      </w:r>
      <w:r w:rsidR="007E47A7">
        <w:t>global</w:t>
      </w:r>
      <w:r>
        <w:t xml:space="preserve"> interests. Its colonies in Africa and the Pacific could easily be blockaded or invaded and its merchant marine fleet captured and destroyed. Moreover, the government </w:t>
      </w:r>
      <w:r w:rsidR="007E47A7">
        <w:t xml:space="preserve">showed no desire to stymie </w:t>
      </w:r>
      <w:r>
        <w:t>further expansion, as evidenced by its international trade agreements, pro-industrial legislation, and colonia</w:t>
      </w:r>
      <w:r w:rsidR="007E47A7">
        <w:t>l acquisitions as recent as 1897-98</w:t>
      </w:r>
      <w:r>
        <w:t xml:space="preserve">. </w:t>
      </w:r>
      <w:r w:rsidR="00212458">
        <w:t xml:space="preserve">With the empire’s financial prosperity and security becoming increasingly dependent on these </w:t>
      </w:r>
      <w:r w:rsidR="00506F34">
        <w:t>expanding national interests, the party would be hard-pressed to withhold support for the protection afforded by naval expansion.</w:t>
      </w:r>
      <w:r w:rsidRPr="00EC184A">
        <w:rPr>
          <w:rStyle w:val="FootnoteReference"/>
        </w:rPr>
        <w:footnoteReference w:id="61"/>
      </w:r>
    </w:p>
    <w:p w:rsidR="00BE3CCC" w:rsidRDefault="00AD0C24" w:rsidP="00BE3CCC">
      <w:pPr>
        <w:tabs>
          <w:tab w:val="left" w:pos="720"/>
          <w:tab w:val="left" w:pos="1440"/>
          <w:tab w:val="left" w:pos="2160"/>
          <w:tab w:val="left" w:pos="2880"/>
          <w:tab w:val="left" w:pos="3600"/>
          <w:tab w:val="left" w:pos="4320"/>
        </w:tabs>
        <w:spacing w:line="480" w:lineRule="auto"/>
        <w:jc w:val="both"/>
      </w:pPr>
      <w:r>
        <w:tab/>
      </w:r>
      <w:r w:rsidR="00001A99">
        <w:t>Bismarck’s resignation also created a perceived need for greater German assertion of itself overseas.</w:t>
      </w:r>
      <w:r w:rsidR="00BE3CCC">
        <w:t xml:space="preserve"> For nearly two decades the Iron Chancellor had guided not only Germany’s foreign and domestic policies, but greatly impacted those of other nations as well. Through </w:t>
      </w:r>
      <w:r w:rsidR="00BE3CCC">
        <w:rPr>
          <w:i/>
        </w:rPr>
        <w:t>Realpolitik</w:t>
      </w:r>
      <w:r w:rsidR="00BE3CCC">
        <w:t>, Bismarck pursued Germany’s inter</w:t>
      </w:r>
      <w:r w:rsidR="00001A99">
        <w:t>ests through practical means—c</w:t>
      </w:r>
      <w:r w:rsidR="00BE3CCC">
        <w:t xml:space="preserve">ooperation with </w:t>
      </w:r>
      <w:r w:rsidR="00BE3CCC">
        <w:lastRenderedPageBreak/>
        <w:t xml:space="preserve">other European states on international political and economic matters, avoiding </w:t>
      </w:r>
      <w:r w:rsidR="00611712">
        <w:t>overt</w:t>
      </w:r>
      <w:r w:rsidR="00BE3CCC">
        <w:t xml:space="preserve"> hostility or antagonism, and pursuing a delicate balance of power through cordial relations with the continent’s leading monarchs and statesmen. Bismarck’s resignation in 1890 brought this era to an end and left a void in German foreign policy that subsequent Chancellors and foreign ministers could not fill. Moreover, as exemplified by the Kruger Telegram fiasco, the new Kaiser became an unpredictable variable in Germa</w:t>
      </w:r>
      <w:r>
        <w:t>ny’s foreign policy that Limburg</w:t>
      </w:r>
      <w:r w:rsidR="00BE3CCC">
        <w:t xml:space="preserve">-Stirum and other Conservatives must have recognized. While Bismarck had commanded the stage </w:t>
      </w:r>
      <w:r w:rsidR="00611712">
        <w:t>under</w:t>
      </w:r>
      <w:r w:rsidR="00BE3CCC">
        <w:t xml:space="preserve"> the empire’s first two monarchs, neither he nor his s</w:t>
      </w:r>
      <w:r w:rsidR="00001A99">
        <w:t>uccessors Leopold von Caprivi and</w:t>
      </w:r>
      <w:r w:rsidR="00BE3CCC">
        <w:t xml:space="preserve"> Prince Hohenlohe could contain the over-eager Wilhelm II, who embroiled himself in the country’s international affairs wherever possible. As such, without Bismarck’s “personal prestige” and steady hand to guide the nati</w:t>
      </w:r>
      <w:r>
        <w:t>on’s diplomatic affairs, Limburg</w:t>
      </w:r>
      <w:r w:rsidR="00BE3CCC">
        <w:t xml:space="preserve">-Stirum and the Conservatives </w:t>
      </w:r>
      <w:r w:rsidR="00001A99">
        <w:t>viewed</w:t>
      </w:r>
      <w:r w:rsidR="00BE3CCC">
        <w:t xml:space="preserve"> naval expansion as a replacement form of diplomatic security: “all the more it was necessary that the power of Germany should depend upon their readiness for war and upon the bravery of their soldiers and sailors.”</w:t>
      </w:r>
      <w:r w:rsidR="00BE3CCC" w:rsidRPr="00EC184A">
        <w:rPr>
          <w:rStyle w:val="FootnoteReference"/>
        </w:rPr>
        <w:footnoteReference w:id="62"/>
      </w:r>
      <w:r w:rsidR="00BE3CCC">
        <w:t xml:space="preserve"> </w:t>
      </w:r>
      <w:r w:rsidR="00611712">
        <w:t xml:space="preserve">For this round, </w:t>
      </w:r>
      <w:r w:rsidR="00BE3CCC">
        <w:t>Tirpitz and his colleagues had won the ideological support of the government’s most reliable party.</w:t>
      </w:r>
    </w:p>
    <w:p w:rsidR="00BE3CCC" w:rsidRDefault="00BE3CCC" w:rsidP="00DD1835">
      <w:pPr>
        <w:tabs>
          <w:tab w:val="left" w:pos="720"/>
          <w:tab w:val="left" w:pos="1440"/>
          <w:tab w:val="left" w:pos="2160"/>
          <w:tab w:val="left" w:pos="2880"/>
          <w:tab w:val="left" w:pos="3600"/>
          <w:tab w:val="left" w:pos="4320"/>
        </w:tabs>
        <w:spacing w:line="480" w:lineRule="auto"/>
        <w:jc w:val="both"/>
      </w:pPr>
      <w:r>
        <w:tab/>
        <w:t xml:space="preserve">While Conservatives voiced approval for reasons of military readiness and the necessary protection of overseas interests, </w:t>
      </w:r>
      <w:r w:rsidR="00CF2AF2">
        <w:t xml:space="preserve">socialism has received attention as a further factor that contributed to their support. The prominence of socialism as a determining factor is questionable, however, and will be discussed in </w:t>
      </w:r>
      <w:r w:rsidR="00541EE5">
        <w:t>further detail in Chapter Four; f</w:t>
      </w:r>
      <w:r w:rsidR="00CF2AF2">
        <w:t>or now it is safe to provide a cursory look at socialism’s affects on Conservative support.</w:t>
      </w:r>
      <w:r>
        <w:t xml:space="preserve"> Bismarck had attempted to stamp out </w:t>
      </w:r>
      <w:r w:rsidR="00611712">
        <w:t>social democracy</w:t>
      </w:r>
      <w:r>
        <w:t xml:space="preserve"> during his reign by outlawing the party, but in 1890 that ban </w:t>
      </w:r>
      <w:r w:rsidR="006368EC">
        <w:t>lapsed</w:t>
      </w:r>
      <w:r>
        <w:t xml:space="preserve"> and it </w:t>
      </w:r>
      <w:r w:rsidR="00611712">
        <w:t xml:space="preserve">began to operate </w:t>
      </w:r>
      <w:r>
        <w:t xml:space="preserve">in the nation’s politics. </w:t>
      </w:r>
      <w:r w:rsidR="00611712">
        <w:t xml:space="preserve">Based on the fundamental </w:t>
      </w:r>
      <w:r w:rsidR="00B77EEE">
        <w:t xml:space="preserve">ideologies of the Prussian agrarians and those most basic tenets of social democracy, </w:t>
      </w:r>
      <w:r>
        <w:t xml:space="preserve">Conservatives </w:t>
      </w:r>
      <w:r w:rsidR="00B77EEE">
        <w:t xml:space="preserve">must have viewed </w:t>
      </w:r>
      <w:r w:rsidR="00541EE5">
        <w:t xml:space="preserve">the </w:t>
      </w:r>
      <w:r w:rsidR="00541EE5">
        <w:lastRenderedPageBreak/>
        <w:t>latter</w:t>
      </w:r>
      <w:r w:rsidR="00B77EEE">
        <w:t xml:space="preserve">, on some level, as a threat. Its struggle for a classless society without need for private property, social hierarchy, or military forces was in stark contrast to beliefs in a stable monarchy, strong army, and powerful landed aristocracy. </w:t>
      </w:r>
      <w:r>
        <w:t xml:space="preserve">Cooperation with National Liberal, who abhorred socialism for its anti-business and anti-industry sentiments, as well as its threat to general social stability, appeared to be one way of doing so. If the two parties could </w:t>
      </w:r>
      <w:r w:rsidR="006368EC">
        <w:t>work together</w:t>
      </w:r>
      <w:r>
        <w:t xml:space="preserve">, they stood a better chance of suppressing the anti-military and anti-government </w:t>
      </w:r>
      <w:r w:rsidR="00541EE5">
        <w:t>feelings</w:t>
      </w:r>
      <w:r w:rsidR="00E01E4A">
        <w:t xml:space="preserve"> within the Reichstag.</w:t>
      </w:r>
      <w:r w:rsidRPr="00EC184A">
        <w:rPr>
          <w:rStyle w:val="FootnoteReference"/>
        </w:rPr>
        <w:footnoteReference w:id="63"/>
      </w:r>
      <w:r>
        <w:t xml:space="preserve"> For this </w:t>
      </w:r>
      <w:r>
        <w:rPr>
          <w:i/>
        </w:rPr>
        <w:t>Sammlungspolitik</w:t>
      </w:r>
      <w:r>
        <w:t xml:space="preserve"> to work, the parties involved needed to compromise on major government legisla</w:t>
      </w:r>
      <w:r w:rsidR="00AD0C24">
        <w:t>tion, and although Count Limburg</w:t>
      </w:r>
      <w:r>
        <w:t xml:space="preserve">-Stirum voiced his party’s support for the First Navy Law for the aforementioned reasons, naval expansion was much more beneficial to National Liberals. Conservatives </w:t>
      </w:r>
      <w:r w:rsidR="000B230A">
        <w:t xml:space="preserve">still hoped for some additional </w:t>
      </w:r>
      <w:r>
        <w:t>measure of com</w:t>
      </w:r>
      <w:r w:rsidR="00DD1835">
        <w:t>pensation, such as revisions to</w:t>
      </w:r>
      <w:r w:rsidR="000B230A">
        <w:t xml:space="preserve"> the empire’s </w:t>
      </w:r>
      <w:r w:rsidR="00DD1835">
        <w:t xml:space="preserve">1892-93 </w:t>
      </w:r>
      <w:r w:rsidR="000B230A">
        <w:t xml:space="preserve">trade agreements to better favor and protect agrarians’ domestic market against </w:t>
      </w:r>
      <w:r w:rsidR="00DD1835">
        <w:t>foreign providers like Russia, though it received little measure of guarantee.</w:t>
      </w:r>
      <w:r w:rsidRPr="00EC184A">
        <w:rPr>
          <w:rStyle w:val="FootnoteReference"/>
        </w:rPr>
        <w:footnoteReference w:id="64"/>
      </w:r>
    </w:p>
    <w:p w:rsidR="00BE3CCC" w:rsidRDefault="00BE3CCC" w:rsidP="00BD48FE">
      <w:pPr>
        <w:tabs>
          <w:tab w:val="left" w:pos="720"/>
          <w:tab w:val="left" w:pos="1440"/>
          <w:tab w:val="left" w:pos="2160"/>
          <w:tab w:val="left" w:pos="2880"/>
          <w:tab w:val="left" w:pos="3600"/>
          <w:tab w:val="left" w:pos="4320"/>
        </w:tabs>
        <w:spacing w:line="480" w:lineRule="auto"/>
        <w:jc w:val="both"/>
      </w:pPr>
      <w:r>
        <w:tab/>
        <w:t xml:space="preserve">The </w:t>
      </w:r>
      <w:r w:rsidR="00906AA1">
        <w:t>Navy</w:t>
      </w:r>
      <w:r>
        <w:t xml:space="preserve"> Secretary had cause to expect cooperation from the Centre. Si</w:t>
      </w:r>
      <w:r w:rsidR="00BD48FE">
        <w:t xml:space="preserve">nce the end of Bismarck’s reign in 1890, </w:t>
      </w:r>
      <w:r>
        <w:t xml:space="preserve">and </w:t>
      </w:r>
      <w:r w:rsidR="00BD48FE">
        <w:t xml:space="preserve">with </w:t>
      </w:r>
      <w:r>
        <w:t xml:space="preserve">his </w:t>
      </w:r>
      <w:r>
        <w:rPr>
          <w:i/>
        </w:rPr>
        <w:t>Kulturkampf</w:t>
      </w:r>
      <w:r>
        <w:t xml:space="preserve"> against Catholicism</w:t>
      </w:r>
      <w:r w:rsidR="00BD48FE">
        <w:t xml:space="preserve"> a thing of the past</w:t>
      </w:r>
      <w:r>
        <w:t>, the party underwent an ideological realignment</w:t>
      </w:r>
      <w:r w:rsidR="00BD48FE">
        <w:t xml:space="preserve"> and adopted a more secular, pro-government agenda. It shed its predominant focus on religious issues and, particularly under the leadership of Dr. Ernst Lieber until his death in 1902, supported sizeable government </w:t>
      </w:r>
      <w:r>
        <w:t>initiatives in the domestic and international realms. From foreign trade agreements with major powers like Russia and Austria to domestic financial reforms, the Centre’s growing influence on major imperial legislative efforts was ha</w:t>
      </w:r>
      <w:r w:rsidR="00906AA1">
        <w:t>rd to miss. Bernhard von Bülow,</w:t>
      </w:r>
      <w:r w:rsidR="00BD48FE">
        <w:t xml:space="preserve"> </w:t>
      </w:r>
      <w:r w:rsidR="00906AA1">
        <w:t>Foreign Secretary</w:t>
      </w:r>
      <w:r>
        <w:t xml:space="preserve"> from 1897 until </w:t>
      </w:r>
      <w:r>
        <w:lastRenderedPageBreak/>
        <w:t>becoming Imperial Chancellor in 1900, credit</w:t>
      </w:r>
      <w:r w:rsidR="00BD48FE">
        <w:t>ed</w:t>
      </w:r>
      <w:r>
        <w:t xml:space="preserve"> the Centre </w:t>
      </w:r>
      <w:r w:rsidR="00906AA1">
        <w:t>with</w:t>
      </w:r>
      <w:r>
        <w:t xml:space="preserve"> playing “a distinguished and often decisive part” in </w:t>
      </w:r>
      <w:r w:rsidR="00BD48FE">
        <w:t xml:space="preserve">such efforts as </w:t>
      </w:r>
      <w:r>
        <w:t>social legislation and armaments bills.</w:t>
      </w:r>
      <w:r w:rsidRPr="00EC184A">
        <w:rPr>
          <w:rStyle w:val="FootnoteReference"/>
        </w:rPr>
        <w:footnoteReference w:id="65"/>
      </w:r>
      <w:r>
        <w:t xml:space="preserve"> With this trend in the Centre’s support for government policies and Tirpitz’s</w:t>
      </w:r>
      <w:r w:rsidR="002852EA">
        <w:t xml:space="preserve"> determined</w:t>
      </w:r>
      <w:r>
        <w:t xml:space="preserve"> efforts </w:t>
      </w:r>
      <w:r w:rsidR="002852EA">
        <w:t>to court</w:t>
      </w:r>
      <w:r>
        <w:t xml:space="preserve"> political support, the </w:t>
      </w:r>
      <w:r w:rsidR="00341904">
        <w:t>Law’s</w:t>
      </w:r>
      <w:r>
        <w:t xml:space="preserve"> proponents had reason for optimism.</w:t>
      </w:r>
    </w:p>
    <w:p w:rsidR="00060060" w:rsidRDefault="00FE0450" w:rsidP="00AD0C24">
      <w:pPr>
        <w:tabs>
          <w:tab w:val="left" w:pos="720"/>
          <w:tab w:val="left" w:pos="1440"/>
          <w:tab w:val="left" w:pos="2160"/>
          <w:tab w:val="left" w:pos="2880"/>
          <w:tab w:val="left" w:pos="3600"/>
          <w:tab w:val="left" w:pos="4320"/>
        </w:tabs>
        <w:spacing w:line="480" w:lineRule="auto"/>
        <w:jc w:val="both"/>
      </w:pPr>
      <w:r>
        <w:tab/>
      </w:r>
      <w:r w:rsidR="002852EA">
        <w:t>When the Law first came before the Reichstag</w:t>
      </w:r>
      <w:r w:rsidR="00060060">
        <w:t xml:space="preserve"> in December 1897, Centre deputies gave n</w:t>
      </w:r>
      <w:r w:rsidR="002852EA">
        <w:t>o indication of their position. Their party was still</w:t>
      </w:r>
      <w:r w:rsidR="00BD48FE">
        <w:t xml:space="preserve"> </w:t>
      </w:r>
      <w:r w:rsidR="00060060">
        <w:t xml:space="preserve">party was still divided. Only in February did </w:t>
      </w:r>
      <w:r w:rsidR="002852EA">
        <w:t>Centre leaders</w:t>
      </w:r>
      <w:r w:rsidR="00060060">
        <w:t xml:space="preserve"> begin revealing their position on the measure. In addressing the Budget Committee</w:t>
      </w:r>
      <w:r w:rsidR="006206CD">
        <w:t xml:space="preserve"> in February 1898</w:t>
      </w:r>
      <w:r w:rsidR="00720444">
        <w:t>,</w:t>
      </w:r>
      <w:r w:rsidR="00060060">
        <w:t xml:space="preserve"> Lieber </w:t>
      </w:r>
      <w:r w:rsidR="009E1B9B">
        <w:t>argued favorably of</w:t>
      </w:r>
      <w:r w:rsidR="00060060">
        <w:t xml:space="preserve"> t</w:t>
      </w:r>
      <w:r w:rsidR="00AD0C24">
        <w:t xml:space="preserve">he </w:t>
      </w:r>
      <w:r w:rsidR="009E1B9B">
        <w:t>navy’s</w:t>
      </w:r>
      <w:r w:rsidR="00AD0C24">
        <w:t xml:space="preserve"> proposed composition. Tirpitz’s fleet, with its two squadrons of battleships at the core, would be </w:t>
      </w:r>
      <w:r w:rsidR="00BA0CF9">
        <w:t>adequate</w:t>
      </w:r>
      <w:r w:rsidR="00AD0C24">
        <w:t xml:space="preserve"> to defend Germany’s coasts from Russian and French maritime threats, but was not too large as to exceed the country’s financial and industrial capabilities. It established </w:t>
      </w:r>
      <w:r w:rsidR="00060060">
        <w:t xml:space="preserve">both a minimum and maximum </w:t>
      </w:r>
      <w:r w:rsidR="00720444">
        <w:t xml:space="preserve">naval strength that, to </w:t>
      </w:r>
      <w:r w:rsidR="00BA0CF9">
        <w:t xml:space="preserve">Lieber, </w:t>
      </w:r>
      <w:r w:rsidR="00BD48FE">
        <w:t xml:space="preserve">appeared </w:t>
      </w:r>
      <w:r w:rsidR="00060060">
        <w:t>attainable, maintainable, and sufficient to meet the empire’s defensive needs.</w:t>
      </w:r>
      <w:r w:rsidR="00060060" w:rsidRPr="00EC184A">
        <w:rPr>
          <w:rStyle w:val="FootnoteReference"/>
        </w:rPr>
        <w:footnoteReference w:id="66"/>
      </w:r>
      <w:r w:rsidR="00060060">
        <w:t xml:space="preserve"> This acceptance of Tirpitz’s organizational logic </w:t>
      </w:r>
      <w:r w:rsidR="00BA0CF9">
        <w:t>highlighted</w:t>
      </w:r>
      <w:r w:rsidR="00060060">
        <w:t xml:space="preserve"> the Catholic leader’s tacit </w:t>
      </w:r>
      <w:r w:rsidR="006206CD">
        <w:t>consent</w:t>
      </w:r>
      <w:r w:rsidR="00060060">
        <w:t xml:space="preserve"> for the program. General support from the majority of Centre deputies emerged days later, though it was contingent upon the stipulation that Tirpitz and the government accept several modest amendments to the </w:t>
      </w:r>
      <w:r w:rsidR="006206CD">
        <w:t>Law</w:t>
      </w:r>
      <w:r w:rsidR="00720444">
        <w:t xml:space="preserve"> proposed by</w:t>
      </w:r>
      <w:r w:rsidR="00060060">
        <w:t xml:space="preserve"> Lieber. These included the adoption of a financial cap equal to the </w:t>
      </w:r>
      <w:r w:rsidR="00906AA1">
        <w:t>Imperial Navy Office’s</w:t>
      </w:r>
      <w:r w:rsidR="00060060">
        <w:t xml:space="preserve"> initial naval estimates, as well as a change to the Law’s duration from seven years to six.</w:t>
      </w:r>
      <w:r w:rsidR="00060060" w:rsidRPr="00EC184A">
        <w:rPr>
          <w:rStyle w:val="FootnoteReference"/>
        </w:rPr>
        <w:footnoteReference w:id="67"/>
      </w:r>
      <w:r w:rsidR="00060060">
        <w:t xml:space="preserve"> Tirpitz accepted these </w:t>
      </w:r>
      <w:r w:rsidR="006206CD">
        <w:t>alterations</w:t>
      </w:r>
      <w:r w:rsidR="00720444">
        <w:t xml:space="preserve"> and</w:t>
      </w:r>
      <w:r w:rsidR="00060060">
        <w:t xml:space="preserve"> Lieber </w:t>
      </w:r>
      <w:r w:rsidR="00432456">
        <w:t>assured</w:t>
      </w:r>
      <w:r w:rsidR="00060060">
        <w:t xml:space="preserve"> its passage.</w:t>
      </w:r>
      <w:r w:rsidR="00060060" w:rsidRPr="00EC184A">
        <w:rPr>
          <w:rStyle w:val="FootnoteReference"/>
        </w:rPr>
        <w:footnoteReference w:id="68"/>
      </w:r>
    </w:p>
    <w:p w:rsidR="00FE0450" w:rsidRDefault="00FF7A9D" w:rsidP="00BE3CCC">
      <w:pPr>
        <w:tabs>
          <w:tab w:val="left" w:pos="720"/>
          <w:tab w:val="left" w:pos="1440"/>
          <w:tab w:val="left" w:pos="2160"/>
          <w:tab w:val="left" w:pos="2880"/>
          <w:tab w:val="left" w:pos="3600"/>
          <w:tab w:val="left" w:pos="4320"/>
        </w:tabs>
        <w:spacing w:line="480" w:lineRule="auto"/>
        <w:jc w:val="both"/>
      </w:pPr>
      <w:r>
        <w:tab/>
        <w:t xml:space="preserve">When the First Navy Law came to a vote in spring of 1898, the Centre party largely supported the measure. </w:t>
      </w:r>
      <w:r w:rsidR="006206CD">
        <w:t xml:space="preserve">Lieber had </w:t>
      </w:r>
      <w:r w:rsidR="00432456">
        <w:t xml:space="preserve">secured the backing of enough deputies to push the Law </w:t>
      </w:r>
      <w:r w:rsidR="00432456">
        <w:lastRenderedPageBreak/>
        <w:t>through over opposition from recalcitrant Catholics and the Reichstag’s left-most parties. Several other factors contributed to Centre support.</w:t>
      </w:r>
      <w:r w:rsidR="00FE0450">
        <w:t xml:space="preserve"> Among them was the political power that the Centre party stood to gain by supporting the Navy Law. As argued by </w:t>
      </w:r>
      <w:r w:rsidR="000564F0">
        <w:t xml:space="preserve">author </w:t>
      </w:r>
      <w:r w:rsidR="00720444">
        <w:t>Gary Weir,</w:t>
      </w:r>
      <w:r w:rsidR="00FE0450">
        <w:t xml:space="preserve"> Lieber saw the Law as an opportunity to launch his party to the forefront of </w:t>
      </w:r>
      <w:r w:rsidR="000564F0">
        <w:t>federal</w:t>
      </w:r>
      <w:r w:rsidR="00FE0450">
        <w:t xml:space="preserve"> politics and establish it as </w:t>
      </w:r>
      <w:r w:rsidR="000564F0">
        <w:t>“the premier national party” i</w:t>
      </w:r>
      <w:r w:rsidR="00E87B7B">
        <w:t xml:space="preserve">n </w:t>
      </w:r>
      <w:r w:rsidR="000A2BBC">
        <w:t>the Reichstag</w:t>
      </w:r>
      <w:r w:rsidR="00E87B7B">
        <w:t>. He further hoped, Weir</w:t>
      </w:r>
      <w:r w:rsidR="00720444">
        <w:t xml:space="preserve"> continues</w:t>
      </w:r>
      <w:r w:rsidR="00E87B7B">
        <w:t xml:space="preserve">, that </w:t>
      </w:r>
      <w:r w:rsidR="000564F0">
        <w:t>“aiding von Tirpitz would help broaden the freedom and influence of the Catholic Church and establish the Center as the arbiter in Reichstag disputes.”</w:t>
      </w:r>
      <w:r w:rsidR="000564F0" w:rsidRPr="00EC184A">
        <w:rPr>
          <w:rStyle w:val="FootnoteReference"/>
        </w:rPr>
        <w:footnoteReference w:id="69"/>
      </w:r>
    </w:p>
    <w:p w:rsidR="00FF7A9D" w:rsidRDefault="00FE0450" w:rsidP="00BE3CCC">
      <w:pPr>
        <w:tabs>
          <w:tab w:val="left" w:pos="720"/>
          <w:tab w:val="left" w:pos="1440"/>
          <w:tab w:val="left" w:pos="2160"/>
          <w:tab w:val="left" w:pos="2880"/>
          <w:tab w:val="left" w:pos="3600"/>
          <w:tab w:val="left" w:pos="4320"/>
        </w:tabs>
        <w:spacing w:line="480" w:lineRule="auto"/>
        <w:jc w:val="both"/>
      </w:pPr>
      <w:r>
        <w:tab/>
      </w:r>
      <w:r w:rsidR="00FF7A9D">
        <w:t xml:space="preserve">As with the Conservatives, Centre deputies found themselves in a political debate that focused not only on the merits of naval expansion, but on their </w:t>
      </w:r>
      <w:r w:rsidR="00186F4D">
        <w:t>party’s domestic aims for the empire. Among those aims, in spite of its turn to a more</w:t>
      </w:r>
      <w:r w:rsidR="00623EB6">
        <w:t xml:space="preserve"> secular political agenda, was the desire to maintain the power and influence of Christianity throughout German society. The Centre pursued this by supporting cultural and educational policies that were inherently </w:t>
      </w:r>
      <w:r w:rsidR="00995D5E">
        <w:t>ecclesiastical</w:t>
      </w:r>
      <w:r w:rsidR="00623EB6">
        <w:t>. They alone, however, could no</w:t>
      </w:r>
      <w:r w:rsidR="00C57AD5">
        <w:t>t</w:t>
      </w:r>
      <w:r w:rsidR="00720444">
        <w:t xml:space="preserve"> protect Germany’s religiosity and </w:t>
      </w:r>
      <w:r w:rsidR="00C57AD5">
        <w:t xml:space="preserve">saw cooperation with the Reichstag’s Protestant Conservatives—the only other </w:t>
      </w:r>
      <w:r w:rsidR="009775EE">
        <w:t xml:space="preserve">major </w:t>
      </w:r>
      <w:r w:rsidR="00C57AD5">
        <w:t>party concerned with protecting German</w:t>
      </w:r>
      <w:r w:rsidR="00060060">
        <w:t>y’s Christian nature</w:t>
      </w:r>
      <w:r w:rsidR="009775EE">
        <w:t>—a political necessity</w:t>
      </w:r>
      <w:r w:rsidR="00060060">
        <w:t>.</w:t>
      </w:r>
      <w:r w:rsidR="00341904" w:rsidRPr="00EC184A">
        <w:rPr>
          <w:rStyle w:val="FootnoteReference"/>
        </w:rPr>
        <w:footnoteReference w:id="70"/>
      </w:r>
      <w:r w:rsidR="009775EE">
        <w:t xml:space="preserve"> To do so required Centre support </w:t>
      </w:r>
      <w:r w:rsidR="000260C5">
        <w:t xml:space="preserve">on issues dear to Conservatives. As </w:t>
      </w:r>
      <w:r w:rsidR="00E87B7B">
        <w:t>that</w:t>
      </w:r>
      <w:r w:rsidR="000260C5">
        <w:t xml:space="preserve"> party of agriculturalists and landed aristocrats </w:t>
      </w:r>
      <w:r w:rsidR="009775EE">
        <w:t xml:space="preserve">had accepted the Navy Law for </w:t>
      </w:r>
      <w:r w:rsidR="00E87B7B">
        <w:t xml:space="preserve">reasons of national defense and, it hoped, to </w:t>
      </w:r>
      <w:r w:rsidR="009775EE">
        <w:t xml:space="preserve">receive favorable </w:t>
      </w:r>
      <w:r w:rsidR="00E87B7B">
        <w:t xml:space="preserve">agricultural </w:t>
      </w:r>
      <w:r w:rsidR="009775EE">
        <w:t xml:space="preserve">concessions from </w:t>
      </w:r>
      <w:r w:rsidR="00E87B7B">
        <w:t>the government</w:t>
      </w:r>
      <w:r w:rsidR="003F4A82">
        <w:t xml:space="preserve">, </w:t>
      </w:r>
      <w:r w:rsidR="000260C5">
        <w:t>Catholic support for the navy became essential.</w:t>
      </w:r>
      <w:r w:rsidR="000260C5" w:rsidRPr="00EC184A">
        <w:rPr>
          <w:rStyle w:val="FootnoteReference"/>
        </w:rPr>
        <w:footnoteReference w:id="71"/>
      </w:r>
    </w:p>
    <w:p w:rsidR="000B7D5C" w:rsidRDefault="00133F62" w:rsidP="00A133EB">
      <w:pPr>
        <w:tabs>
          <w:tab w:val="left" w:pos="720"/>
          <w:tab w:val="left" w:pos="1440"/>
          <w:tab w:val="left" w:pos="2160"/>
          <w:tab w:val="left" w:pos="2880"/>
          <w:tab w:val="left" w:pos="3600"/>
          <w:tab w:val="left" w:pos="4320"/>
        </w:tabs>
        <w:spacing w:line="480" w:lineRule="auto"/>
        <w:jc w:val="both"/>
      </w:pPr>
      <w:r>
        <w:tab/>
        <w:t>Political and ideological dif</w:t>
      </w:r>
      <w:r w:rsidR="00CD3323">
        <w:t>ferences with the political Left, Social Democrats specifically,</w:t>
      </w:r>
      <w:r>
        <w:t xml:space="preserve"> also </w:t>
      </w:r>
      <w:r w:rsidR="00720444">
        <w:t>made</w:t>
      </w:r>
      <w:r>
        <w:t xml:space="preserve"> Centre </w:t>
      </w:r>
      <w:r w:rsidR="00CD3323">
        <w:t xml:space="preserve">cooperation within the </w:t>
      </w:r>
      <w:r w:rsidR="00F67F82">
        <w:rPr>
          <w:i/>
        </w:rPr>
        <w:t xml:space="preserve">Sammlungspolitik </w:t>
      </w:r>
      <w:r w:rsidR="00720444">
        <w:t>framework more likely, though hardly definitive.</w:t>
      </w:r>
      <w:r w:rsidR="001F60AC">
        <w:t xml:space="preserve"> T</w:t>
      </w:r>
      <w:r w:rsidR="00CD3323">
        <w:t xml:space="preserve">he Centre and </w:t>
      </w:r>
      <w:r w:rsidR="00F67F82">
        <w:t xml:space="preserve">Social Democrats were both parties of Germany’s </w:t>
      </w:r>
      <w:r w:rsidR="00F67F82">
        <w:lastRenderedPageBreak/>
        <w:t>masses—Catholic workers, artisans,</w:t>
      </w:r>
      <w:r w:rsidR="005207DF">
        <w:t xml:space="preserve"> businessmen,</w:t>
      </w:r>
      <w:r w:rsidR="00825BB2">
        <w:t xml:space="preserve"> and farmers on one side</w:t>
      </w:r>
      <w:r w:rsidR="00F67F82">
        <w:t xml:space="preserve"> and the nation’s industrial workforce</w:t>
      </w:r>
      <w:r w:rsidR="00825BB2">
        <w:t xml:space="preserve"> on the other</w:t>
      </w:r>
      <w:r w:rsidR="00F67F82">
        <w:t>—that had been oppressed for years by the country’s political, econo</w:t>
      </w:r>
      <w:r w:rsidR="001F60AC">
        <w:t>mic, and cultural institutions. O</w:t>
      </w:r>
      <w:r w:rsidR="00A133EB">
        <w:t xml:space="preserve">nce in power, </w:t>
      </w:r>
      <w:r w:rsidR="00046CB5">
        <w:t>both groups</w:t>
      </w:r>
      <w:r w:rsidR="00A133EB">
        <w:t xml:space="preserve"> </w:t>
      </w:r>
      <w:r w:rsidR="00F67F82">
        <w:t>sought redress through changes to those institutions. At heart, however, the two parties distrust</w:t>
      </w:r>
      <w:r w:rsidR="000B7D5C">
        <w:t>ed each other.</w:t>
      </w:r>
    </w:p>
    <w:p w:rsidR="00046CB5" w:rsidRDefault="000B7D5C" w:rsidP="00A133EB">
      <w:pPr>
        <w:tabs>
          <w:tab w:val="left" w:pos="720"/>
          <w:tab w:val="left" w:pos="1440"/>
          <w:tab w:val="left" w:pos="2160"/>
          <w:tab w:val="left" w:pos="2880"/>
          <w:tab w:val="left" w:pos="3600"/>
          <w:tab w:val="left" w:pos="4320"/>
        </w:tabs>
        <w:spacing w:line="480" w:lineRule="auto"/>
        <w:jc w:val="both"/>
      </w:pPr>
      <w:r>
        <w:tab/>
      </w:r>
      <w:r w:rsidR="00A133EB">
        <w:t>They stood at odds over the influence</w:t>
      </w:r>
      <w:r w:rsidR="005D68FD">
        <w:t xml:space="preserve"> of Catholicism on</w:t>
      </w:r>
      <w:r w:rsidR="00A133EB">
        <w:t xml:space="preserve"> </w:t>
      </w:r>
      <w:r w:rsidR="005D68FD">
        <w:t>prominent</w:t>
      </w:r>
      <w:r w:rsidR="00A133EB">
        <w:t xml:space="preserve"> domestic matters like education and social policy.</w:t>
      </w:r>
      <w:r w:rsidR="00312474">
        <w:t xml:space="preserve"> </w:t>
      </w:r>
      <w:r w:rsidR="00E87B7B">
        <w:t>Social Democrats criticized the reach of the Cathol</w:t>
      </w:r>
      <w:r w:rsidR="005D68FD">
        <w:t>ic Church into German society; t</w:t>
      </w:r>
      <w:r w:rsidR="00E87B7B">
        <w:t xml:space="preserve">here the Centre sought only to strengthen it. </w:t>
      </w:r>
      <w:r w:rsidR="00312474">
        <w:t>More importantly,</w:t>
      </w:r>
      <w:r w:rsidR="005207DF">
        <w:t xml:space="preserve"> the two parties diverged over economic issues. With its reinvention in the 1890s, the Centre party gave greater attention to the </w:t>
      </w:r>
      <w:r w:rsidR="003A2C1C">
        <w:t xml:space="preserve">protection of </w:t>
      </w:r>
      <w:r w:rsidR="005D68FD">
        <w:t>the</w:t>
      </w:r>
      <w:r w:rsidR="003A2C1C">
        <w:t xml:space="preserve"> </w:t>
      </w:r>
      <w:r w:rsidR="003A2C1C">
        <w:rPr>
          <w:i/>
        </w:rPr>
        <w:t>Mittelstand</w:t>
      </w:r>
      <w:r w:rsidR="00046CB5">
        <w:t>—its middle class constituency—</w:t>
      </w:r>
      <w:r w:rsidR="005D68FD">
        <w:t>that</w:t>
      </w:r>
      <w:r w:rsidR="003A2C1C">
        <w:t xml:space="preserve"> made up much of the Catholic voting block.</w:t>
      </w:r>
      <w:r w:rsidR="003A2C1C" w:rsidRPr="00EC184A">
        <w:rPr>
          <w:rStyle w:val="FootnoteReference"/>
        </w:rPr>
        <w:footnoteReference w:id="72"/>
      </w:r>
      <w:r w:rsidR="00370C45">
        <w:t xml:space="preserve"> In 1893 the Centre greatly antagonized </w:t>
      </w:r>
      <w:r w:rsidR="000A2BBC">
        <w:t>many</w:t>
      </w:r>
      <w:r w:rsidR="00370C45">
        <w:t xml:space="preserve"> of these voters by supporting Chancellor Caprivi’s trade agreements that </w:t>
      </w:r>
      <w:r w:rsidR="005D68FD">
        <w:t xml:space="preserve">cut down protectionist tariffs and </w:t>
      </w:r>
      <w:r w:rsidR="00370C45">
        <w:t xml:space="preserve">made life markedly more difficult for small producers and entrepreneurs who now faced cheaper foreign imports. By contrast, </w:t>
      </w:r>
      <w:r w:rsidR="00046CB5">
        <w:t>poor working-class Germans, most of who</w:t>
      </w:r>
      <w:r w:rsidR="000A2BBC">
        <w:t>m</w:t>
      </w:r>
      <w:r w:rsidR="00046CB5">
        <w:t xml:space="preserve"> comprised the ranks of Social Democrats, welcomed the legislation for enabling freer trade and lowering </w:t>
      </w:r>
      <w:r w:rsidR="00E87B7B">
        <w:t xml:space="preserve">the </w:t>
      </w:r>
      <w:r w:rsidR="00046CB5">
        <w:t xml:space="preserve">costs of living. Centre leaders viewed </w:t>
      </w:r>
      <w:r w:rsidR="00244AE2">
        <w:t xml:space="preserve">this growing proletariat, a result of increasing industrialization, </w:t>
      </w:r>
      <w:r w:rsidR="00046CB5">
        <w:t xml:space="preserve">as a degenerate and morally </w:t>
      </w:r>
      <w:r w:rsidR="00244AE2">
        <w:t xml:space="preserve">tainted segment of society that would one day threaten German society as a whole. By protecting the </w:t>
      </w:r>
      <w:r w:rsidR="00244AE2">
        <w:rPr>
          <w:i/>
        </w:rPr>
        <w:t>Mittelstand</w:t>
      </w:r>
      <w:r w:rsidR="00244AE2">
        <w:t xml:space="preserve">, argues David Blackbourn, the Centre could create </w:t>
      </w:r>
      <w:r w:rsidR="00175F4E">
        <w:t>“a healthy bulwark against both the extravagances of plutocracy and the dangerous, revolutionary urges of a ‘dependent’ working class with no real stake in the social order.”</w:t>
      </w:r>
      <w:r w:rsidR="009852BC" w:rsidRPr="00EC184A">
        <w:rPr>
          <w:rStyle w:val="FootnoteReference"/>
        </w:rPr>
        <w:footnoteReference w:id="73"/>
      </w:r>
      <w:r w:rsidR="00C02682">
        <w:t xml:space="preserve"> In this regard, the Centre once more saw cooperation with Conservatives and National Liberals as the way to go. By giving support to Tirpitz’s Navy Law, the Centre could </w:t>
      </w:r>
      <w:r w:rsidR="00814A90">
        <w:t>hopefully help secure</w:t>
      </w:r>
      <w:r w:rsidR="00C02682">
        <w:t xml:space="preserve"> revisions to the </w:t>
      </w:r>
      <w:r w:rsidR="00C02682">
        <w:lastRenderedPageBreak/>
        <w:t>empire’s tariff policies</w:t>
      </w:r>
      <w:r w:rsidR="001069CC">
        <w:t xml:space="preserve"> and provide its constituents with that cruci</w:t>
      </w:r>
      <w:r w:rsidR="00C5286D">
        <w:t>al level of economic protection that it had forsaken in 1893.</w:t>
      </w:r>
    </w:p>
    <w:p w:rsidR="00E14047" w:rsidRPr="00244AE2" w:rsidRDefault="00E14047" w:rsidP="00A133EB">
      <w:pPr>
        <w:tabs>
          <w:tab w:val="left" w:pos="720"/>
          <w:tab w:val="left" w:pos="1440"/>
          <w:tab w:val="left" w:pos="2160"/>
          <w:tab w:val="left" w:pos="2880"/>
          <w:tab w:val="left" w:pos="3600"/>
          <w:tab w:val="left" w:pos="4320"/>
        </w:tabs>
        <w:spacing w:line="480" w:lineRule="auto"/>
        <w:jc w:val="both"/>
      </w:pPr>
    </w:p>
    <w:p w:rsidR="00BE3CCC" w:rsidRDefault="00BE3CCC" w:rsidP="00BE3CCC">
      <w:pPr>
        <w:tabs>
          <w:tab w:val="left" w:pos="720"/>
          <w:tab w:val="left" w:pos="5324"/>
        </w:tabs>
        <w:spacing w:line="480" w:lineRule="auto"/>
        <w:jc w:val="center"/>
        <w:outlineLvl w:val="0"/>
        <w:rPr>
          <w:u w:val="single"/>
        </w:rPr>
      </w:pPr>
      <w:r>
        <w:rPr>
          <w:u w:val="single"/>
        </w:rPr>
        <w:t>Passage and Consequences</w:t>
      </w:r>
    </w:p>
    <w:p w:rsidR="00BE3CCC" w:rsidRDefault="00BE3CCC" w:rsidP="00BE3CCC">
      <w:pPr>
        <w:tabs>
          <w:tab w:val="left" w:pos="720"/>
          <w:tab w:val="left" w:pos="5324"/>
        </w:tabs>
        <w:spacing w:line="480" w:lineRule="auto"/>
        <w:jc w:val="both"/>
      </w:pPr>
      <w:r>
        <w:tab/>
        <w:t>On March 26, 1898 and by a margin of 212 to 139, the Reichstag passed the Navy Law of 1898.</w:t>
      </w:r>
      <w:r w:rsidRPr="00EC184A">
        <w:rPr>
          <w:rStyle w:val="FootnoteReference"/>
        </w:rPr>
        <w:footnoteReference w:id="74"/>
      </w:r>
      <w:r>
        <w:t xml:space="preserve"> Indeed, this step brought massive change to both German naval and German foreign policy, whose repercussions would be more fully felt in the coming </w:t>
      </w:r>
      <w:r w:rsidR="005D68FD">
        <w:t>years. With the l</w:t>
      </w:r>
      <w:r>
        <w:t xml:space="preserve">aw, the </w:t>
      </w:r>
      <w:r w:rsidR="00D1258F">
        <w:t xml:space="preserve">Navy Secretary </w:t>
      </w:r>
      <w:r>
        <w:t>had created a clear and concise outline for the navy’s development and attached that development to a single military strategy. He organized the fleet into battleship squadrons of a standard size and composition, which the Reichstag had to accept or reject in their entirety rather than interfering with the specific number of battleships to be constructed.</w:t>
      </w:r>
      <w:r w:rsidRPr="00EC184A">
        <w:rPr>
          <w:rStyle w:val="FootnoteReference"/>
        </w:rPr>
        <w:footnoteReference w:id="75"/>
      </w:r>
      <w:r>
        <w:t xml:space="preserve"> </w:t>
      </w:r>
      <w:r w:rsidR="009B6849">
        <w:t>The Law’s success</w:t>
      </w:r>
      <w:r>
        <w:t xml:space="preserve"> also </w:t>
      </w:r>
      <w:r w:rsidR="009B6849">
        <w:t>seemed to validate</w:t>
      </w:r>
      <w:r>
        <w:t xml:space="preserve"> </w:t>
      </w:r>
      <w:r w:rsidR="009B6849">
        <w:t>the policy of</w:t>
      </w:r>
      <w:r>
        <w:t xml:space="preserve"> </w:t>
      </w:r>
      <w:r>
        <w:rPr>
          <w:i/>
        </w:rPr>
        <w:t>Sammlungspolitik</w:t>
      </w:r>
      <w:r>
        <w:t xml:space="preserve">. </w:t>
      </w:r>
      <w:r w:rsidR="00814A90">
        <w:t>Tirpitz had</w:t>
      </w:r>
      <w:r>
        <w:t xml:space="preserve"> unified both government and navy officials behind the Law in a way unlike anything in the empire’s history and then saw it through the Reichstag by facilitating cooperation among an array of socially and ideologically diverse political parties.</w:t>
      </w:r>
      <w:r w:rsidRPr="00EC184A">
        <w:rPr>
          <w:rStyle w:val="FootnoteReference"/>
        </w:rPr>
        <w:footnoteReference w:id="76"/>
      </w:r>
      <w:r>
        <w:t xml:space="preserve"> To be sure, the Admiral’s feat was impressive, but his mission was far from over. In his Memorandum of June 1897 Tirpitz had explicitly targeted England as the principle enemy of Germany and set out to create a “political power factor” with which to alter Anglo-German relations. Yet, as Paul Kennedy </w:t>
      </w:r>
      <w:r w:rsidR="006349BF">
        <w:t>points out</w:t>
      </w:r>
      <w:r>
        <w:t xml:space="preserve">, Tirpitz knew that the fleet created by the 1898 </w:t>
      </w:r>
      <w:r w:rsidR="0074573F">
        <w:t>legislation</w:t>
      </w:r>
      <w:r>
        <w:t xml:space="preserve"> alone was insufficient to alter those relations. From the outset it was only the first phase of several to fully modernize and expand the German navy.</w:t>
      </w:r>
      <w:r w:rsidRPr="00EC184A">
        <w:rPr>
          <w:rStyle w:val="FootnoteReference"/>
        </w:rPr>
        <w:footnoteReference w:id="77"/>
      </w:r>
    </w:p>
    <w:p w:rsidR="00BE3CCC" w:rsidRPr="00E9095A" w:rsidRDefault="00BE3CCC" w:rsidP="00C4497B">
      <w:pPr>
        <w:tabs>
          <w:tab w:val="left" w:pos="720"/>
          <w:tab w:val="left" w:pos="5324"/>
        </w:tabs>
        <w:spacing w:line="480" w:lineRule="auto"/>
        <w:jc w:val="both"/>
      </w:pPr>
      <w:r>
        <w:lastRenderedPageBreak/>
        <w:tab/>
        <w:t xml:space="preserve">As the </w:t>
      </w:r>
      <w:r w:rsidR="00D1258F">
        <w:t>Navy Secretary</w:t>
      </w:r>
      <w:r>
        <w:t xml:space="preserve"> began developing the successor to the </w:t>
      </w:r>
      <w:r w:rsidR="0074573F">
        <w:t>Navy Law of 1898</w:t>
      </w:r>
      <w:r>
        <w:t xml:space="preserve">, he had a </w:t>
      </w:r>
      <w:r w:rsidR="005D68FD">
        <w:t xml:space="preserve">strong </w:t>
      </w:r>
      <w:r>
        <w:t xml:space="preserve">precedent. </w:t>
      </w:r>
      <w:r w:rsidR="000074AA">
        <w:t>Still,</w:t>
      </w:r>
      <w:r>
        <w:t xml:space="preserve"> the Second Navy Law could have had an entirely different fate. It came only two years after the passage and four years before the completion of the First, was as ambitious in its nature as its predecessor, and </w:t>
      </w:r>
      <w:r w:rsidR="0074573F">
        <w:t>appeared much more aggressive in nature</w:t>
      </w:r>
      <w:r>
        <w:t xml:space="preserve">. Above all, it transformed the German navy </w:t>
      </w:r>
      <w:r w:rsidR="00C4497B">
        <w:t>into the second largest in the world that, in spite of its ostensibly defensive and protective aims, could be aimed against the British Empire.</w:t>
      </w:r>
      <w:r>
        <w:t xml:space="preserve"> The political cooperation of National Liberals, Conservatives, and Catholics upon which Tirpitz had relied for the First Law could also have fractured and disintegrated in the face of new domestic or foreign developments. In spite of this, however, the </w:t>
      </w:r>
      <w:r w:rsidR="00D1258F">
        <w:t>Navy</w:t>
      </w:r>
      <w:r>
        <w:t xml:space="preserve"> Secretary pushed ahead with his naval expansion program, and in June 1900, the Second Navy Law “swept through the Reichstag.”</w:t>
      </w:r>
      <w:r w:rsidRPr="00EC184A">
        <w:rPr>
          <w:rStyle w:val="FootnoteReference"/>
        </w:rPr>
        <w:footnoteReference w:id="78"/>
      </w:r>
      <w:r>
        <w:t xml:space="preserve"> </w:t>
      </w:r>
      <w:r w:rsidRPr="008A7F7F">
        <w:t>The empire’s domestic political and social conditions, powerful government pressures, and unfolding international events had made it possible.</w:t>
      </w:r>
    </w:p>
    <w:p w:rsidR="00BE3CCC" w:rsidRDefault="00BE3CCC" w:rsidP="00BE3CCC">
      <w:pPr>
        <w:spacing w:line="480" w:lineRule="auto"/>
        <w:rPr>
          <w:sz w:val="28"/>
          <w:szCs w:val="28"/>
          <w:u w:val="single"/>
        </w:rPr>
      </w:pPr>
    </w:p>
    <w:p w:rsidR="00BE3CCC" w:rsidRPr="007A2CBF" w:rsidRDefault="00B671F7" w:rsidP="00BE3CCC">
      <w:pPr>
        <w:spacing w:line="480" w:lineRule="auto"/>
        <w:jc w:val="center"/>
        <w:rPr>
          <w:sz w:val="28"/>
          <w:szCs w:val="28"/>
          <w:u w:val="single"/>
        </w:rPr>
      </w:pPr>
      <w:r>
        <w:rPr>
          <w:sz w:val="28"/>
          <w:szCs w:val="28"/>
          <w:u w:val="single"/>
        </w:rPr>
        <w:t>III</w:t>
      </w:r>
      <w:r w:rsidR="00BE3CCC">
        <w:rPr>
          <w:sz w:val="28"/>
          <w:szCs w:val="28"/>
          <w:u w:val="single"/>
        </w:rPr>
        <w:t>. The Second Navy Law of 1900</w:t>
      </w:r>
      <w:r w:rsidR="00FE6FC2">
        <w:rPr>
          <w:sz w:val="28"/>
          <w:szCs w:val="28"/>
          <w:u w:val="single"/>
        </w:rPr>
        <w:t>: Development and Passage</w:t>
      </w:r>
    </w:p>
    <w:p w:rsidR="00D8068A" w:rsidRDefault="00BE3CCC" w:rsidP="00BE3CCC">
      <w:pPr>
        <w:tabs>
          <w:tab w:val="left" w:pos="720"/>
        </w:tabs>
        <w:spacing w:line="480" w:lineRule="auto"/>
        <w:jc w:val="both"/>
      </w:pPr>
      <w:r>
        <w:tab/>
        <w:t xml:space="preserve">The Navy Law of 1900, like its predecessor, had long been a part of the </w:t>
      </w:r>
      <w:r w:rsidR="00D1258F">
        <w:t>Navy</w:t>
      </w:r>
      <w:r>
        <w:t xml:space="preserve"> Secretary’s larger plan to create an offensive fleet capable of challenging Britain. “It was…always quite clear to me,” Tirpitz writes, “that the first Navy Law did not create the fleet in [the] ultimate form” necessary to achieve this aim.</w:t>
      </w:r>
      <w:r w:rsidRPr="00EC184A">
        <w:rPr>
          <w:rStyle w:val="FootnoteReference"/>
        </w:rPr>
        <w:footnoteReference w:id="79"/>
      </w:r>
      <w:r>
        <w:t xml:space="preserve"> Indeed, the nineteen battleships, eight armored cruisers, and thirty light cruisers of the new German fleet would be inadequate to match or seriously threaten Britain’s naval dominance, which in 1900 amounted to fifty-five battleships, sixty armored cruisers, and eighty-four light cruisers in service or under construction.</w:t>
      </w:r>
      <w:r w:rsidRPr="00EC184A">
        <w:rPr>
          <w:rStyle w:val="FootnoteReference"/>
        </w:rPr>
        <w:footnoteReference w:id="80"/>
      </w:r>
      <w:r>
        <w:t xml:space="preserve"> Yet these </w:t>
      </w:r>
      <w:r>
        <w:lastRenderedPageBreak/>
        <w:t>forces were spread out across the globe to police major trade routes and protect the empire’s far-flung colonial interests. In this division of strength Tirpitz saw the opportunity to achieve a measure of</w:t>
      </w:r>
      <w:r w:rsidR="001304B3">
        <w:t xml:space="preserve"> naval parity in the North Sea through </w:t>
      </w:r>
      <w:r>
        <w:t xml:space="preserve">the Navy Law of 1898 and </w:t>
      </w:r>
      <w:r w:rsidR="001304B3">
        <w:t xml:space="preserve">additional </w:t>
      </w:r>
      <w:r>
        <w:t>suppleme</w:t>
      </w:r>
      <w:r w:rsidR="00D8068A">
        <w:t>ntary bill</w:t>
      </w:r>
      <w:r w:rsidR="00611DCE">
        <w:t>s</w:t>
      </w:r>
      <w:r w:rsidR="00D8068A">
        <w:t>.</w:t>
      </w:r>
    </w:p>
    <w:p w:rsidR="00BE3CCC" w:rsidRDefault="00BE3CCC" w:rsidP="00BE3CCC">
      <w:pPr>
        <w:tabs>
          <w:tab w:val="left" w:pos="720"/>
        </w:tabs>
        <w:spacing w:line="480" w:lineRule="auto"/>
        <w:jc w:val="both"/>
      </w:pPr>
      <w:r>
        <w:tab/>
        <w:t xml:space="preserve">The </w:t>
      </w:r>
      <w:r w:rsidR="000A2BBC">
        <w:t>Navy</w:t>
      </w:r>
      <w:r>
        <w:t xml:space="preserve"> Secretary based this upon one major—and ultimately false—set of premises</w:t>
      </w:r>
      <w:r w:rsidR="00D8068A">
        <w:t xml:space="preserve">. </w:t>
      </w:r>
      <w:r w:rsidR="00611DCE">
        <w:t>Tirpitz held that</w:t>
      </w:r>
      <w:r>
        <w:t xml:space="preserve"> Britain regarded its colonies and trade as fundamental to the survival of the nation itself; it would never relinquish control of the world’s waterways and jeopardize the security of those colonies or trade networks; and it could never reconcile its differences with either of its two leading rivals, themselves allies since 1892, France and Russia. He disregarded, as many Germans did, the possibility of an Anglo-French or Anglo-Russian rapprochement, as their rivalries dated back for centuries and presently played out in Africa and Central Asia. As recently as the fall of 1898, France and Britain nearly went to war over territory in eastern Africa, while the “Great Game” for influence and control over Central Asia continued between Britain and Russia through numerous proxy wars.</w:t>
      </w:r>
      <w:r w:rsidRPr="00EC184A">
        <w:rPr>
          <w:rStyle w:val="FootnoteReference"/>
        </w:rPr>
        <w:footnoteReference w:id="81"/>
      </w:r>
      <w:r>
        <w:t xml:space="preserve"> While Anglo-German relations had taken a damaging turn with the Kruger Telegram, they were by contrast hardly comparable to the immediate and ever-present dangers posed by French and Russian forces around the world. With Britain’s hands so tied, Tirpitz removed the m</w:t>
      </w:r>
      <w:r w:rsidR="001304B3">
        <w:t>ask concealing his true designs and i</w:t>
      </w:r>
      <w:r>
        <w:t>n the fall and winter of 1899 developed t</w:t>
      </w:r>
      <w:r w:rsidR="001304B3">
        <w:t>he next phase of naval expansion</w:t>
      </w:r>
      <w:r>
        <w:t>.</w:t>
      </w:r>
    </w:p>
    <w:p w:rsidR="00BE3CCC" w:rsidRDefault="00BE3CCC" w:rsidP="00577377">
      <w:pPr>
        <w:tabs>
          <w:tab w:val="left" w:pos="720"/>
        </w:tabs>
        <w:spacing w:line="480" w:lineRule="auto"/>
        <w:jc w:val="both"/>
      </w:pPr>
      <w:r>
        <w:tab/>
        <w:t xml:space="preserve"> First announced to the Reichstag in December 1899 and brought up for debate in February of 1900, the government’s leading figures laid forth the plan for the next phase of naval expansion. The Second Navy Law’s principle aim would result in t</w:t>
      </w:r>
      <w:r w:rsidR="00B22D2A">
        <w:t xml:space="preserve">he doubling of the German navy. </w:t>
      </w:r>
      <w:r>
        <w:t xml:space="preserve">It called for the creation of two new squadrons of eight battleships each, as well as one additional flagship. Construction on the third squadron would begin immediately, along side </w:t>
      </w:r>
      <w:r>
        <w:lastRenderedPageBreak/>
        <w:t>those battleships authorized by the 1898 Law, with the fourth squadron waiting until replacement of the navy’s eight aging coastal d</w:t>
      </w:r>
      <w:r w:rsidR="00B22D2A">
        <w:t xml:space="preserve">efense vessels became necessary. </w:t>
      </w:r>
      <w:r w:rsidR="00577377">
        <w:t xml:space="preserve">It also called for </w:t>
      </w:r>
      <w:r w:rsidR="00892322">
        <w:t>further</w:t>
      </w:r>
      <w:r w:rsidR="00577377">
        <w:t xml:space="preserve"> cruisers and auxiliary vessels for support of the new battleship squadrons, as well as the creation of a small force of cruisers for service overseas.</w:t>
      </w:r>
      <w:r w:rsidR="00577377" w:rsidRPr="00EC184A">
        <w:rPr>
          <w:rStyle w:val="FootnoteReference"/>
        </w:rPr>
        <w:footnoteReference w:id="82"/>
      </w:r>
    </w:p>
    <w:p w:rsidR="00BE3CCC" w:rsidRDefault="00BE3CCC" w:rsidP="00BE3CCC">
      <w:pPr>
        <w:tabs>
          <w:tab w:val="left" w:pos="720"/>
        </w:tabs>
        <w:spacing w:line="480" w:lineRule="auto"/>
        <w:jc w:val="both"/>
      </w:pPr>
      <w:r>
        <w:tab/>
        <w:t>Along with the outline for expansion, Tirpitz a</w:t>
      </w:r>
      <w:r w:rsidR="00892322">
        <w:t xml:space="preserve">t last publicly articulated the </w:t>
      </w:r>
      <w:r w:rsidR="004906CC">
        <w:rPr>
          <w:i/>
        </w:rPr>
        <w:t xml:space="preserve">Risk </w:t>
      </w:r>
      <w:r w:rsidR="004906CC" w:rsidRPr="004906CC">
        <w:rPr>
          <w:i/>
        </w:rPr>
        <w:t>Theory</w:t>
      </w:r>
      <w:r w:rsidR="004906CC">
        <w:t xml:space="preserve"> </w:t>
      </w:r>
      <w:r w:rsidRPr="004906CC">
        <w:t>behind</w:t>
      </w:r>
      <w:r>
        <w:t xml:space="preserve"> his naval strategy against England. As summarized by Paul Kennedy, the Admiral put forth that: </w:t>
      </w:r>
    </w:p>
    <w:p w:rsidR="00BE3CCC" w:rsidRDefault="00BE3CCC" w:rsidP="00BE3CCC">
      <w:pPr>
        <w:tabs>
          <w:tab w:val="left" w:pos="720"/>
        </w:tabs>
        <w:ind w:left="720" w:right="720"/>
        <w:jc w:val="both"/>
        <w:rPr>
          <w:sz w:val="20"/>
          <w:szCs w:val="20"/>
        </w:rPr>
      </w:pPr>
      <w:r w:rsidRPr="00DC3EC5">
        <w:rPr>
          <w:sz w:val="20"/>
          <w:szCs w:val="20"/>
        </w:rPr>
        <w:t xml:space="preserve">Germany must equip herself with a fleet strong enough not only to defend her coasts but also able to threaten the </w:t>
      </w:r>
      <w:r w:rsidRPr="00DC3EC5">
        <w:rPr>
          <w:i/>
          <w:sz w:val="20"/>
          <w:szCs w:val="20"/>
        </w:rPr>
        <w:t>overall</w:t>
      </w:r>
      <w:r w:rsidRPr="00DC3EC5">
        <w:rPr>
          <w:sz w:val="20"/>
          <w:szCs w:val="20"/>
        </w:rPr>
        <w:t xml:space="preserve"> maritime superiority of the most powerful Navy existing. In other words, Britain, in attacking such a fleet, might lose so many warships (despite winning the actual battle) that the Royal Navy would be inferior to Franco-Russian naval forces.</w:t>
      </w:r>
      <w:r w:rsidRPr="00EC184A">
        <w:rPr>
          <w:rStyle w:val="FootnoteReference"/>
        </w:rPr>
        <w:footnoteReference w:id="83"/>
      </w:r>
    </w:p>
    <w:p w:rsidR="00BE3CCC" w:rsidRPr="00DC3EC5" w:rsidRDefault="00BE3CCC" w:rsidP="00BE3CCC">
      <w:pPr>
        <w:tabs>
          <w:tab w:val="left" w:pos="720"/>
        </w:tabs>
        <w:ind w:left="720" w:right="720"/>
        <w:jc w:val="both"/>
        <w:rPr>
          <w:sz w:val="20"/>
          <w:szCs w:val="20"/>
        </w:rPr>
      </w:pPr>
    </w:p>
    <w:p w:rsidR="00BE3CCC" w:rsidRDefault="009010F9" w:rsidP="00BE3CCC">
      <w:pPr>
        <w:tabs>
          <w:tab w:val="left" w:pos="720"/>
        </w:tabs>
        <w:spacing w:line="480" w:lineRule="auto"/>
        <w:jc w:val="both"/>
      </w:pPr>
      <w:r>
        <w:t>T</w:t>
      </w:r>
      <w:r w:rsidR="00BE3CCC">
        <w:t xml:space="preserve">he navy’s expansion from nineteen to thirty-eight battleships would transform Anglo-German relations by giving Germany the world’s second largest navy and operating only hours from the British coast. Moreover, Tirpitz saw it as a tool with an “alliance-value” that, when combined with the forces of another naval power, could neutralize and overthrow Britain’s naval hegemony. With its critical naval obligations stretched all around the world and its rivalries against France and Russia, Tirpitz saw no way for Britain to recall its forces to prevent a level of parity. Germany would </w:t>
      </w:r>
      <w:r w:rsidR="00892322">
        <w:t>at last have</w:t>
      </w:r>
      <w:r w:rsidR="00BE3CCC">
        <w:t xml:space="preserve"> that “political power factor” to </w:t>
      </w:r>
      <w:r w:rsidR="000A2BBC">
        <w:t>rei</w:t>
      </w:r>
      <w:r w:rsidR="00892322">
        <w:t>n in British control of the seas.</w:t>
      </w:r>
    </w:p>
    <w:p w:rsidR="005C74C6" w:rsidRDefault="00BE3CCC" w:rsidP="00BE3CCC">
      <w:pPr>
        <w:tabs>
          <w:tab w:val="left" w:pos="720"/>
        </w:tabs>
        <w:spacing w:line="480" w:lineRule="auto"/>
        <w:jc w:val="both"/>
      </w:pPr>
      <w:r>
        <w:tab/>
        <w:t xml:space="preserve">With the Navy Law of 1898 not set to expire until 1904, neither the government nor the Reichstag had anticipated further fleet expansion efforts for several more years. By the summer of 1899, however, several domestic and international factors had compelled the </w:t>
      </w:r>
      <w:r w:rsidR="000A2BBC">
        <w:t>Navy</w:t>
      </w:r>
      <w:r>
        <w:t xml:space="preserve"> Secretary to move his expansion efforts ahead of schedule. First, as construction costs for the new battleships of the 1898 Law were higher than anticipated, Tirpitz would eventually have to </w:t>
      </w:r>
      <w:r>
        <w:lastRenderedPageBreak/>
        <w:t>request an elimination of the s</w:t>
      </w:r>
      <w:r w:rsidR="00892322">
        <w:t>pending cap established by the F</w:t>
      </w:r>
      <w:r>
        <w:t>irst Navy Law. He anticipated that any such appeal would generate Reichstag inquiry into the navy’s future fleet plans, which he deemed better to reveal sooner rather than later.</w:t>
      </w:r>
      <w:r w:rsidRPr="00EC184A">
        <w:rPr>
          <w:rStyle w:val="FootnoteReference"/>
        </w:rPr>
        <w:footnoteReference w:id="84"/>
      </w:r>
      <w:r>
        <w:t xml:space="preserve"> Second, the Admiral sought to increase the rate of battleship construction to the maximum that Germany’s industrial capacity would allow, three per annum, so that Germany could </w:t>
      </w:r>
      <w:r w:rsidR="00892322">
        <w:t>upset British naval superiority at the earliest possible moment.</w:t>
      </w:r>
      <w:r>
        <w:t xml:space="preserve"> Moreover, the faster the building rate, the faster the navy would get through the “danger zone,” or the period during which Britain could preemptively attack and destroy the fledgling fleet. The Admiral’s final rational</w:t>
      </w:r>
      <w:r w:rsidR="000A2BBC">
        <w:t>e</w:t>
      </w:r>
      <w:r>
        <w:t xml:space="preserve"> centered on the international conflicts that were both simultaneously unfolding and looming on the horizon, including the Spanish-American War, the Anglo-German-American conflict over the Samoan islands, and the outbreak of </w:t>
      </w:r>
      <w:r w:rsidR="00892322">
        <w:t>war</w:t>
      </w:r>
      <w:r>
        <w:t xml:space="preserve"> between Britain and the southern African Boer Republics. They both threatened peace among the world’s leading powers and stimulated massive increases to their shipbuilding programs. Tirpitz </w:t>
      </w:r>
      <w:r w:rsidR="005C74C6">
        <w:t>would not let</w:t>
      </w:r>
      <w:r>
        <w:t xml:space="preserve"> Germany fall behind.</w:t>
      </w:r>
      <w:r w:rsidRPr="00EC184A">
        <w:rPr>
          <w:rStyle w:val="FootnoteReference"/>
        </w:rPr>
        <w:footnoteReference w:id="85"/>
      </w:r>
    </w:p>
    <w:p w:rsidR="00BE3CCC" w:rsidRDefault="00BE3CCC" w:rsidP="00BE3CCC">
      <w:pPr>
        <w:tabs>
          <w:tab w:val="left" w:pos="720"/>
        </w:tabs>
        <w:spacing w:line="480" w:lineRule="auto"/>
        <w:jc w:val="both"/>
      </w:pPr>
      <w:r>
        <w:tab/>
      </w:r>
      <w:r w:rsidR="005C74C6">
        <w:t xml:space="preserve">The </w:t>
      </w:r>
      <w:r w:rsidR="00D1258F">
        <w:t>Navy</w:t>
      </w:r>
      <w:r w:rsidR="005C74C6">
        <w:t xml:space="preserve"> Secretary</w:t>
      </w:r>
      <w:r>
        <w:t xml:space="preserve"> also </w:t>
      </w:r>
      <w:r w:rsidR="00892322">
        <w:t>reacted to a more dangerous prospect</w:t>
      </w:r>
      <w:r>
        <w:t xml:space="preserve">: concern for the premature death of </w:t>
      </w:r>
      <w:r>
        <w:rPr>
          <w:i/>
        </w:rPr>
        <w:t>Sammlungspolitik</w:t>
      </w:r>
      <w:r>
        <w:t xml:space="preserve"> and the dissolution of the political coalition that had passed the First Navy Law. Political discourse and cooperation came to a halt in the summer of 1899 with the battle over a measure known as the Canal Bill. Bülow </w:t>
      </w:r>
      <w:r w:rsidR="000B6542">
        <w:t>described it</w:t>
      </w:r>
      <w:r>
        <w:t xml:space="preserve"> </w:t>
      </w:r>
      <w:r w:rsidR="00892322">
        <w:t xml:space="preserve">as </w:t>
      </w:r>
      <w:r>
        <w:t>“the foremost question in internal politics” during tho</w:t>
      </w:r>
      <w:r w:rsidR="00D8068A">
        <w:t xml:space="preserve">se months, </w:t>
      </w:r>
      <w:r w:rsidR="000B6542">
        <w:t>while Tirpitz feared it was a “prelude to the collision between the economic groups</w:t>
      </w:r>
      <w:r w:rsidR="00D935ED">
        <w:t xml:space="preserve">” that </w:t>
      </w:r>
      <w:r w:rsidR="000A2BBC">
        <w:t>was</w:t>
      </w:r>
      <w:r w:rsidR="00D935ED">
        <w:t xml:space="preserve"> anticipated with the expiration and revision of Caprivi’s trade agreements set for 1902.</w:t>
      </w:r>
      <w:r w:rsidR="00AD601F" w:rsidRPr="00EC184A">
        <w:rPr>
          <w:rStyle w:val="FootnoteReference"/>
        </w:rPr>
        <w:footnoteReference w:id="86"/>
      </w:r>
      <w:r w:rsidR="00D935ED">
        <w:t xml:space="preserve"> At its heart,</w:t>
      </w:r>
      <w:r w:rsidR="00D8068A">
        <w:t xml:space="preserve"> </w:t>
      </w:r>
      <w:r w:rsidR="00892322">
        <w:t xml:space="preserve">the </w:t>
      </w:r>
      <w:r w:rsidR="00D8068A">
        <w:t>legislation would have authorized</w:t>
      </w:r>
      <w:r>
        <w:t xml:space="preserve"> the construction of two new major canals, the Dortmund-Rhine and the Central German, which would link several of Germany’s major waterways, including the Rhine in the west and the Elbe </w:t>
      </w:r>
      <w:r>
        <w:lastRenderedPageBreak/>
        <w:t xml:space="preserve">in the east. The government and Kaiser deemed the legislation as necessary for internal improvements “from every point of view, economic, strategic, and national,” and received support from the National Liberals, who favored the </w:t>
      </w:r>
      <w:r w:rsidR="00097FE9">
        <w:t>development</w:t>
      </w:r>
      <w:r>
        <w:t xml:space="preserve"> of internal infrastructure for increased ease of trade</w:t>
      </w:r>
      <w:r w:rsidR="00097FE9">
        <w:t xml:space="preserve"> and movement of goods</w:t>
      </w:r>
      <w:r>
        <w:t>.</w:t>
      </w:r>
      <w:r w:rsidRPr="00EC184A">
        <w:rPr>
          <w:rStyle w:val="FootnoteReference"/>
        </w:rPr>
        <w:footnoteReference w:id="87"/>
      </w:r>
      <w:r>
        <w:t xml:space="preserve"> Opposition was immense, however, among the empire’s more conservative political factions. Both Conservative and Centre agrarians had been hard-hit by the turn from protectionist economic policies in the early 1890s to those </w:t>
      </w:r>
      <w:r w:rsidR="00097FE9">
        <w:t>supportive of</w:t>
      </w:r>
      <w:r>
        <w:t xml:space="preserve"> fr</w:t>
      </w:r>
      <w:r w:rsidR="00097FE9">
        <w:t xml:space="preserve">ee trade and economic expansion. They </w:t>
      </w:r>
      <w:r>
        <w:t xml:space="preserve">were loath to accept another direct threat to their political and economic position within the empire. As they perceived it, the canals would open new markets </w:t>
      </w:r>
      <w:r w:rsidR="00CE453E">
        <w:t>in</w:t>
      </w:r>
      <w:r>
        <w:t xml:space="preserve"> Germany to</w:t>
      </w:r>
      <w:r w:rsidR="00CE453E">
        <w:t xml:space="preserve"> cheaper foreign grain imports, </w:t>
      </w:r>
      <w:r>
        <w:t>while also enabling eastern agricultural workers to migrate westward to expanding industrial centers with greater ease.</w:t>
      </w:r>
      <w:r w:rsidRPr="00EC184A">
        <w:rPr>
          <w:rStyle w:val="FootnoteReference"/>
        </w:rPr>
        <w:footnoteReference w:id="88"/>
      </w:r>
    </w:p>
    <w:p w:rsidR="00BE3CCC" w:rsidRDefault="00BE3CCC" w:rsidP="00BE3CCC">
      <w:pPr>
        <w:tabs>
          <w:tab w:val="left" w:pos="720"/>
        </w:tabs>
        <w:spacing w:line="480" w:lineRule="auto"/>
        <w:jc w:val="both"/>
      </w:pPr>
      <w:r>
        <w:tab/>
        <w:t xml:space="preserve">The debate over the Bill became exceptionally damaging to the relationship between Kaiser and Conservatives, </w:t>
      </w:r>
      <w:r w:rsidR="000A2BBC">
        <w:t>carrying</w:t>
      </w:r>
      <w:r>
        <w:t xml:space="preserve"> the possibility of poisoning future cooperative efforts on </w:t>
      </w:r>
      <w:r w:rsidR="00097FE9">
        <w:t xml:space="preserve">other </w:t>
      </w:r>
      <w:r>
        <w:t>government measures. For his part, Wilhelm could not understand Conservative opposition to the canals. He had seen Conservatives as “the tradit</w:t>
      </w:r>
      <w:r w:rsidR="000A2BBC">
        <w:t>ional pillars of throne and alta</w:t>
      </w:r>
      <w:r>
        <w:t>r, who have always been spoilt by the royal house</w:t>
      </w:r>
      <w:r w:rsidR="00CE453E">
        <w:t>.” He</w:t>
      </w:r>
      <w:r>
        <w:t xml:space="preserve"> expected their support on major government legislation, especially </w:t>
      </w:r>
      <w:r w:rsidR="00CE453E">
        <w:t>for that</w:t>
      </w:r>
      <w:r>
        <w:t xml:space="preserve"> advocated by himself. Yet he failed to understand “that the Conservatives as a party could not simply be the executors of the royal will,” as such blind loyalty would tarnish their image as an independent party in the eyes of the electorate and weaken their political authority in the Reichstag.</w:t>
      </w:r>
      <w:r w:rsidRPr="00EC184A">
        <w:rPr>
          <w:rStyle w:val="FootnoteReference"/>
        </w:rPr>
        <w:footnoteReference w:id="89"/>
      </w:r>
      <w:r>
        <w:t xml:space="preserve"> </w:t>
      </w:r>
      <w:r w:rsidR="000A2BBC">
        <w:t>True</w:t>
      </w:r>
      <w:r>
        <w:t xml:space="preserve"> to his nature, the Kaiser reacted poorly to this opposition. He regarded </w:t>
      </w:r>
      <w:r w:rsidR="00AC5810">
        <w:t>its</w:t>
      </w:r>
      <w:r>
        <w:t xml:space="preserve"> leaders as the “Canal mutineers” and exacted his revenge by dismissing each one from his position within the Prussian Parliament. Other leading Conservatives—even those without influence on the ongoing Canal debate—retaliated against </w:t>
      </w:r>
      <w:r>
        <w:lastRenderedPageBreak/>
        <w:t>the Kaiser’s seemingly petty reaction by resigning their own positions within the Prussian government in protest.</w:t>
      </w:r>
      <w:r w:rsidRPr="00EC184A">
        <w:rPr>
          <w:rStyle w:val="FootnoteReference"/>
        </w:rPr>
        <w:footnoteReference w:id="90"/>
      </w:r>
    </w:p>
    <w:p w:rsidR="00BE3CCC" w:rsidRDefault="00BE3CCC" w:rsidP="00BE3CCC">
      <w:pPr>
        <w:tabs>
          <w:tab w:val="left" w:pos="720"/>
        </w:tabs>
        <w:spacing w:line="480" w:lineRule="auto"/>
        <w:jc w:val="both"/>
      </w:pPr>
      <w:r>
        <w:tab/>
        <w:t xml:space="preserve">As agrarian opposition brought the Canal Bill to an ignominious end, Tirpitz concerned himself with the prospects of future naval expansion. Indeed, the Conservative Party had supported the First Navy Law, </w:t>
      </w:r>
      <w:r w:rsidR="00CE453E">
        <w:t xml:space="preserve">primarily for reasons of national defense, though also </w:t>
      </w:r>
      <w:r>
        <w:t xml:space="preserve">in accordance with </w:t>
      </w:r>
      <w:r>
        <w:rPr>
          <w:i/>
        </w:rPr>
        <w:t>Sammlungspolitik</w:t>
      </w:r>
      <w:r w:rsidR="00CE453E">
        <w:t>.</w:t>
      </w:r>
      <w:r>
        <w:t xml:space="preserve"> </w:t>
      </w:r>
      <w:r w:rsidR="00CE453E">
        <w:t>I</w:t>
      </w:r>
      <w:r>
        <w:t>ts members i</w:t>
      </w:r>
      <w:r w:rsidR="00CE453E">
        <w:t xml:space="preserve">nside and outside the Reichstag, however, still </w:t>
      </w:r>
      <w:r>
        <w:t xml:space="preserve">maintained a fundamental </w:t>
      </w:r>
      <w:r w:rsidR="00A56B65">
        <w:t>opposition to naval development</w:t>
      </w:r>
      <w:r>
        <w:t xml:space="preserve"> for its underlying ties to industrial development over agriculture. Moreover, they had not received </w:t>
      </w:r>
      <w:r w:rsidR="00CE453E">
        <w:t>guarantee of any significant</w:t>
      </w:r>
      <w:r>
        <w:t xml:space="preserve"> compensation for their support of the </w:t>
      </w:r>
      <w:r w:rsidR="00CE453E">
        <w:t>Navy Law.</w:t>
      </w:r>
      <w:r>
        <w:t xml:space="preserve"> </w:t>
      </w:r>
      <w:r w:rsidR="00CE453E">
        <w:t>The</w:t>
      </w:r>
      <w:r>
        <w:t xml:space="preserve"> backlash against the Kaiser and</w:t>
      </w:r>
      <w:r w:rsidR="00CE453E">
        <w:t xml:space="preserve"> the government’s</w:t>
      </w:r>
      <w:r>
        <w:t xml:space="preserve"> Canal Bill </w:t>
      </w:r>
      <w:r w:rsidR="00CE453E">
        <w:t xml:space="preserve">also </w:t>
      </w:r>
      <w:r>
        <w:t xml:space="preserve">revealed how threatened agrarians had felt since the end of Bismarck’s protectionist and pro-agrarian policies and the onset of pro-trade and pro-industrialization agendas. Tirpitz recognized this and, with the expiration and potential renewal of international trade agreements set for 1902, feared </w:t>
      </w:r>
      <w:r w:rsidR="00CE453E">
        <w:t xml:space="preserve">that looming </w:t>
      </w:r>
      <w:r>
        <w:t>tariff debates would lead to an acrimonious showdown over the very existence of the empire’s powerful agrarian aristocracy.</w:t>
      </w:r>
      <w:r w:rsidRPr="00EC184A">
        <w:rPr>
          <w:rStyle w:val="FootnoteReference"/>
        </w:rPr>
        <w:footnoteReference w:id="91"/>
      </w:r>
      <w:r>
        <w:t xml:space="preserve"> By pushing his future plans ahead of schedule the </w:t>
      </w:r>
      <w:r w:rsidR="00D1258F">
        <w:t>Navy</w:t>
      </w:r>
      <w:r>
        <w:t xml:space="preserve"> Secretary sought to preempt the confrontation and secure the next step in naval expansion.</w:t>
      </w:r>
    </w:p>
    <w:p w:rsidR="00BE3CCC" w:rsidRDefault="00BE3CCC" w:rsidP="00BE3CCC">
      <w:pPr>
        <w:tabs>
          <w:tab w:val="left" w:pos="720"/>
        </w:tabs>
        <w:spacing w:line="480" w:lineRule="auto"/>
        <w:jc w:val="both"/>
      </w:pPr>
      <w:r>
        <w:tab/>
        <w:t xml:space="preserve">In September 1899 the Admiral presented to the Kaiser an outline for his long-term naval plans. He envisioned a final fleet of forty-five battleships that would be “superior to all others but England,” </w:t>
      </w:r>
      <w:r w:rsidR="00A56B65">
        <w:t xml:space="preserve">and </w:t>
      </w:r>
      <w:r>
        <w:t>against whom “we w</w:t>
      </w:r>
      <w:r w:rsidR="00A56B65">
        <w:t>ould undoubtedly have good odds</w:t>
      </w:r>
      <w:r>
        <w:t>”</w:t>
      </w:r>
      <w:r w:rsidR="00A56B65">
        <w:t xml:space="preserve"> in battle.</w:t>
      </w:r>
      <w:r w:rsidRPr="00EC184A">
        <w:rPr>
          <w:rStyle w:val="FootnoteReference"/>
        </w:rPr>
        <w:footnoteReference w:id="92"/>
      </w:r>
      <w:r>
        <w:t xml:space="preserve"> In this revelation to the Kaiser of yet an even larger and more powerful anti-English fleet, Tirpitz divided the plan into two phases, with the first forming the basis of the Second Navy Law and its </w:t>
      </w:r>
      <w:r>
        <w:lastRenderedPageBreak/>
        <w:t xml:space="preserve">two new battleship squadrons. Having anticipated initiating this next phase the following summer with a final vote sometime 1901, Tirpitz was forced ahead of schedule yet again when the Kaiser’s excitement spilled into public affairs. In October, </w:t>
      </w:r>
      <w:r w:rsidR="00A56B65">
        <w:t>Wilhelm</w:t>
      </w:r>
      <w:r>
        <w:t xml:space="preserve"> declared to an audience in Hamburg </w:t>
      </w:r>
      <w:r w:rsidR="00C20296">
        <w:t>that Germany had</w:t>
      </w:r>
      <w:r>
        <w:t xml:space="preserve"> “bitter need” for a powerful fleet to protect its interests around the world, which drew the attention of political leaders in the Reichstag who demanded clarification of the government’s intentions.</w:t>
      </w:r>
      <w:r w:rsidRPr="00EC184A">
        <w:rPr>
          <w:rStyle w:val="FootnoteReference"/>
        </w:rPr>
        <w:footnoteReference w:id="93"/>
      </w:r>
      <w:r>
        <w:t xml:space="preserve"> Unable to hold back any longer, Tirpitz moved forward with the development of the Second Navy Law and in December, along with Chancellor Hohenlohe and Foreign Secretary Bülow, presented the Reichstag with an overview of the next phase in naval expansion.</w:t>
      </w:r>
    </w:p>
    <w:p w:rsidR="00787E26" w:rsidRDefault="00BE3CCC" w:rsidP="00BE3CCC">
      <w:pPr>
        <w:tabs>
          <w:tab w:val="left" w:pos="720"/>
        </w:tabs>
        <w:spacing w:line="480" w:lineRule="auto"/>
        <w:jc w:val="both"/>
      </w:pPr>
      <w:r>
        <w:tab/>
        <w:t>Six months later, on June 12, 1900, the Reichst</w:t>
      </w:r>
      <w:r w:rsidR="005A4227">
        <w:t>ag approved the Second Navy Law</w:t>
      </w:r>
      <w:r>
        <w:t xml:space="preserve">. By a margin </w:t>
      </w:r>
      <w:r w:rsidR="000A2BBC">
        <w:t xml:space="preserve">of </w:t>
      </w:r>
      <w:r>
        <w:t xml:space="preserve">201 to 103, the coalition behind </w:t>
      </w:r>
      <w:r>
        <w:rPr>
          <w:i/>
        </w:rPr>
        <w:t>Sammlungspolitik</w:t>
      </w:r>
      <w:r>
        <w:t xml:space="preserve"> expressed its approval for the transformation of the German navy from the defensive tool outlined in the First Navy Law to the weapon aimed ostensibly against Britain.</w:t>
      </w:r>
      <w:r w:rsidRPr="00EC184A">
        <w:rPr>
          <w:rStyle w:val="FootnoteReference"/>
        </w:rPr>
        <w:footnoteReference w:id="94"/>
      </w:r>
      <w:r>
        <w:t xml:space="preserve"> Indeed, the Admiral had sought to push expansion efforts ahead of schedule for his own goal of challenging Britain as soon as possible, though factors beyond his control had forced him to move at a pace even he had not anticipated. I</w:t>
      </w:r>
      <w:r w:rsidR="005C74C6">
        <w:t>nternational events</w:t>
      </w:r>
      <w:r>
        <w:t>,</w:t>
      </w:r>
      <w:r w:rsidR="005C74C6">
        <w:t xml:space="preserve"> </w:t>
      </w:r>
      <w:r>
        <w:t>domestic p</w:t>
      </w:r>
      <w:r w:rsidR="00577377">
        <w:t>olitical crises and conditions</w:t>
      </w:r>
      <w:r>
        <w:t xml:space="preserve">, and the </w:t>
      </w:r>
      <w:r w:rsidR="00787E26">
        <w:t>excitement of the Kaiser</w:t>
      </w:r>
      <w:r w:rsidR="00577377">
        <w:t xml:space="preserve"> </w:t>
      </w:r>
      <w:r>
        <w:t xml:space="preserve">had all played a role. </w:t>
      </w:r>
      <w:r w:rsidR="00A56B65">
        <w:t>They would continue to do so throughout debate on the Law itself.</w:t>
      </w:r>
    </w:p>
    <w:p w:rsidR="009A066B" w:rsidRPr="009A066B" w:rsidRDefault="003E27B2" w:rsidP="00304B20">
      <w:pPr>
        <w:tabs>
          <w:tab w:val="left" w:pos="5509"/>
        </w:tabs>
        <w:spacing w:line="480" w:lineRule="auto"/>
      </w:pPr>
      <w:r>
        <w:tab/>
      </w:r>
    </w:p>
    <w:p w:rsidR="003E27B2" w:rsidRPr="003D30A9" w:rsidRDefault="003D30A9" w:rsidP="003E27B2">
      <w:pPr>
        <w:tabs>
          <w:tab w:val="left" w:pos="5509"/>
        </w:tabs>
        <w:spacing w:line="480" w:lineRule="auto"/>
        <w:jc w:val="center"/>
        <w:rPr>
          <w:i/>
          <w:sz w:val="28"/>
          <w:szCs w:val="28"/>
          <w:u w:val="single"/>
        </w:rPr>
      </w:pPr>
      <w:r w:rsidRPr="003D30A9">
        <w:rPr>
          <w:sz w:val="28"/>
          <w:szCs w:val="28"/>
          <w:u w:val="single"/>
        </w:rPr>
        <w:t>IV. Domestic Factors and the Second Navy Law</w:t>
      </w:r>
    </w:p>
    <w:p w:rsidR="00690E63" w:rsidRPr="003D30A9" w:rsidRDefault="00690E63" w:rsidP="00690E63">
      <w:pPr>
        <w:tabs>
          <w:tab w:val="left" w:pos="630"/>
        </w:tabs>
        <w:spacing w:line="480" w:lineRule="auto"/>
        <w:jc w:val="center"/>
        <w:rPr>
          <w:u w:val="single"/>
        </w:rPr>
      </w:pPr>
      <w:r>
        <w:rPr>
          <w:u w:val="single"/>
        </w:rPr>
        <w:t>The Place of Social Democracy</w:t>
      </w:r>
    </w:p>
    <w:p w:rsidR="00690E63" w:rsidRDefault="00690E63" w:rsidP="00690E63">
      <w:pPr>
        <w:tabs>
          <w:tab w:val="left" w:pos="630"/>
        </w:tabs>
        <w:spacing w:line="480" w:lineRule="auto"/>
        <w:jc w:val="both"/>
      </w:pPr>
      <w:r>
        <w:tab/>
        <w:t xml:space="preserve">The role of social democracy in the passage of </w:t>
      </w:r>
      <w:r w:rsidR="00FD42EE">
        <w:t>the Second, and First, Navy Law</w:t>
      </w:r>
      <w:r>
        <w:t xml:space="preserve"> is subject for debate and </w:t>
      </w:r>
      <w:r w:rsidR="00FD42EE">
        <w:t>must</w:t>
      </w:r>
      <w:r>
        <w:t xml:space="preserve"> be mentioned in any analysis of domestic influences on naval expansion. It </w:t>
      </w:r>
      <w:r>
        <w:lastRenderedPageBreak/>
        <w:t xml:space="preserve">has received much attention from scholars </w:t>
      </w:r>
      <w:r w:rsidR="00FD42EE">
        <w:t>throughout</w:t>
      </w:r>
      <w:r>
        <w:t xml:space="preserve"> the past century. Eckart Kehr stands in the van of one school of thought beginning in the 1930s that credits the rise of social democracy as a key factor in generating support for the navy. In his work </w:t>
      </w:r>
      <w:r>
        <w:rPr>
          <w:i/>
        </w:rPr>
        <w:t>Schlachtflottenbau und Partei-Politik</w:t>
      </w:r>
      <w:r w:rsidR="00191A19">
        <w:t xml:space="preserve">, he </w:t>
      </w:r>
      <w:r w:rsidR="00FD42EE">
        <w:t>argues that it significantly contributed to cooperation among</w:t>
      </w:r>
      <w:r w:rsidR="00191A19">
        <w:t xml:space="preserve"> </w:t>
      </w:r>
      <w:r>
        <w:t>the government, capitalist-industrialists, agrarian aristocrats, and Catholics</w:t>
      </w:r>
      <w:r w:rsidR="00191A19">
        <w:t xml:space="preserve"> in favor of fleet expansion</w:t>
      </w:r>
      <w:r>
        <w:t xml:space="preserve">. Indeed, where social democracy undoubtedly played its largest role was in directing the government towards a policy of </w:t>
      </w:r>
      <w:r>
        <w:rPr>
          <w:i/>
        </w:rPr>
        <w:t>Sammlungspolitik</w:t>
      </w:r>
      <w:r>
        <w:t xml:space="preserve">. Its reemergence in the 1890s compelled the government to pursue measures “national” in nature that could unify political parties and segments of the population who favored the status quo over socialist revolution and chaos. </w:t>
      </w:r>
      <w:r w:rsidR="000A2BBC">
        <w:t>Its</w:t>
      </w:r>
      <w:r>
        <w:t xml:space="preserve"> </w:t>
      </w:r>
      <w:r w:rsidR="00FD42EE">
        <w:t>presence</w:t>
      </w:r>
      <w:r>
        <w:t xml:space="preserve"> in the Reichstag </w:t>
      </w:r>
      <w:r w:rsidR="00FD42EE">
        <w:t>was</w:t>
      </w:r>
      <w:r>
        <w:t xml:space="preserve"> on an upward trajectory, climbing from 35 to 44 to 56 in the elections of 1890, 1893, and 1898; they came to match the </w:t>
      </w:r>
      <w:r w:rsidR="000A2BBC">
        <w:t>number</w:t>
      </w:r>
      <w:r>
        <w:t xml:space="preserve"> of Conservatives and possessed more seats than the National Liberals, two parties that the government regularly worked with.</w:t>
      </w:r>
      <w:r w:rsidRPr="00EC184A">
        <w:rPr>
          <w:rStyle w:val="FootnoteReference"/>
        </w:rPr>
        <w:footnoteReference w:id="95"/>
      </w:r>
      <w:r w:rsidRPr="00745A74">
        <w:t xml:space="preserve"> </w:t>
      </w:r>
      <w:r>
        <w:t xml:space="preserve">Their expansion could well have continued (as it actually did) to increase to the point where they posed a serious obstacle to major government </w:t>
      </w:r>
      <w:r w:rsidR="00FD42EE">
        <w:t>endeavors, particularly those militaristic or imperialistic in nature</w:t>
      </w:r>
      <w:r>
        <w:t>.</w:t>
      </w:r>
    </w:p>
    <w:p w:rsidR="00690E63" w:rsidRDefault="00690E63" w:rsidP="00690E63">
      <w:pPr>
        <w:tabs>
          <w:tab w:val="left" w:pos="630"/>
        </w:tabs>
        <w:spacing w:line="480" w:lineRule="auto"/>
        <w:jc w:val="both"/>
      </w:pPr>
      <w:r>
        <w:tab/>
        <w:t xml:space="preserve">The Kaiser and government viewed social democracy as a threat to the monarchy </w:t>
      </w:r>
      <w:r w:rsidR="000A2BBC">
        <w:t xml:space="preserve">and </w:t>
      </w:r>
      <w:r>
        <w:t>the stability of the empire. They feared that German workers would succumb to the romanticized notions of a classless “State” propagated by Social Democrats, turn against the “propertied and educated classes,” and move to open revolution against the government.</w:t>
      </w:r>
      <w:r w:rsidRPr="00EC184A">
        <w:rPr>
          <w:rStyle w:val="FootnoteReference"/>
        </w:rPr>
        <w:footnoteReference w:id="96"/>
      </w:r>
      <w:r>
        <w:t xml:space="preserve"> Bülow, writing on the eve of the First World War though still facing the same socialist “threat” as at the turn of the century, argues that only “a vigorous national policy [is] the true remedy against the Social Democratic movement.” The government and all political parties must pursue:</w:t>
      </w:r>
    </w:p>
    <w:p w:rsidR="00690E63" w:rsidRDefault="00690E63" w:rsidP="00690E63">
      <w:pPr>
        <w:tabs>
          <w:tab w:val="left" w:pos="630"/>
        </w:tabs>
        <w:ind w:left="720" w:right="720"/>
        <w:jc w:val="both"/>
        <w:rPr>
          <w:sz w:val="20"/>
          <w:szCs w:val="20"/>
        </w:rPr>
      </w:pPr>
      <w:r>
        <w:rPr>
          <w:sz w:val="20"/>
          <w:szCs w:val="20"/>
        </w:rPr>
        <w:t>a</w:t>
      </w:r>
      <w:r w:rsidRPr="00D54E00">
        <w:rPr>
          <w:sz w:val="20"/>
          <w:szCs w:val="20"/>
        </w:rPr>
        <w:t xml:space="preserve"> policy which brings the best powers of the nation into play; which supports and stre</w:t>
      </w:r>
      <w:r>
        <w:rPr>
          <w:sz w:val="20"/>
          <w:szCs w:val="20"/>
        </w:rPr>
        <w:t>ngthens the middle classes</w:t>
      </w:r>
      <w:r w:rsidRPr="00D54E00">
        <w:rPr>
          <w:sz w:val="20"/>
          <w:szCs w:val="20"/>
        </w:rPr>
        <w:t>; which…opens a State career to men</w:t>
      </w:r>
      <w:r>
        <w:rPr>
          <w:sz w:val="20"/>
          <w:szCs w:val="20"/>
        </w:rPr>
        <w:t xml:space="preserve"> of talent; and which appeals to</w:t>
      </w:r>
      <w:r w:rsidRPr="00D54E00">
        <w:rPr>
          <w:sz w:val="20"/>
          <w:szCs w:val="20"/>
        </w:rPr>
        <w:t xml:space="preserve"> the better </w:t>
      </w:r>
      <w:r w:rsidRPr="00D54E00">
        <w:rPr>
          <w:sz w:val="20"/>
          <w:szCs w:val="20"/>
        </w:rPr>
        <w:lastRenderedPageBreak/>
        <w:t>feelings of the nation.</w:t>
      </w:r>
      <w:r>
        <w:rPr>
          <w:sz w:val="20"/>
          <w:szCs w:val="20"/>
        </w:rPr>
        <w:t xml:space="preserve"> The idea of the nation as such must again and again be emphasized by dealing with national problems.</w:t>
      </w:r>
      <w:r w:rsidRPr="00EC184A">
        <w:rPr>
          <w:rStyle w:val="FootnoteReference"/>
        </w:rPr>
        <w:footnoteReference w:id="97"/>
      </w:r>
    </w:p>
    <w:p w:rsidR="00690E63" w:rsidRPr="00D54E00" w:rsidRDefault="00690E63" w:rsidP="00690E63">
      <w:pPr>
        <w:tabs>
          <w:tab w:val="left" w:pos="630"/>
        </w:tabs>
        <w:ind w:left="720" w:right="720"/>
        <w:jc w:val="both"/>
        <w:rPr>
          <w:sz w:val="20"/>
          <w:szCs w:val="20"/>
        </w:rPr>
      </w:pPr>
    </w:p>
    <w:p w:rsidR="00690E63" w:rsidRDefault="00690E63" w:rsidP="00690E63">
      <w:pPr>
        <w:tabs>
          <w:tab w:val="left" w:pos="630"/>
        </w:tabs>
        <w:spacing w:line="480" w:lineRule="auto"/>
        <w:jc w:val="both"/>
      </w:pPr>
      <w:r>
        <w:t xml:space="preserve">At the core of this declaration is a reiteration of the </w:t>
      </w:r>
      <w:r>
        <w:rPr>
          <w:i/>
        </w:rPr>
        <w:t>Sammlungspolitik</w:t>
      </w:r>
      <w:r>
        <w:t xml:space="preserve"> that Bülow and leading government ministers had pursued since 1897. To them, Tirpitz’s Navy Law of 1898 had been among the first major legislative efforts that focused on a significant national issue and created a politically diverse coalition capable of limiting the power of Social Democrats.</w:t>
      </w:r>
    </w:p>
    <w:p w:rsidR="00690E63" w:rsidRDefault="00690E63" w:rsidP="00690E63">
      <w:pPr>
        <w:tabs>
          <w:tab w:val="left" w:pos="630"/>
        </w:tabs>
        <w:spacing w:line="480" w:lineRule="auto"/>
        <w:jc w:val="both"/>
      </w:pPr>
      <w:r>
        <w:tab/>
        <w:t xml:space="preserve"> As briefly mentioned in Chapter Two, the leading parties—Conservatives and Catholics in particular—</w:t>
      </w:r>
      <w:r w:rsidR="00DC3CE8">
        <w:t>shared a dislike of</w:t>
      </w:r>
      <w:r>
        <w:t xml:space="preserve"> s</w:t>
      </w:r>
      <w:r w:rsidR="00615A6B">
        <w:t xml:space="preserve">ocial democracy, but it was not, as Kehr and other historians </w:t>
      </w:r>
      <w:r w:rsidR="00202C62">
        <w:t xml:space="preserve">easily assert, so strong a determinant in pushing them into cooperation with </w:t>
      </w:r>
      <w:r>
        <w:t xml:space="preserve">naval expansionists. Arguing against the long-standing arguments put forth by Kehr and </w:t>
      </w:r>
      <w:r w:rsidR="00957CCD">
        <w:t>his adherents</w:t>
      </w:r>
      <w:r>
        <w:t xml:space="preserve">, author Ian Forbes argues that the primary appeal of </w:t>
      </w:r>
      <w:r>
        <w:rPr>
          <w:i/>
        </w:rPr>
        <w:t>Sammlungspolitik</w:t>
      </w:r>
      <w:r>
        <w:t xml:space="preserve"> for Conservatives (and, quite likely, agrarian-minded Catholics as well) lay in the prospect of rectifying the damage wrought by Chancellor Caprivi’s free t</w:t>
      </w:r>
      <w:r w:rsidR="00C65286">
        <w:t>rade agreements of 1892-9</w:t>
      </w:r>
      <w:r>
        <w:t>3, not as a crusade against socialism.</w:t>
      </w:r>
      <w:r w:rsidRPr="00EC184A">
        <w:rPr>
          <w:rStyle w:val="FootnoteReference"/>
        </w:rPr>
        <w:footnoteReference w:id="98"/>
      </w:r>
      <w:r>
        <w:t xml:space="preserve"> Until the Reichstag elections of 1912, Conservatives in the Agrarian League—a political interest group that fought for protectionist agricultural policies—had largely regarded “Jewish liberalism” as the pr</w:t>
      </w:r>
      <w:r w:rsidR="00C65286">
        <w:t xml:space="preserve">imary threat to German society, while </w:t>
      </w:r>
      <w:r>
        <w:t>Social Democrats were largely overlooked and deemed “politically insignificant.” Until 1910, the organization’s anti-liberal and anti-Semitic propaganda had also been far more vociferous than in its denunciations of socialists.</w:t>
      </w:r>
      <w:r w:rsidRPr="00EC184A">
        <w:rPr>
          <w:rStyle w:val="FootnoteReference"/>
        </w:rPr>
        <w:footnoteReference w:id="99"/>
      </w:r>
      <w:r>
        <w:t xml:space="preserve"> For the Catholic Centre as well, </w:t>
      </w:r>
      <w:r>
        <w:rPr>
          <w:i/>
        </w:rPr>
        <w:t>Sammlungspolitik</w:t>
      </w:r>
      <w:r>
        <w:t xml:space="preserve"> was not so much a way for directly thwarting social democracy, but rather served as a means to advance the party’s own agenda of solidifying power, protecting its peasant base, and adhering to the desires of the Catholic middle class. Support for the First and Second Navy Laws simply provided the added </w:t>
      </w:r>
      <w:r>
        <w:lastRenderedPageBreak/>
        <w:t>benefit of suppressing that proletarian agitation which threatened to upset German society as envisioned by the Centre.</w:t>
      </w:r>
    </w:p>
    <w:p w:rsidR="00690E63" w:rsidRPr="008D505F" w:rsidRDefault="00690E63" w:rsidP="00690E63">
      <w:pPr>
        <w:tabs>
          <w:tab w:val="left" w:pos="630"/>
        </w:tabs>
        <w:spacing w:line="480" w:lineRule="auto"/>
        <w:jc w:val="both"/>
      </w:pPr>
      <w:r>
        <w:tab/>
        <w:t xml:space="preserve">What social democracy did, above all else, was push the government towards a policy of </w:t>
      </w:r>
      <w:r>
        <w:rPr>
          <w:i/>
        </w:rPr>
        <w:t>Sammlungspolitik</w:t>
      </w:r>
      <w:r>
        <w:t xml:space="preserve">, without drastically altering the positions of either the Centre or Conservative parties. As mentioned, the latter two parties were hardly compatible with social democracy and, to a degree, saw it as a menace to society; but </w:t>
      </w:r>
      <w:r w:rsidR="009010F9">
        <w:t>such</w:t>
      </w:r>
      <w:r>
        <w:t xml:space="preserve"> sentiments did not dominate those deputies’ minds when assessing the merits of Tirpitz’s Second Navy Law. Instead, the push for naval expansion through </w:t>
      </w:r>
      <w:r>
        <w:rPr>
          <w:i/>
        </w:rPr>
        <w:t>Sammlungspolitik</w:t>
      </w:r>
      <w:r>
        <w:t xml:space="preserve"> from the Kaiser, Bülow, Tirpitz, and other imperial ministers provided a medium for Conservatives and Catholics to pursue their own specific economic, political, and social agendas. </w:t>
      </w:r>
    </w:p>
    <w:p w:rsidR="001541AE" w:rsidRDefault="00690E63" w:rsidP="00E33124">
      <w:pPr>
        <w:tabs>
          <w:tab w:val="left" w:pos="630"/>
        </w:tabs>
        <w:spacing w:line="480" w:lineRule="auto"/>
        <w:jc w:val="both"/>
      </w:pPr>
      <w:r>
        <w:tab/>
        <w:t xml:space="preserve"> </w:t>
      </w:r>
    </w:p>
    <w:p w:rsidR="00771EE1" w:rsidRPr="008A36D8" w:rsidRDefault="00771EE1" w:rsidP="00771EE1">
      <w:pPr>
        <w:tabs>
          <w:tab w:val="left" w:pos="630"/>
        </w:tabs>
        <w:spacing w:line="480" w:lineRule="auto"/>
        <w:jc w:val="center"/>
      </w:pPr>
      <w:r>
        <w:rPr>
          <w:u w:val="single"/>
        </w:rPr>
        <w:t xml:space="preserve">The Centre </w:t>
      </w:r>
      <w:r w:rsidR="003D30A9">
        <w:rPr>
          <w:u w:val="single"/>
        </w:rPr>
        <w:t xml:space="preserve">Party </w:t>
      </w:r>
      <w:r>
        <w:rPr>
          <w:u w:val="single"/>
        </w:rPr>
        <w:t>and its Domestic Concerns</w:t>
      </w:r>
    </w:p>
    <w:p w:rsidR="00771EE1" w:rsidRDefault="00771EE1" w:rsidP="00771EE1">
      <w:pPr>
        <w:tabs>
          <w:tab w:val="left" w:pos="630"/>
        </w:tabs>
        <w:spacing w:line="480" w:lineRule="auto"/>
        <w:jc w:val="both"/>
      </w:pPr>
      <w:r>
        <w:tab/>
        <w:t xml:space="preserve">The Centre party’s likely adherence to </w:t>
      </w:r>
      <w:r>
        <w:rPr>
          <w:i/>
        </w:rPr>
        <w:t>Sammlungspolitik</w:t>
      </w:r>
      <w:r>
        <w:t xml:space="preserve"> and support for the Second Navy Law are found in several domestic pol</w:t>
      </w:r>
      <w:r w:rsidR="00C65286">
        <w:t xml:space="preserve">itical and societal conditions that </w:t>
      </w:r>
      <w:r>
        <w:t>had also existed during the</w:t>
      </w:r>
      <w:r w:rsidR="00C65286">
        <w:t xml:space="preserve"> debate on the Navy Law of 1898</w:t>
      </w:r>
      <w:r>
        <w:t xml:space="preserve">. Indeed, the growth of social democracy had to a degree pushed the Centre towards cooperation with other political parties on measures like naval expansion, but so did developing pressure from the Catholic bourgeoisie. Since Bismarck’s </w:t>
      </w:r>
      <w:r>
        <w:rPr>
          <w:i/>
        </w:rPr>
        <w:t>Kulturkampf</w:t>
      </w:r>
      <w:r>
        <w:t xml:space="preserve">, the Catholic </w:t>
      </w:r>
      <w:r>
        <w:rPr>
          <w:i/>
        </w:rPr>
        <w:t xml:space="preserve">Mittelstand </w:t>
      </w:r>
      <w:r>
        <w:t xml:space="preserve">attempted to break the glass ceilings preventing them from enjoying equal </w:t>
      </w:r>
      <w:r w:rsidR="00C65286">
        <w:t xml:space="preserve">professional and social </w:t>
      </w:r>
      <w:r>
        <w:t xml:space="preserve">opportunities—such as positions in government or within the army officer corps—within the Protestant, Prussian-dominated society. Consequently, argues David Blackbourn, they began to see in outwardly nationalistic aims and endeavors—like </w:t>
      </w:r>
      <w:r>
        <w:lastRenderedPageBreak/>
        <w:t>Tirpitz’s Navy Laws—a means of liberation from “military and bureaucratic high-handedness” and “arbitrary abuse of law and the values of the Prussian officer.”</w:t>
      </w:r>
      <w:r w:rsidRPr="00EC184A">
        <w:rPr>
          <w:rStyle w:val="FootnoteReference"/>
        </w:rPr>
        <w:footnoteReference w:id="100"/>
      </w:r>
      <w:r>
        <w:t xml:space="preserve"> Blackbourn summarizes:</w:t>
      </w:r>
    </w:p>
    <w:p w:rsidR="00771EE1" w:rsidRDefault="00771EE1" w:rsidP="00771EE1">
      <w:pPr>
        <w:tabs>
          <w:tab w:val="left" w:pos="630"/>
        </w:tabs>
        <w:ind w:left="720" w:right="720"/>
        <w:jc w:val="both"/>
        <w:rPr>
          <w:sz w:val="20"/>
          <w:szCs w:val="20"/>
        </w:rPr>
      </w:pPr>
      <w:r w:rsidRPr="00783971">
        <w:rPr>
          <w:sz w:val="20"/>
          <w:szCs w:val="20"/>
        </w:rPr>
        <w:t>when bourgeois Catholics indicated their desire for a domestic place in the sun, they did so as part of an urge for emancipation whic</w:t>
      </w:r>
      <w:r>
        <w:rPr>
          <w:sz w:val="20"/>
          <w:szCs w:val="20"/>
        </w:rPr>
        <w:t>h made itself felt in spite of…</w:t>
      </w:r>
      <w:r w:rsidRPr="00783971">
        <w:rPr>
          <w:sz w:val="20"/>
          <w:szCs w:val="20"/>
        </w:rPr>
        <w:t>the values associated with the Junker aristocracy, bureaucracy, and officer corps. It is significant in this respect that Centre Party leaders, the embodiment of such aspirations, made their strongest legislative commitment not to the ‘Prussian’ and ‘feudal’ features of the status quo, but to the ‘national’ and ‘bourgeois’ ones.</w:t>
      </w:r>
      <w:r w:rsidRPr="00EC184A">
        <w:rPr>
          <w:rStyle w:val="FootnoteReference"/>
        </w:rPr>
        <w:footnoteReference w:id="101"/>
      </w:r>
    </w:p>
    <w:p w:rsidR="00771EE1" w:rsidRPr="00783971" w:rsidRDefault="00771EE1" w:rsidP="00771EE1">
      <w:pPr>
        <w:tabs>
          <w:tab w:val="left" w:pos="630"/>
        </w:tabs>
        <w:ind w:left="720" w:right="720"/>
        <w:jc w:val="both"/>
        <w:rPr>
          <w:sz w:val="20"/>
          <w:szCs w:val="20"/>
        </w:rPr>
      </w:pPr>
    </w:p>
    <w:p w:rsidR="00067531" w:rsidRDefault="00771EE1" w:rsidP="00067531">
      <w:pPr>
        <w:tabs>
          <w:tab w:val="left" w:pos="630"/>
        </w:tabs>
        <w:spacing w:line="480" w:lineRule="auto"/>
        <w:jc w:val="both"/>
      </w:pPr>
      <w:r>
        <w:t>Thus from one end of the Centre’s base, support for naval expansion stemmed from the drive to alter the existing way of life within Imperial Germany, particularly as regards the dominance of Protestant Prussian values, traditions, and institutionalized checks o</w:t>
      </w:r>
      <w:r w:rsidR="00067531">
        <w:t>n Catholic segments of society.</w:t>
      </w:r>
    </w:p>
    <w:p w:rsidR="00067531" w:rsidRDefault="00067531" w:rsidP="00067531">
      <w:pPr>
        <w:tabs>
          <w:tab w:val="left" w:pos="630"/>
        </w:tabs>
        <w:spacing w:line="480" w:lineRule="auto"/>
        <w:jc w:val="both"/>
      </w:pPr>
      <w:r>
        <w:tab/>
      </w:r>
      <w:r w:rsidR="00C65286">
        <w:t xml:space="preserve">The navy had served as the beacon of Germany’s middle class and </w:t>
      </w:r>
      <w:r>
        <w:t>national</w:t>
      </w:r>
      <w:r w:rsidR="00C65286">
        <w:t xml:space="preserve"> unity for centuries. The </w:t>
      </w:r>
      <w:r>
        <w:t xml:space="preserve">German merchant marine of the </w:t>
      </w:r>
      <w:r w:rsidR="00C65286">
        <w:t xml:space="preserve">Hanseatic League </w:t>
      </w:r>
      <w:r>
        <w:t xml:space="preserve">created a prosperous merchant class beginning in the Late Middle Ages, and liberal and democratic intellectuals saw the navy as a sign of Germany unity (compared to the army, which was tied to each individual German kingdom) during the Revolutions of 1848-9. To </w:t>
      </w:r>
      <w:r w:rsidR="00A7526C">
        <w:t xml:space="preserve">the Catholic </w:t>
      </w:r>
      <w:r w:rsidR="00A7526C">
        <w:rPr>
          <w:i/>
        </w:rPr>
        <w:t>Mittelstand</w:t>
      </w:r>
      <w:r>
        <w:t xml:space="preserve"> at the turn of the 20</w:t>
      </w:r>
      <w:r w:rsidRPr="00067531">
        <w:rPr>
          <w:vertAlign w:val="superscript"/>
        </w:rPr>
        <w:t>th</w:t>
      </w:r>
      <w:r>
        <w:t xml:space="preserve"> century, the navy was an entity long present in their class’s perception of German identity. By supporting this navy law, party leaders would please those Catholics who, because of traditional Prussian values and so</w:t>
      </w:r>
      <w:r w:rsidR="00A7526C">
        <w:t xml:space="preserve">cial stratification, would continue to feel like second-class citizens. </w:t>
      </w:r>
    </w:p>
    <w:p w:rsidR="00771EE1" w:rsidRDefault="00A7526C" w:rsidP="00A7526C">
      <w:pPr>
        <w:tabs>
          <w:tab w:val="left" w:pos="630"/>
        </w:tabs>
        <w:spacing w:line="480" w:lineRule="auto"/>
        <w:jc w:val="both"/>
      </w:pPr>
      <w:r>
        <w:tab/>
        <w:t xml:space="preserve">Party leaders also approached this “national” measure for much more practical reasons: to preserve and protect the agrarian and </w:t>
      </w:r>
      <w:r>
        <w:rPr>
          <w:i/>
        </w:rPr>
        <w:t>Mittelstand</w:t>
      </w:r>
      <w:r>
        <w:t xml:space="preserve"> constituency through securing economic concessions. </w:t>
      </w:r>
      <w:r w:rsidR="00771EE1">
        <w:t xml:space="preserve">The Centre’s support for the Caprivi trade agreements had angered much of the party’s agrarian base by increasing foreign competition in domestic markets, and party leaders sought to remedy that situation. By cooperating with agrarian Conservatives and being open to </w:t>
      </w:r>
      <w:r>
        <w:t>further</w:t>
      </w:r>
      <w:r w:rsidR="00771EE1">
        <w:t xml:space="preserve"> naval expansion, the two parties could hope to win economic and labor concessions from </w:t>
      </w:r>
      <w:r w:rsidR="00771EE1">
        <w:lastRenderedPageBreak/>
        <w:t>the government. On numerous</w:t>
      </w:r>
      <w:r>
        <w:t xml:space="preserve"> occasions while the Reichstag</w:t>
      </w:r>
      <w:r w:rsidR="00771EE1">
        <w:t xml:space="preserve"> Budget Commission discussed Admiral Tirpitz’s Second </w:t>
      </w:r>
      <w:r>
        <w:t xml:space="preserve">Navy Law, they argued for the </w:t>
      </w:r>
      <w:r w:rsidR="00771EE1">
        <w:t xml:space="preserve">introduction of grain tariffs and a measure of protection </w:t>
      </w:r>
      <w:r>
        <w:t xml:space="preserve">to stem the outward migration of laborers from </w:t>
      </w:r>
      <w:r w:rsidR="00771EE1">
        <w:t xml:space="preserve">eastern agricultural strongholds. As it stood, “agricultural classes…were [already] unable to sell their corn at a fair price” and the proposed legislation would further aggravate an already acute agricultural labor shortage by drawing men to both build and </w:t>
      </w:r>
      <w:r>
        <w:t>operate</w:t>
      </w:r>
      <w:r w:rsidR="00771EE1">
        <w:t xml:space="preserve"> the expanded German fleet.</w:t>
      </w:r>
      <w:r w:rsidR="00771EE1" w:rsidRPr="00EC184A">
        <w:rPr>
          <w:rStyle w:val="FootnoteReference"/>
        </w:rPr>
        <w:footnoteReference w:id="102"/>
      </w:r>
      <w:r w:rsidR="00771EE1">
        <w:t xml:space="preserve"> To be sure, these sentiments may not have bode</w:t>
      </w:r>
      <w:r w:rsidR="00DC3CE8">
        <w:t>d</w:t>
      </w:r>
      <w:r w:rsidR="00771EE1">
        <w:t xml:space="preserve"> well for the Second Navy Law, but the government had </w:t>
      </w:r>
      <w:r>
        <w:t>a clear mean</w:t>
      </w:r>
      <w:r w:rsidR="00DC3CE8">
        <w:t>s</w:t>
      </w:r>
      <w:r>
        <w:t xml:space="preserve"> of appeasing these parties by revising trade policies to favor agricultural interests and keep workers on eastern farms. To the latter point, Centre</w:t>
      </w:r>
      <w:r w:rsidR="00771EE1">
        <w:t xml:space="preserve"> figures like Prince Arenberg called for an end to the Prussian Government’s exclusion and deportation of foreign workers, while</w:t>
      </w:r>
      <w:r w:rsidR="00DC3CE8">
        <w:t xml:space="preserve"> the Socialist leader Herr Bebel</w:t>
      </w:r>
      <w:r w:rsidR="00771EE1">
        <w:t xml:space="preserve"> proposed reducing the duration of mandatory service in the army that had pulled so many young Germans away from the fields.</w:t>
      </w:r>
      <w:r w:rsidR="00771EE1" w:rsidRPr="00EC184A">
        <w:rPr>
          <w:rStyle w:val="FootnoteReference"/>
        </w:rPr>
        <w:footnoteReference w:id="103"/>
      </w:r>
      <w:r w:rsidR="00771EE1">
        <w:t xml:space="preserve"> These statements </w:t>
      </w:r>
      <w:r w:rsidR="00DC3CE8">
        <w:t>from</w:t>
      </w:r>
      <w:r w:rsidR="00771EE1">
        <w:t xml:space="preserve"> the Budget Commission had made at least one thing clear: </w:t>
      </w:r>
      <w:r>
        <w:t>agrarians within the Centre and</w:t>
      </w:r>
      <w:r w:rsidR="00771EE1">
        <w:t xml:space="preserve"> Conservatives were again open to the idea of naval expansion, but that their interests must be taken into account.</w:t>
      </w:r>
    </w:p>
    <w:p w:rsidR="00771EE1" w:rsidRDefault="00771EE1" w:rsidP="00771EE1">
      <w:pPr>
        <w:tabs>
          <w:tab w:val="left" w:pos="630"/>
        </w:tabs>
        <w:spacing w:line="480" w:lineRule="auto"/>
        <w:jc w:val="both"/>
      </w:pPr>
      <w:r>
        <w:tab/>
        <w:t xml:space="preserve">The prospect of increasing the party’s political clout within the Reichstag and in directing national policy also continued to make Centre support for the Second Navy Law a </w:t>
      </w:r>
      <w:r w:rsidR="00113A93">
        <w:t>likelier</w:t>
      </w:r>
      <w:r>
        <w:t xml:space="preserve"> </w:t>
      </w:r>
      <w:r w:rsidR="00113A93">
        <w:t>probability</w:t>
      </w:r>
      <w:r>
        <w:t>. Through its sheer size and the proportion of seats it held within the German Parliament, the Centre could choose to support or amend legislation advocated by other parties before helping assure its passage. When Tirpitz’s Second Navy Law came before the B</w:t>
      </w:r>
      <w:r w:rsidR="00113A93">
        <w:t>udget Committee in April of 1900</w:t>
      </w:r>
      <w:r>
        <w:t>, the Centre utilized its parliamentary strength to propose an alternative naval expansion bill modified more to its suiting.</w:t>
      </w:r>
    </w:p>
    <w:p w:rsidR="00771EE1" w:rsidRDefault="00771EE1" w:rsidP="00771EE1">
      <w:pPr>
        <w:tabs>
          <w:tab w:val="left" w:pos="630"/>
        </w:tabs>
        <w:spacing w:line="480" w:lineRule="auto"/>
        <w:jc w:val="both"/>
      </w:pPr>
      <w:r>
        <w:lastRenderedPageBreak/>
        <w:tab/>
        <w:t>The new proposal matched the basic expansion of the home fleet put forth by Tirpitz’s plan: two new battleship squadrons of eight vessels each, an accompanying flagship, and eight large and twenty-four small cruisers for support. A respective force of four, three, and ten additional vessels would be held in reserve. Tirpitz’s plan also called for the expansion of Germany’s overseas force to eight large and fifteen small cruisers. Here the Centre’s proposition differed, and instead allowed for only three large and ten small cruisers to serve at foreign stations. “The Government,” declared Centre deputy Herr Müller, “had not succeeded in proving the necessity for the large number of cruisers provided for in the original Bill” and that, if necessary, cruisers from home waters could be sent abroad. Conservative and National Liberal members of the Commission expressed their disappointment at the new proposal’s cruiser reduction, and when Tirpitz’s original fleet outline came to a vote, the Centre voted it down over their objections. The eight Conservative</w:t>
      </w:r>
      <w:r w:rsidR="00DC3CE8">
        <w:t>s</w:t>
      </w:r>
      <w:r>
        <w:t xml:space="preserve"> and National Liberals subsequently added their vote to the Centre proposal, which succeeded over the nays of the Commission’s </w:t>
      </w:r>
      <w:r w:rsidR="00113A93">
        <w:t>Left Liberals, Social Democrats, and Polish deputies.</w:t>
      </w:r>
      <w:r w:rsidRPr="00EC184A">
        <w:rPr>
          <w:rStyle w:val="FootnoteReference"/>
        </w:rPr>
        <w:footnoteReference w:id="104"/>
      </w:r>
      <w:r>
        <w:t xml:space="preserve"> </w:t>
      </w:r>
    </w:p>
    <w:p w:rsidR="00771EE1" w:rsidRDefault="00771EE1" w:rsidP="00771EE1">
      <w:pPr>
        <w:tabs>
          <w:tab w:val="left" w:pos="630"/>
        </w:tabs>
        <w:spacing w:line="480" w:lineRule="auto"/>
        <w:jc w:val="both"/>
      </w:pPr>
      <w:r>
        <w:tab/>
        <w:t xml:space="preserve">The Centre’s new proposal also addressed one of the party’s </w:t>
      </w:r>
      <w:r w:rsidR="00113A93">
        <w:t xml:space="preserve">other </w:t>
      </w:r>
      <w:r>
        <w:t>key concerns—the issue of imperial finances—that had existed since the Reichstag first began debate on the Tirpitz’s second proposal. “We are not enemies of a fleet, we are not enemies of a strong fleet,” Herr Schaedler had declared in February on behalf of the Clerical deputies, but “are we in a position to afford it?”</w:t>
      </w:r>
      <w:r w:rsidRPr="00697852">
        <w:rPr>
          <w:rStyle w:val="FootnoteReference"/>
        </w:rPr>
        <w:t xml:space="preserve"> </w:t>
      </w:r>
      <w:r w:rsidRPr="00EC184A">
        <w:rPr>
          <w:rStyle w:val="FootnoteReference"/>
        </w:rPr>
        <w:footnoteReference w:id="105"/>
      </w:r>
      <w:r>
        <w:t xml:space="preserve"> During the Budget Commission’s deliberations in April, the Centre </w:t>
      </w:r>
      <w:r w:rsidR="00113A93">
        <w:t>put forth</w:t>
      </w:r>
      <w:r>
        <w:t xml:space="preserve"> </w:t>
      </w:r>
      <w:r w:rsidR="00113A93">
        <w:t xml:space="preserve">a </w:t>
      </w:r>
      <w:r>
        <w:t xml:space="preserve">solution to the financial conundrum in addition to their </w:t>
      </w:r>
      <w:r w:rsidR="00113A93">
        <w:t xml:space="preserve">proposed </w:t>
      </w:r>
      <w:r>
        <w:t xml:space="preserve">modifications </w:t>
      </w:r>
      <w:r w:rsidR="00113A93">
        <w:t>to the foreign service fleet</w:t>
      </w:r>
      <w:r>
        <w:t xml:space="preserve">. If the annual naval estimates for any year were to exceed the sum </w:t>
      </w:r>
      <w:r>
        <w:lastRenderedPageBreak/>
        <w:t>118,000,000 marks and the excesses were not covered in imperial revenues, then the government must levy a series taxes to accommodate. The government would collect these revenues through t</w:t>
      </w:r>
      <w:r w:rsidR="00113A93">
        <w:t>he introduction of stamp duties</w:t>
      </w:r>
      <w:r>
        <w:t xml:space="preserve"> on items such as paper securities, lottery tickets, and mining shares, as well as through “the introduction of an Excise duty upon sparkling wines and an increase of the Customs duties on foreign sparkling wines, liqueurs, cigars, and cigarettes.” </w:t>
      </w:r>
      <w:r w:rsidR="00113A93">
        <w:t>I</w:t>
      </w:r>
      <w:r>
        <w:t>f naval expenditures still exceeded the available funding, the government should then levy a “complementary” tax upon the whole empire for each financial period until the necessary remaining revenue is collected.</w:t>
      </w:r>
      <w:r w:rsidRPr="00EC184A">
        <w:rPr>
          <w:rStyle w:val="FootnoteReference"/>
        </w:rPr>
        <w:footnoteReference w:id="106"/>
      </w:r>
      <w:r>
        <w:t xml:space="preserve"> As the Centre revealed its solution to the budgetary issues, the State Secretary for the Imperial Treasury, Baron von Thielmann, revealed that the government had already </w:t>
      </w:r>
      <w:r w:rsidR="00113A93">
        <w:t>begun</w:t>
      </w:r>
      <w:r>
        <w:t xml:space="preserve"> developing a new taxation scheme </w:t>
      </w:r>
      <w:r w:rsidR="00113A93">
        <w:t>almost identical</w:t>
      </w:r>
      <w:r>
        <w:t xml:space="preserve"> in nature to that proposed by the Centre, with the exception of the “complementary” tax. Conservative and National Liberal members of the Committee indicated their support for such measures, and the Centre </w:t>
      </w:r>
      <w:r w:rsidR="00D601A4">
        <w:t>indicated no outright objection to</w:t>
      </w:r>
      <w:r>
        <w:t xml:space="preserve"> the </w:t>
      </w:r>
      <w:r w:rsidR="00D601A4">
        <w:t xml:space="preserve">government’s </w:t>
      </w:r>
      <w:r>
        <w:t>financial solution.</w:t>
      </w:r>
      <w:r w:rsidRPr="00EC184A">
        <w:rPr>
          <w:rStyle w:val="FootnoteReference"/>
        </w:rPr>
        <w:footnoteReference w:id="107"/>
      </w:r>
    </w:p>
    <w:p w:rsidR="002E41C2" w:rsidRDefault="00771EE1" w:rsidP="00771EE1">
      <w:pPr>
        <w:tabs>
          <w:tab w:val="left" w:pos="630"/>
        </w:tabs>
        <w:spacing w:line="480" w:lineRule="auto"/>
        <w:jc w:val="both"/>
      </w:pPr>
      <w:r>
        <w:tab/>
        <w:t xml:space="preserve">By introducing </w:t>
      </w:r>
      <w:r w:rsidR="00DC3CE8">
        <w:t>its</w:t>
      </w:r>
      <w:r>
        <w:t xml:space="preserve"> own modifications to Tirpitz’s </w:t>
      </w:r>
      <w:r w:rsidR="00113A93">
        <w:t xml:space="preserve">proposed </w:t>
      </w:r>
      <w:r>
        <w:t xml:space="preserve">Navy Law and withholding support for the original clauses on fleet composition, the Centre had flexed its political muscle to change the narrative of the debate. Naval expansion in its original form would not be </w:t>
      </w:r>
      <w:r w:rsidR="00DC3CE8">
        <w:t>beyond</w:t>
      </w:r>
      <w:r>
        <w:t xml:space="preserve"> the reach of the Clericals, and the government would have to forge ahead with whatever political support it could ultimately secure. And that it did. To Tirpitz, their successful modification of the fleet’s foreign-service composition over his own original outline </w:t>
      </w:r>
      <w:r w:rsidR="00212293">
        <w:t>brought irritation, and although he primarily pressed for t</w:t>
      </w:r>
      <w:r w:rsidR="002E41C2">
        <w:t>he expansion of the German home-</w:t>
      </w:r>
      <w:r w:rsidR="00212293">
        <w:t xml:space="preserve">waters fleet, he still held foreign service cruisers as a necessity for protecting the empire’s far-flung economic and geopolitical interests. During the second reading of the amended Navy Law, he insisted that  “an increase in </w:t>
      </w:r>
      <w:r w:rsidR="00212293">
        <w:lastRenderedPageBreak/>
        <w:t>the number of ships on foreign sta</w:t>
      </w:r>
      <w:r w:rsidR="002E41C2">
        <w:t>tions was required immediately</w:t>
      </w:r>
      <w:r w:rsidR="00212293">
        <w:t>”</w:t>
      </w:r>
      <w:r w:rsidR="002E41C2">
        <w:t xml:space="preserve"> and did not want to wait until 1906 when the government had otherwise intended to expand the foreign service fleet; the government had deemed, perhaps a testament to Tirpitz’s convincing argument for the “political power factor” in the North Sea, expansion of the home fleet of greater importance.</w:t>
      </w:r>
      <w:r w:rsidR="002E41C2" w:rsidRPr="00EC184A">
        <w:rPr>
          <w:rStyle w:val="FootnoteReference"/>
        </w:rPr>
        <w:footnoteReference w:id="108"/>
      </w:r>
      <w:r w:rsidR="002E41C2">
        <w:t xml:space="preserve"> Although the Admiral failed to win support for his proposal exactly as it was, he could not have bee</w:t>
      </w:r>
      <w:r w:rsidR="009E309E">
        <w:t>n entirely disappointed. His ultimate goal—stated in his Memorandum of 1897 and again to the Kaiser in 1899—was to upset British naval hegemony, and by bringing forward their own proposal that maintained the creation of a second double squadron of battleships, an accompanying flagship, and additional auxiliary and reserve vessels, the Centre had given strong indication of their support for his overall naval expansion plans.</w:t>
      </w:r>
    </w:p>
    <w:p w:rsidR="001541AE" w:rsidRDefault="00771EE1" w:rsidP="00E33124">
      <w:pPr>
        <w:tabs>
          <w:tab w:val="left" w:pos="630"/>
        </w:tabs>
        <w:spacing w:line="480" w:lineRule="auto"/>
        <w:jc w:val="both"/>
      </w:pPr>
      <w:r>
        <w:tab/>
        <w:t>In what Social Democratic leader Herr Bebel lamented was a Clerical surrender to the government, “the navy question was now practically settled.”</w:t>
      </w:r>
      <w:r w:rsidRPr="00EC184A">
        <w:rPr>
          <w:rStyle w:val="FootnoteReference"/>
        </w:rPr>
        <w:footnoteReference w:id="109"/>
      </w:r>
      <w:r>
        <w:t xml:space="preserve"> They had ultimately accepted the premises put forth by Tirpitz, Bülow, and other government figures of the need for a larger fleet in the North Sea to better protect and promote Germany’s rapidly growing interests at home and abroad. Moreover, they accepted further naval expansion as a means to satisfy and protect their constituents, as well as to increase the party’s political power within the empire. Support would satisfy the Catholic bourgeoisie that sought liberation from the Protestant Prussian-dominated society through the pursuit of “national” and “bourgeois” issues, while also (ideally) increasing the likelihood of winning government concessions to protect the empire’s farmers and lower middle class, many of whom constituted the Centre party’s largest base. Of lesser importance, it could help isolate Social Democrats through cooperation with the National Liberals and Conservatives. Lastly, it revealed to the government and other political parties just </w:t>
      </w:r>
      <w:r>
        <w:lastRenderedPageBreak/>
        <w:t xml:space="preserve">how capable the party could be in shaping the empire’s political, economic, and military discussions. Together, these domestic factors had helped transform the Centre into a willing supporter of Tirpitz’s Second Navy Law. </w:t>
      </w:r>
    </w:p>
    <w:p w:rsidR="00EF0FB8" w:rsidRDefault="00EF0FB8" w:rsidP="00E33124">
      <w:pPr>
        <w:tabs>
          <w:tab w:val="left" w:pos="630"/>
        </w:tabs>
        <w:spacing w:line="480" w:lineRule="auto"/>
        <w:jc w:val="both"/>
      </w:pPr>
    </w:p>
    <w:p w:rsidR="00AD4CCE" w:rsidRDefault="00AD4CCE" w:rsidP="00AD4CCE">
      <w:pPr>
        <w:tabs>
          <w:tab w:val="left" w:pos="630"/>
        </w:tabs>
        <w:spacing w:line="480" w:lineRule="auto"/>
        <w:jc w:val="center"/>
        <w:rPr>
          <w:u w:val="single"/>
        </w:rPr>
      </w:pPr>
      <w:r>
        <w:rPr>
          <w:u w:val="single"/>
        </w:rPr>
        <w:t>Conservatives and the Second Navy Law</w:t>
      </w:r>
    </w:p>
    <w:p w:rsidR="0090701B" w:rsidRDefault="00C20BCE" w:rsidP="00C20BCE">
      <w:pPr>
        <w:tabs>
          <w:tab w:val="left" w:pos="630"/>
        </w:tabs>
        <w:spacing w:line="480" w:lineRule="auto"/>
        <w:jc w:val="both"/>
      </w:pPr>
      <w:r>
        <w:tab/>
      </w:r>
      <w:r w:rsidR="005804E2">
        <w:t>In the fal</w:t>
      </w:r>
      <w:r w:rsidR="00584664">
        <w:t xml:space="preserve">l of 1899 Conservatives were in a delicate position. They had vehemently opposed, and ultimately rejected, the Canal Bill put forth by the government and supported by German industrialists and trade enthusiasts, and consequently incurred the </w:t>
      </w:r>
      <w:r w:rsidR="00D85EAF">
        <w:t>Kaiser’s wrath</w:t>
      </w:r>
      <w:r w:rsidR="00584664">
        <w:t xml:space="preserve">. His dismissal of the “Canal mutineers” from the Prussian government and the voluntary resignation of </w:t>
      </w:r>
      <w:r w:rsidR="00020091">
        <w:t>other Prussian ministers</w:t>
      </w:r>
      <w:r w:rsidR="00584664">
        <w:t xml:space="preserve"> opposed to both the bill and the </w:t>
      </w:r>
      <w:r w:rsidR="001F1BBD">
        <w:t xml:space="preserve">Kaiser’s tantrum had revealed the possibility of </w:t>
      </w:r>
      <w:r w:rsidR="00584664">
        <w:t>fracture in the tradition</w:t>
      </w:r>
      <w:r w:rsidR="00C23113">
        <w:t>ally strong monarch-aristocrat</w:t>
      </w:r>
      <w:r w:rsidR="00584664">
        <w:t xml:space="preserve"> relationship.</w:t>
      </w:r>
      <w:r w:rsidR="00C23113">
        <w:t xml:space="preserve"> Thi</w:t>
      </w:r>
      <w:r w:rsidR="0090701B">
        <w:t>s certainly benefited neither.</w:t>
      </w:r>
    </w:p>
    <w:p w:rsidR="007A2DC1" w:rsidRDefault="0090701B" w:rsidP="001F1BBD">
      <w:pPr>
        <w:tabs>
          <w:tab w:val="left" w:pos="630"/>
        </w:tabs>
        <w:spacing w:line="480" w:lineRule="auto"/>
        <w:jc w:val="both"/>
      </w:pPr>
      <w:r>
        <w:tab/>
      </w:r>
      <w:r w:rsidR="001F1BBD">
        <w:t xml:space="preserve">Conservatives needed strong ties with the government. </w:t>
      </w:r>
      <w:r w:rsidR="00C23113">
        <w:t>Industrialization, urb</w:t>
      </w:r>
      <w:r w:rsidR="005A5854">
        <w:t xml:space="preserve">anization, and global trade </w:t>
      </w:r>
      <w:r w:rsidR="008932AA">
        <w:t>were rapi</w:t>
      </w:r>
      <w:r w:rsidR="00913669">
        <w:t xml:space="preserve">dly altering the face of German </w:t>
      </w:r>
      <w:r w:rsidR="001F1BBD">
        <w:t>society</w:t>
      </w:r>
      <w:r w:rsidR="008932AA">
        <w:t xml:space="preserve"> and </w:t>
      </w:r>
      <w:r w:rsidR="001F1BBD">
        <w:t>diminishing their political power and influence in the empire.</w:t>
      </w:r>
      <w:r w:rsidR="008932AA">
        <w:t xml:space="preserve"> Cities </w:t>
      </w:r>
      <w:r w:rsidR="005E4133">
        <w:t>expanded</w:t>
      </w:r>
      <w:r w:rsidR="008932AA">
        <w:t xml:space="preserve"> and </w:t>
      </w:r>
      <w:r w:rsidR="005E4133">
        <w:t>drew</w:t>
      </w:r>
      <w:r w:rsidR="008932AA">
        <w:t xml:space="preserve"> migrants from the empire’s ea</w:t>
      </w:r>
      <w:r w:rsidR="00913669">
        <w:t xml:space="preserve">stern agricultural strongholds, which </w:t>
      </w:r>
      <w:r w:rsidR="000705BA">
        <w:t>depleted</w:t>
      </w:r>
      <w:r w:rsidR="00913669">
        <w:t xml:space="preserve"> the labor supply and eroded the Conservatives’ electoral base. By </w:t>
      </w:r>
      <w:r>
        <w:t xml:space="preserve">1898, their </w:t>
      </w:r>
      <w:r w:rsidR="005E4133">
        <w:t xml:space="preserve">traditionally strong </w:t>
      </w:r>
      <w:r>
        <w:t xml:space="preserve">presence in the Reichstag had </w:t>
      </w:r>
      <w:r w:rsidR="00913669">
        <w:t>shrunk</w:t>
      </w:r>
      <w:r>
        <w:t xml:space="preserve"> to 56, down from 80 a decade earlier</w:t>
      </w:r>
      <w:r w:rsidR="00913669">
        <w:t>, and the party was finding it difficult to protect its interests.</w:t>
      </w:r>
      <w:r w:rsidRPr="00EC184A">
        <w:rPr>
          <w:rStyle w:val="FootnoteReference"/>
        </w:rPr>
        <w:footnoteReference w:id="110"/>
      </w:r>
      <w:r w:rsidR="006148BB">
        <w:t xml:space="preserve"> </w:t>
      </w:r>
      <w:r w:rsidR="005C26C9">
        <w:t>They had been burned by Caprivi’s international trade agreements with Russia and Austria of several year</w:t>
      </w:r>
      <w:r w:rsidR="0053070E">
        <w:t xml:space="preserve">s earlier. Support for the First Navy Law might have brought them some form of redress, but instead agrarians found themselves facing the industry-friendly Canal Bill without any government </w:t>
      </w:r>
      <w:r w:rsidR="007A2DC1">
        <w:t>talk of equally promoting</w:t>
      </w:r>
      <w:r w:rsidR="0053070E">
        <w:t xml:space="preserve"> agricultural interests. </w:t>
      </w:r>
      <w:r w:rsidR="00286E49">
        <w:t xml:space="preserve">Indeed, they derailed the Bill, but </w:t>
      </w:r>
      <w:r w:rsidR="008D3A10">
        <w:t>for what</w:t>
      </w:r>
      <w:r w:rsidR="00286E49">
        <w:t xml:space="preserve"> consequence </w:t>
      </w:r>
      <w:r w:rsidR="008D3A10">
        <w:t>was uncertain</w:t>
      </w:r>
      <w:r w:rsidR="00286E49">
        <w:t>.</w:t>
      </w:r>
      <w:r w:rsidR="0053070E">
        <w:t xml:space="preserve"> </w:t>
      </w:r>
    </w:p>
    <w:p w:rsidR="009D4060" w:rsidRDefault="007A2DC1" w:rsidP="002F54AF">
      <w:pPr>
        <w:tabs>
          <w:tab w:val="left" w:pos="630"/>
        </w:tabs>
        <w:spacing w:line="480" w:lineRule="auto"/>
        <w:jc w:val="both"/>
      </w:pPr>
      <w:r>
        <w:lastRenderedPageBreak/>
        <w:tab/>
        <w:t>A</w:t>
      </w:r>
      <w:r w:rsidR="0053070E">
        <w:t xml:space="preserve">s Tirpitz and the government rolled out the Second Navy Law, Conservatives </w:t>
      </w:r>
      <w:r w:rsidR="00020091">
        <w:t>viewed it</w:t>
      </w:r>
      <w:r w:rsidR="0053070E">
        <w:t xml:space="preserve"> it with suspicion</w:t>
      </w:r>
      <w:r w:rsidR="00286E49">
        <w:t xml:space="preserve">. </w:t>
      </w:r>
      <w:r w:rsidR="00020091">
        <w:t>To be sure</w:t>
      </w:r>
      <w:r w:rsidR="00286E49">
        <w:t>, they could support it on patriotic grounds and as necessary to expand the country’s presence on the international stage, but it still favored industrial interests over their own. But could they reject it?</w:t>
      </w:r>
      <w:r w:rsidR="008D3A10">
        <w:t xml:space="preserve"> Quoting one contemporary Left Liberal politician observing the situation, </w:t>
      </w:r>
      <w:r w:rsidR="00F36270">
        <w:t xml:space="preserve">Eckart Kehr writes: </w:t>
      </w:r>
      <w:r w:rsidR="008D3A10">
        <w:t>“the fleet had all the same evils as the Central Canal</w:t>
      </w:r>
      <w:r w:rsidR="00020091">
        <w:t xml:space="preserve"> [Bill]</w:t>
      </w:r>
      <w:r w:rsidR="008D3A10">
        <w:t xml:space="preserve">” with regard to agricultural interests, but that by providing support for the navy measure “the sins of their objection </w:t>
      </w:r>
      <w:r w:rsidR="002F54AF">
        <w:t>to the Canal might be forgiven.” If, however, they opposed the government on new naval expansion as well, then “their political demise would be certain.”</w:t>
      </w:r>
      <w:r w:rsidR="002F54AF" w:rsidRPr="00EC184A">
        <w:rPr>
          <w:rStyle w:val="FootnoteReference"/>
        </w:rPr>
        <w:footnoteReference w:id="111"/>
      </w:r>
      <w:r w:rsidR="002F54AF">
        <w:t xml:space="preserve"> The veracity of this statement is certainly up for dispute, but what is clear is this: Conservatives did run the risk of embittering the government—an entity traditionally supportive of and inherently tied to the Prussian aristocracy—through opposition to policies “national” in scope and “necessary” for the economic expansion or physical protection of the empire. If the party wanted to improve its position therein, or at least curb the rate at which its power diminished, then it needed the legislative and moral support of the government to do so. Conceding ground on the major issue of naval expansion offered Conservatives the best prospect of mending relations with the government and Kaiser</w:t>
      </w:r>
      <w:r w:rsidR="009E20E2">
        <w:t xml:space="preserve"> </w:t>
      </w:r>
      <w:r w:rsidR="00020091">
        <w:t>after</w:t>
      </w:r>
      <w:r w:rsidR="009E20E2">
        <w:t xml:space="preserve"> the Canal Bill. Mo</w:t>
      </w:r>
      <w:r w:rsidR="00F76ECE">
        <w:t>re pressingly, it offered the</w:t>
      </w:r>
      <w:r w:rsidR="009E20E2">
        <w:t xml:space="preserve"> route </w:t>
      </w:r>
      <w:r w:rsidR="00F76ECE">
        <w:t xml:space="preserve">most likely </w:t>
      </w:r>
      <w:r w:rsidR="009E20E2">
        <w:t>to</w:t>
      </w:r>
      <w:r w:rsidR="00DC3CE8">
        <w:t xml:space="preserve"> secure</w:t>
      </w:r>
      <w:r w:rsidR="00020091">
        <w:t xml:space="preserve"> protectionist tariffs, more favorable trade agreements, and measures to retain agricultural laborers.</w:t>
      </w:r>
    </w:p>
    <w:p w:rsidR="004F0ECA" w:rsidRDefault="008A3353" w:rsidP="00E60812">
      <w:pPr>
        <w:tabs>
          <w:tab w:val="left" w:pos="630"/>
        </w:tabs>
        <w:spacing w:line="480" w:lineRule="auto"/>
        <w:jc w:val="both"/>
      </w:pPr>
      <w:r>
        <w:tab/>
        <w:t xml:space="preserve">In </w:t>
      </w:r>
      <w:r w:rsidR="00B06DD3">
        <w:t xml:space="preserve">the Reichstag, the Conservatives issued their support for the proposed legislation. During the </w:t>
      </w:r>
      <w:r w:rsidR="00C05B72">
        <w:t>opening debate on Tirpitz’s proposal in February</w:t>
      </w:r>
      <w:r w:rsidR="00B06DD3">
        <w:t xml:space="preserve">, Dr. von Levetzow spoke </w:t>
      </w:r>
      <w:r w:rsidR="00E60812">
        <w:t xml:space="preserve">on behalf of their party. While the Navy Law of 1898 had indeed begun a </w:t>
      </w:r>
      <w:r w:rsidR="00FC553B">
        <w:t>necessary</w:t>
      </w:r>
      <w:r w:rsidR="008758A0">
        <w:t xml:space="preserve"> process of creating the naval force </w:t>
      </w:r>
      <w:r w:rsidR="00FC553B">
        <w:t>for the protection of</w:t>
      </w:r>
      <w:r w:rsidR="008758A0">
        <w:t xml:space="preserve"> the nation’s citizens, colonies, and other overseas interests,</w:t>
      </w:r>
      <w:r w:rsidR="00FC553B">
        <w:t xml:space="preserve"> it </w:t>
      </w:r>
      <w:r w:rsidR="00FC553B">
        <w:lastRenderedPageBreak/>
        <w:t>had not gone far enough. The supplementary law would rectify that,</w:t>
      </w:r>
      <w:r w:rsidR="003345EE">
        <w:t xml:space="preserve"> he argued,</w:t>
      </w:r>
      <w:r w:rsidR="00FC553B">
        <w:t xml:space="preserve"> while also increasing Germany’s </w:t>
      </w:r>
      <w:r w:rsidR="003345EE">
        <w:t>“alliance-value”</w:t>
      </w:r>
      <w:r w:rsidR="00FC553B">
        <w:t xml:space="preserve"> for the military security it could provide on both land and sea.</w:t>
      </w:r>
      <w:r w:rsidR="00FC553B" w:rsidRPr="00EC184A">
        <w:rPr>
          <w:rStyle w:val="FootnoteReference"/>
        </w:rPr>
        <w:footnoteReference w:id="112"/>
      </w:r>
      <w:r w:rsidR="00E60812">
        <w:t xml:space="preserve"> Representing the Free Conservatives, a subsection of the Conservative party, Count Arnim declared </w:t>
      </w:r>
      <w:r w:rsidR="005A49F2">
        <w:t>that in the coming century,</w:t>
      </w:r>
      <w:r w:rsidR="0014082A">
        <w:t xml:space="preserve"> those </w:t>
      </w:r>
      <w:r w:rsidR="005A49F2">
        <w:t xml:space="preserve">countries </w:t>
      </w:r>
      <w:r w:rsidR="0014082A">
        <w:t xml:space="preserve">who </w:t>
      </w:r>
      <w:r w:rsidR="005A49F2">
        <w:t>aspire to</w:t>
      </w:r>
      <w:r w:rsidR="0014082A">
        <w:t xml:space="preserve"> b</w:t>
      </w:r>
      <w:r w:rsidR="005A49F2">
        <w:t>e the world’s Great Powers will pursue a corresponding strength in naval power. The legislation before them would put Germany on that path, while protecting its interests abroad from foreign threats as well as helping secure the import of necessary provisions in the case of war.</w:t>
      </w:r>
      <w:r w:rsidR="005A49F2" w:rsidRPr="00EC184A">
        <w:rPr>
          <w:rStyle w:val="FootnoteReference"/>
        </w:rPr>
        <w:footnoteReference w:id="113"/>
      </w:r>
      <w:r w:rsidR="003345EE">
        <w:t xml:space="preserve"> Together, </w:t>
      </w:r>
      <w:r w:rsidR="009D4060">
        <w:t>Conservatives</w:t>
      </w:r>
      <w:r w:rsidR="003345EE">
        <w:t xml:space="preserve"> presented national defense and economic protection as the basis for thei</w:t>
      </w:r>
      <w:r w:rsidR="009D4060">
        <w:t>r party’s support, and, to be sure</w:t>
      </w:r>
      <w:r w:rsidR="00C05B72">
        <w:t xml:space="preserve">, it was. </w:t>
      </w:r>
      <w:r w:rsidR="009D4060">
        <w:t xml:space="preserve">Behind this, however, </w:t>
      </w:r>
      <w:r w:rsidR="00020091">
        <w:t>still remained</w:t>
      </w:r>
      <w:r w:rsidR="009D4060">
        <w:t xml:space="preserve"> the steady push for changes to the nation’s </w:t>
      </w:r>
      <w:r w:rsidR="004F0ECA">
        <w:t>agricultural and trade policies.</w:t>
      </w:r>
    </w:p>
    <w:p w:rsidR="00F551C0" w:rsidRDefault="00D16191" w:rsidP="00591D69">
      <w:pPr>
        <w:tabs>
          <w:tab w:val="left" w:pos="630"/>
        </w:tabs>
        <w:spacing w:line="480" w:lineRule="auto"/>
        <w:jc w:val="both"/>
      </w:pPr>
      <w:r>
        <w:tab/>
        <w:t xml:space="preserve">Yet if Conservatives and their agrarian allies expected </w:t>
      </w:r>
      <w:r w:rsidR="00020091">
        <w:t xml:space="preserve">outright </w:t>
      </w:r>
      <w:r>
        <w:t xml:space="preserve">government </w:t>
      </w:r>
      <w:r w:rsidR="00020091">
        <w:t>concessions</w:t>
      </w:r>
      <w:r>
        <w:t xml:space="preserve">, they were </w:t>
      </w:r>
      <w:r w:rsidR="00EF71EC">
        <w:t xml:space="preserve">initially </w:t>
      </w:r>
      <w:r>
        <w:t xml:space="preserve">mistaken. </w:t>
      </w:r>
      <w:r w:rsidR="004F0ECA">
        <w:t>A</w:t>
      </w:r>
      <w:r w:rsidR="009D4060">
        <w:t xml:space="preserve">s the legislation moved through the Budget Commission in April, agrarians </w:t>
      </w:r>
      <w:r>
        <w:t>broached the issue</w:t>
      </w:r>
      <w:r w:rsidR="005867E1">
        <w:t xml:space="preserve">. </w:t>
      </w:r>
      <w:r w:rsidR="00FE4347">
        <w:t>They pressed</w:t>
      </w:r>
      <w:r w:rsidR="005867E1">
        <w:t xml:space="preserve"> </w:t>
      </w:r>
      <w:r w:rsidR="00FE4347">
        <w:t>Imperial Treasury Secretary von Thielmann on whether or not “</w:t>
      </w:r>
      <w:r w:rsidR="005867E1">
        <w:t>the government</w:t>
      </w:r>
      <w:r w:rsidR="00FE4347">
        <w:t xml:space="preserve"> [is] disposed to make energetic efforts during the negotiations for the new commercial treaties to obtain a suitable increase in the protective duties upon agricultural products.”</w:t>
      </w:r>
      <w:r w:rsidR="00591D69">
        <w:t xml:space="preserve"> At that time the government was not yet able to commit to a solid answer, though Thielmann assured the Commission that it would further the interests of agriculture as best it could. The statement fell on deaf ears. Herr Gröber of the Centre party reminded the Secretary of </w:t>
      </w:r>
      <w:r w:rsidR="00DC3CE8">
        <w:t xml:space="preserve">the </w:t>
      </w:r>
      <w:r w:rsidR="00591D69">
        <w:t xml:space="preserve">government’s </w:t>
      </w:r>
      <w:r w:rsidR="00DC3CE8">
        <w:t>predicament</w:t>
      </w:r>
      <w:r w:rsidR="00591D69">
        <w:t xml:space="preserve">: the Navy Law “could not be passed unless efforts were made to meet the wishes of the Reichstag,” while Conservative and Free Conservative </w:t>
      </w:r>
      <w:r w:rsidR="00591D69">
        <w:lastRenderedPageBreak/>
        <w:t>Counts Stolberg and Arnim</w:t>
      </w:r>
      <w:r w:rsidR="00E52B87">
        <w:t xml:space="preserve"> also underscored the need for certainty.</w:t>
      </w:r>
      <w:r w:rsidR="00E52B87" w:rsidRPr="00EC184A">
        <w:rPr>
          <w:rStyle w:val="FootnoteReference"/>
        </w:rPr>
        <w:footnoteReference w:id="114"/>
      </w:r>
      <w:r w:rsidR="00EF71EC">
        <w:t xml:space="preserve"> Only after agrarians </w:t>
      </w:r>
      <w:r w:rsidR="00F551C0">
        <w:t>continued to stress their concerns and the power</w:t>
      </w:r>
      <w:r w:rsidR="00020091">
        <w:t xml:space="preserve"> they held over the navy’s fate</w:t>
      </w:r>
      <w:r w:rsidR="00F551C0">
        <w:t xml:space="preserve"> did the government provi</w:t>
      </w:r>
      <w:r w:rsidR="00020091">
        <w:t>de a more concrete response. It declared</w:t>
      </w:r>
      <w:r w:rsidR="001541AE">
        <w:t xml:space="preserve"> </w:t>
      </w:r>
      <w:r w:rsidR="007B2197">
        <w:t>that it would pursue new protective tariffs as well as reexamine the empire’s trade agreements.</w:t>
      </w:r>
      <w:r w:rsidR="007B2197" w:rsidRPr="00EC184A">
        <w:rPr>
          <w:rStyle w:val="FootnoteReference"/>
        </w:rPr>
        <w:footnoteReference w:id="115"/>
      </w:r>
    </w:p>
    <w:p w:rsidR="003D62EE" w:rsidRDefault="00DC3CE8" w:rsidP="001F1BBD">
      <w:pPr>
        <w:tabs>
          <w:tab w:val="left" w:pos="630"/>
        </w:tabs>
        <w:spacing w:line="480" w:lineRule="auto"/>
        <w:jc w:val="both"/>
      </w:pPr>
      <w:r>
        <w:tab/>
        <w:t>At the same time, the</w:t>
      </w:r>
      <w:r w:rsidR="005C2855">
        <w:t xml:space="preserve"> government needed to maintain strong relations with </w:t>
      </w:r>
      <w:r w:rsidR="00642BF2">
        <w:t>Conservatives</w:t>
      </w:r>
      <w:r w:rsidR="005C2855">
        <w:t xml:space="preserve">. If the </w:t>
      </w:r>
      <w:r w:rsidR="00335014">
        <w:t>former</w:t>
      </w:r>
      <w:r w:rsidR="005C2855">
        <w:t xml:space="preserve"> did not deliberately or quickly pursue policies favorable to </w:t>
      </w:r>
      <w:r w:rsidR="00335014">
        <w:t>latter</w:t>
      </w:r>
      <w:r w:rsidR="005C2855">
        <w:t xml:space="preserve">, or </w:t>
      </w:r>
      <w:r w:rsidR="00335014">
        <w:t xml:space="preserve">if it </w:t>
      </w:r>
      <w:r w:rsidR="005C2855">
        <w:t>at least curtail</w:t>
      </w:r>
      <w:r w:rsidR="00335014">
        <w:t>ed</w:t>
      </w:r>
      <w:r w:rsidR="005C2855">
        <w:t xml:space="preserve"> efforts to promote industry while allowing agricultural interests to languish, agriculturalists in the Reichstag might have indeed withheld support for future naval expansion. As Berghahn indicates,</w:t>
      </w:r>
      <w:r w:rsidR="001F1BBD">
        <w:t xml:space="preserve"> the Kaiser himself recognized this </w:t>
      </w:r>
      <w:r w:rsidR="00F70883">
        <w:t xml:space="preserve">possibility </w:t>
      </w:r>
      <w:r w:rsidR="001F1BBD">
        <w:t xml:space="preserve">and ultimately </w:t>
      </w:r>
      <w:r w:rsidR="00F70883">
        <w:t>retreated from</w:t>
      </w:r>
      <w:r w:rsidR="001F1BBD">
        <w:t xml:space="preserve"> the Canal Bill </w:t>
      </w:r>
      <w:r w:rsidR="00F70883">
        <w:t>to avoid a more lasting</w:t>
      </w:r>
      <w:r w:rsidR="001F1BBD">
        <w:t xml:space="preserve"> rupture with the </w:t>
      </w:r>
      <w:r w:rsidR="00335014">
        <w:t>Conservative party</w:t>
      </w:r>
      <w:r w:rsidR="001F1BBD">
        <w:t>.</w:t>
      </w:r>
      <w:r w:rsidR="001F1BBD" w:rsidRPr="00EC184A">
        <w:rPr>
          <w:rStyle w:val="FootnoteReference"/>
        </w:rPr>
        <w:footnoteReference w:id="116"/>
      </w:r>
      <w:r w:rsidR="00335014">
        <w:t xml:space="preserve"> </w:t>
      </w:r>
      <w:r w:rsidR="004F6794">
        <w:t xml:space="preserve">Dragging out the confrontation also risked antagonizing those agrarian segments of the Centre party that sympathized with Conservatives against the Canal Bill and in favor of greater agricultural protections. </w:t>
      </w:r>
      <w:r w:rsidR="00510E96">
        <w:t xml:space="preserve">For </w:t>
      </w:r>
      <w:r w:rsidR="00510E96">
        <w:rPr>
          <w:i/>
        </w:rPr>
        <w:t>Sammlungspolitik</w:t>
      </w:r>
      <w:r w:rsidR="00510E96">
        <w:t xml:space="preserve"> to succeed as the government had hoped, the latter needed to recognize both the extent</w:t>
      </w:r>
      <w:r w:rsidR="00C9563A">
        <w:t xml:space="preserve"> </w:t>
      </w:r>
      <w:r w:rsidR="00642BF2">
        <w:t>of</w:t>
      </w:r>
      <w:r w:rsidR="00C9563A">
        <w:t xml:space="preserve"> its power </w:t>
      </w:r>
      <w:r w:rsidR="00510E96">
        <w:t>and the</w:t>
      </w:r>
      <w:r w:rsidR="003D62EE">
        <w:t xml:space="preserve"> </w:t>
      </w:r>
      <w:r w:rsidR="00510E96">
        <w:t>maximum</w:t>
      </w:r>
      <w:r w:rsidR="003D62EE">
        <w:t xml:space="preserve"> stress the political coalition could handle before falling apart.</w:t>
      </w:r>
    </w:p>
    <w:p w:rsidR="00EF0FB8" w:rsidRDefault="00EF0FB8" w:rsidP="001F1BBD">
      <w:pPr>
        <w:tabs>
          <w:tab w:val="left" w:pos="630"/>
        </w:tabs>
        <w:spacing w:line="480" w:lineRule="auto"/>
        <w:jc w:val="both"/>
      </w:pPr>
    </w:p>
    <w:p w:rsidR="00EF0FB8" w:rsidRPr="00EF0FB8" w:rsidRDefault="003D30A9" w:rsidP="00EF0FB8">
      <w:pPr>
        <w:tabs>
          <w:tab w:val="left" w:pos="630"/>
        </w:tabs>
        <w:spacing w:line="480" w:lineRule="auto"/>
        <w:jc w:val="center"/>
        <w:rPr>
          <w:u w:val="single"/>
        </w:rPr>
      </w:pPr>
      <w:r>
        <w:rPr>
          <w:u w:val="single"/>
        </w:rPr>
        <w:t>The German Army</w:t>
      </w:r>
    </w:p>
    <w:p w:rsidR="001B4BCB" w:rsidRDefault="003D33DD" w:rsidP="00911C91">
      <w:pPr>
        <w:tabs>
          <w:tab w:val="left" w:pos="630"/>
        </w:tabs>
        <w:spacing w:line="480" w:lineRule="auto"/>
        <w:jc w:val="both"/>
      </w:pPr>
      <w:r>
        <w:tab/>
      </w:r>
      <w:r w:rsidR="00A656C6">
        <w:t>The government had further reason for c</w:t>
      </w:r>
      <w:r>
        <w:t xml:space="preserve">ooperation with Conservatives </w:t>
      </w:r>
      <w:r w:rsidR="00A656C6">
        <w:t>on account of the state of the army</w:t>
      </w:r>
      <w:r>
        <w:t>.</w:t>
      </w:r>
      <w:r w:rsidR="00A656C6">
        <w:t xml:space="preserve"> This institution—responsible for German unification through victories over Denmark, Austria, and France—</w:t>
      </w:r>
      <w:r w:rsidR="0065464E">
        <w:t xml:space="preserve">had </w:t>
      </w:r>
      <w:r w:rsidR="007E224A">
        <w:t>been</w:t>
      </w:r>
      <w:r w:rsidR="0065464E">
        <w:t xml:space="preserve"> undergoing </w:t>
      </w:r>
      <w:r w:rsidR="007E224A">
        <w:t>significant changes since the foundation of the empire</w:t>
      </w:r>
      <w:r w:rsidR="0065464E">
        <w:t xml:space="preserve">. </w:t>
      </w:r>
      <w:r w:rsidR="00631E40">
        <w:t xml:space="preserve">The first was to the officer corps, which </w:t>
      </w:r>
      <w:r w:rsidR="00A656C6">
        <w:t xml:space="preserve">had long been tied to </w:t>
      </w:r>
      <w:r w:rsidR="003D5101">
        <w:t>Pru</w:t>
      </w:r>
      <w:r w:rsidR="007E224A">
        <w:t>ssia’s nobility and aristocracy</w:t>
      </w:r>
      <w:r w:rsidR="00A656C6">
        <w:t xml:space="preserve"> </w:t>
      </w:r>
      <w:r w:rsidR="00631E40">
        <w:t xml:space="preserve">and </w:t>
      </w:r>
      <w:r w:rsidR="00A656C6">
        <w:t xml:space="preserve">from where </w:t>
      </w:r>
      <w:r w:rsidR="00631E40">
        <w:t>the army</w:t>
      </w:r>
      <w:r w:rsidR="00A656C6">
        <w:t xml:space="preserve"> </w:t>
      </w:r>
      <w:r w:rsidR="003D5101">
        <w:t>derived most of its officer</w:t>
      </w:r>
      <w:r w:rsidR="001B4BCB">
        <w:t xml:space="preserve">s and leading military figures. </w:t>
      </w:r>
      <w:r w:rsidR="001B4BCB">
        <w:lastRenderedPageBreak/>
        <w:t>The rapid expansion of the e</w:t>
      </w:r>
      <w:r w:rsidR="0004291D">
        <w:t>mpire’s peacetime army, from 400</w:t>
      </w:r>
      <w:r w:rsidR="001B4BCB">
        <w:t>,000 non-commissioned officers in 1874 t</w:t>
      </w:r>
      <w:r w:rsidR="0004291D">
        <w:t>o 600</w:t>
      </w:r>
      <w:r w:rsidR="001B4BCB">
        <w:t>,000 by the outbreak of the War, had demanded a number of officers that now “far outstripped the nobility’s ability” to supply, while the “economic decline or actual disappearance of the old noble families” had also shrunk the aristocratic base from which to draw.</w:t>
      </w:r>
      <w:r w:rsidR="001B4BCB" w:rsidRPr="00EC184A">
        <w:rPr>
          <w:rStyle w:val="FootnoteReference"/>
        </w:rPr>
        <w:footnoteReference w:id="117"/>
      </w:r>
      <w:r w:rsidR="001B4BCB">
        <w:t xml:space="preserve"> The army increasingly </w:t>
      </w:r>
      <w:r w:rsidR="00510E96">
        <w:t>depended</w:t>
      </w:r>
      <w:r w:rsidR="001B4BCB">
        <w:t xml:space="preserve"> on the </w:t>
      </w:r>
      <w:r w:rsidR="00510E96">
        <w:t xml:space="preserve">growing German bourgeoisie, that is its academics, doctors, lawyers, shop owners, merchants, etc., </w:t>
      </w:r>
      <w:r w:rsidR="001B4BCB">
        <w:t>to supply the men requisite to lead the army’s forces. The second change was to the bulk of the army’s troops. Similar to the officer corps, soldiers had come predominantly from Prussia’s agricultural</w:t>
      </w:r>
      <w:r w:rsidR="00A21FE3">
        <w:t>-dominated lands. Yet with that major expansion of the peacetime army, the government similarly had to rely upon conscripting</w:t>
      </w:r>
      <w:r w:rsidR="00510E96">
        <w:t xml:space="preserve"> men from throughout the empire.</w:t>
      </w:r>
      <w:r w:rsidR="00A21FE3">
        <w:t xml:space="preserve"> </w:t>
      </w:r>
      <w:r w:rsidR="00510E96">
        <w:t>Men</w:t>
      </w:r>
      <w:r w:rsidR="0004291D">
        <w:t xml:space="preserve"> </w:t>
      </w:r>
      <w:r w:rsidR="00510E96">
        <w:t xml:space="preserve">from industrial and urban areas, </w:t>
      </w:r>
      <w:r w:rsidR="00A21FE3">
        <w:t>where socialist ideology and anti-government, monarchy, and military sentiments</w:t>
      </w:r>
      <w:r w:rsidR="0004291D">
        <w:t xml:space="preserve"> were prevalent</w:t>
      </w:r>
      <w:r w:rsidR="00510E96">
        <w:t>, now became a part of that most traditional institution of order and security within the empire</w:t>
      </w:r>
      <w:r w:rsidR="0004291D">
        <w:t>.</w:t>
      </w:r>
    </w:p>
    <w:p w:rsidR="00042F5D" w:rsidRDefault="0004291D" w:rsidP="00911C91">
      <w:pPr>
        <w:tabs>
          <w:tab w:val="left" w:pos="630"/>
        </w:tabs>
        <w:spacing w:line="480" w:lineRule="auto"/>
        <w:jc w:val="both"/>
      </w:pPr>
      <w:r>
        <w:tab/>
      </w:r>
      <w:r w:rsidR="00BD36AF">
        <w:t xml:space="preserve">Together, these alterations to the army’s basic composition created questions on how to maintain an efficient, loyal, and reliable military force. Indeed, members of the officer corps underwent rigorous training and socialization to bind them to the army and monarchy. For aristocratic Prussians, this was nothing new. </w:t>
      </w:r>
      <w:r w:rsidR="00042F5D">
        <w:t>Bourgeois Germans</w:t>
      </w:r>
      <w:r w:rsidR="00BD36AF">
        <w:t>, however, now had to “accept the feudal philosophy which had always reigned in the officer corps</w:t>
      </w:r>
      <w:r w:rsidR="004500F3">
        <w:t>,” which they did with little difficulty. Most came from the upper middle class, where, Gordon Craig argues, their acquisition of wealth and the growing threat of socialism to general social stability had made this transition rather painless.</w:t>
      </w:r>
      <w:r w:rsidR="004500F3" w:rsidRPr="00EC184A">
        <w:rPr>
          <w:rStyle w:val="FootnoteReference"/>
        </w:rPr>
        <w:footnoteReference w:id="118"/>
      </w:r>
      <w:r w:rsidR="00F365CE">
        <w:t xml:space="preserve"> At the other end of the spectrum, the army was hard pressed to eliminate socialist ideologies </w:t>
      </w:r>
      <w:r w:rsidR="00A26B35">
        <w:t>among</w:t>
      </w:r>
      <w:r w:rsidR="00F365CE">
        <w:t xml:space="preserve"> </w:t>
      </w:r>
      <w:r w:rsidR="00A26B35">
        <w:t>its</w:t>
      </w:r>
      <w:r w:rsidR="00F365CE">
        <w:t xml:space="preserve"> ranks. Coming f</w:t>
      </w:r>
      <w:r w:rsidR="00343128">
        <w:t xml:space="preserve">rom poor urban conditions where they were the victims of </w:t>
      </w:r>
      <w:r w:rsidR="00F365CE">
        <w:t xml:space="preserve">market </w:t>
      </w:r>
      <w:r w:rsidR="00343128">
        <w:t>economics</w:t>
      </w:r>
      <w:r w:rsidR="00F365CE">
        <w:t xml:space="preserve">, many must have regarded the present German state—from </w:t>
      </w:r>
      <w:r w:rsidR="00F365CE">
        <w:lastRenderedPageBreak/>
        <w:t xml:space="preserve">monarchy to military and landed aristocrats to wealthy capitalists—as </w:t>
      </w:r>
      <w:r w:rsidR="00343128">
        <w:t xml:space="preserve">corrupt, archaic, and </w:t>
      </w:r>
      <w:r w:rsidR="00F365CE">
        <w:t>broken.</w:t>
      </w:r>
      <w:r w:rsidR="00343128">
        <w:t xml:space="preserve"> Training and socialization like that of the officer corps certainly brought them into line, but the government </w:t>
      </w:r>
      <w:r w:rsidR="00A26B35">
        <w:t>was still concerned abo</w:t>
      </w:r>
      <w:r w:rsidR="00DC3CE8">
        <w:t>ut socialist influence and its e</w:t>
      </w:r>
      <w:r w:rsidR="00A26B35">
        <w:t xml:space="preserve">ffect on </w:t>
      </w:r>
      <w:r w:rsidR="00343128">
        <w:t xml:space="preserve">loyalty. </w:t>
      </w:r>
      <w:r w:rsidR="00042F5D">
        <w:t xml:space="preserve">The newly expanded bourgeois officer corps could reliably execute the government’s orders, but could it compel soldiers of poor, urban, and socialist-tinged backgrounds to stomp out potential political agitation of their </w:t>
      </w:r>
      <w:r w:rsidR="00E979D0">
        <w:t>family, friends, and former neighbors</w:t>
      </w:r>
      <w:r w:rsidR="00042F5D">
        <w:t>?</w:t>
      </w:r>
    </w:p>
    <w:p w:rsidR="00D43ADC" w:rsidRDefault="009F1418" w:rsidP="0031182C">
      <w:pPr>
        <w:tabs>
          <w:tab w:val="left" w:pos="630"/>
        </w:tabs>
        <w:spacing w:line="480" w:lineRule="auto"/>
        <w:jc w:val="both"/>
      </w:pPr>
      <w:r>
        <w:tab/>
        <w:t>By cooperating with Conservatives and supporting their agricultural interests, the government could have helped protect the size and integrity of the empire’s agricultural strongholds</w:t>
      </w:r>
      <w:r w:rsidR="0031182C">
        <w:t xml:space="preserve"> and military traditions</w:t>
      </w:r>
      <w:r>
        <w:t xml:space="preserve">. The expansion of the officer corps had become less of an issue, but the conscription of troops out of urban and industrialized centers risked spreading social democratic ideology </w:t>
      </w:r>
      <w:r w:rsidR="0031182C">
        <w:t xml:space="preserve">through the rank-and-file and leading to a weakening of </w:t>
      </w:r>
      <w:r>
        <w:t>the army’s unity, efficiency, and ability to respond to socialist-generated upheaval or unrest.</w:t>
      </w:r>
      <w:r w:rsidR="0031182C">
        <w:t xml:space="preserve"> </w:t>
      </w:r>
      <w:r w:rsidR="00290B5D">
        <w:t>The degree to which these fears were grounded may be disputed, and indeed, social democracy might not have per</w:t>
      </w:r>
      <w:r w:rsidR="00D43ADC">
        <w:t>vaded the army as it could have. They still could have compelled the government to greater levels of cooperation</w:t>
      </w:r>
      <w:r w:rsidR="00E979D0">
        <w:t>,</w:t>
      </w:r>
      <w:r w:rsidR="00D43ADC">
        <w:t xml:space="preserve"> however</w:t>
      </w:r>
      <w:r w:rsidR="00E979D0">
        <w:t>,</w:t>
      </w:r>
      <w:r w:rsidR="00D43ADC">
        <w:t xml:space="preserve"> with the Conservatives who formed the traditional backbone of that institution.</w:t>
      </w:r>
    </w:p>
    <w:p w:rsidR="00290B5D" w:rsidRDefault="00615DE7" w:rsidP="00325552">
      <w:pPr>
        <w:tabs>
          <w:tab w:val="left" w:pos="630"/>
        </w:tabs>
        <w:spacing w:line="480" w:lineRule="auto"/>
        <w:jc w:val="both"/>
      </w:pPr>
      <w:r>
        <w:tab/>
        <w:t>These changes to the army opened the way for naval expansion in another way. As argued by Gordon Craig, the legislative efforts to expand the officer corps and the peacetime soldiery of the 1890s revealed a “disruption of the organizational unity of the army...[that] had now been carried to ridiculous and dangerous extremes.</w:t>
      </w:r>
      <w:r w:rsidR="005008A7">
        <w:t>”</w:t>
      </w:r>
      <w:r w:rsidR="005008A7" w:rsidRPr="00EC184A">
        <w:rPr>
          <w:rStyle w:val="FootnoteReference"/>
        </w:rPr>
        <w:footnoteReference w:id="119"/>
      </w:r>
      <w:r w:rsidR="005008A7">
        <w:t xml:space="preserve"> </w:t>
      </w:r>
      <w:r>
        <w:t>On one side, an i</w:t>
      </w:r>
      <w:r w:rsidR="005008A7">
        <w:t>nternal division among the army’s leading officers and political representatives prevented the institution from creating a unified voice with which to pursue further measures of reform.</w:t>
      </w:r>
      <w:r>
        <w:t xml:space="preserve"> </w:t>
      </w:r>
      <w:r w:rsidR="002E3FD3">
        <w:t xml:space="preserve">“Cabinet chiefs, adjutants, [and] court generals” could disrupt the work of the Chief of the General Staff, who was responsible for </w:t>
      </w:r>
      <w:r w:rsidR="002E3FD3">
        <w:lastRenderedPageBreak/>
        <w:t>overseeing such areas as strategy, organization, and tactical issues.</w:t>
      </w:r>
      <w:r w:rsidR="002E3FD3" w:rsidRPr="00EC184A">
        <w:rPr>
          <w:rStyle w:val="FootnoteReference"/>
        </w:rPr>
        <w:footnoteReference w:id="120"/>
      </w:r>
      <w:r w:rsidR="002E3FD3">
        <w:t xml:space="preserve"> </w:t>
      </w:r>
      <w:r w:rsidR="00773AA5">
        <w:t xml:space="preserve">On the other side, </w:t>
      </w:r>
      <w:r w:rsidR="00265D60">
        <w:t>continues</w:t>
      </w:r>
      <w:r w:rsidR="00773AA5">
        <w:t xml:space="preserve"> Craig, was a growing animosity towards the army among the German population for what amounted to military absolutism. Political nepotism</w:t>
      </w:r>
      <w:r w:rsidR="00325552">
        <w:t xml:space="preserve"> from the Kaiser down</w:t>
      </w:r>
      <w:r w:rsidR="00773AA5">
        <w:t xml:space="preserve">, evasion of civil law, and </w:t>
      </w:r>
      <w:r w:rsidR="00142073">
        <w:t>the seeming ability to claim “what was, or was not, to the national interest and to dispense with those who did not agree with the definition”</w:t>
      </w:r>
      <w:r w:rsidR="00325552">
        <w:t xml:space="preserve"> all undermined public co</w:t>
      </w:r>
      <w:r w:rsidR="00E979D0">
        <w:t>nfidence and trust in the army. N</w:t>
      </w:r>
      <w:r w:rsidR="00325552">
        <w:t>aval expansion developed as a positive alternative rooted in a collective German and middle class tradition.</w:t>
      </w:r>
      <w:r w:rsidR="00325552" w:rsidRPr="00EC184A">
        <w:rPr>
          <w:rStyle w:val="FootnoteReference"/>
        </w:rPr>
        <w:footnoteReference w:id="121"/>
      </w:r>
    </w:p>
    <w:p w:rsidR="00204061" w:rsidRDefault="00B34A29" w:rsidP="00325552">
      <w:pPr>
        <w:tabs>
          <w:tab w:val="left" w:pos="630"/>
        </w:tabs>
        <w:spacing w:line="480" w:lineRule="auto"/>
        <w:jc w:val="both"/>
      </w:pPr>
      <w:r>
        <w:tab/>
        <w:t xml:space="preserve">The debate of the 1899 Army Bill reflects some of the internal disunity and uncertainties that had become manifest within the government and among the army’s organizational planners. During the Budget Commission meetings on the Bill, </w:t>
      </w:r>
      <w:r w:rsidR="00B77302">
        <w:t>a majority of Reichstag deputies accepted the plan to increase the peacetime army and of</w:t>
      </w:r>
      <w:r w:rsidR="00E979D0">
        <w:t xml:space="preserve">ficer corps by some 26,000 men and implement updated </w:t>
      </w:r>
      <w:r w:rsidR="00B77302">
        <w:t>organizational plans, but rejected efforts to create new cavalry regiments. Arguments for the cavalry expansions revealed “various contradictions” and “inconsistencies…[that] confused and misled even the staunche</w:t>
      </w:r>
      <w:r w:rsidR="00EE5353">
        <w:t>st su</w:t>
      </w:r>
      <w:r w:rsidR="00204061">
        <w:t>pporters of the Government.”</w:t>
      </w:r>
      <w:r w:rsidR="00132C12" w:rsidRPr="00EC184A">
        <w:rPr>
          <w:rStyle w:val="FootnoteReference"/>
        </w:rPr>
        <w:footnoteReference w:id="122"/>
      </w:r>
      <w:r w:rsidR="00132C12">
        <w:t xml:space="preserve"> </w:t>
      </w:r>
      <w:r w:rsidR="00204061">
        <w:t xml:space="preserve">The army command and government were unable to make a coherent case for the cavalry expansion proposal, apparently uncertain themselves of the clear-cut reasons to the individual details. When the Clerical party offered a counter proposal accepting the new cavalry units at the cost of 7,000 men to the proposed expansion </w:t>
      </w:r>
      <w:r w:rsidR="00B46B73">
        <w:t>of</w:t>
      </w:r>
      <w:r w:rsidR="00204061">
        <w:t xml:space="preserve"> the peacetime army, the government rejected it and insisted that a standing force of 502,000 men </w:t>
      </w:r>
      <w:r w:rsidR="00B46B73">
        <w:t>was</w:t>
      </w:r>
      <w:r w:rsidR="00204061">
        <w:t xml:space="preserve"> necessary over 495,000. The Centre utilized its political might—as it had with First Navy Law and would with the Second—and voted down the original </w:t>
      </w:r>
      <w:r w:rsidR="00204061">
        <w:lastRenderedPageBreak/>
        <w:t xml:space="preserve">bill in the Reichstag, </w:t>
      </w:r>
      <w:r w:rsidR="00B46B73">
        <w:t>forcing</w:t>
      </w:r>
      <w:r w:rsidR="00204061">
        <w:t xml:space="preserve"> the government and Kaiser to accept its conditions </w:t>
      </w:r>
      <w:r w:rsidR="00B46B73">
        <w:t>or forgo</w:t>
      </w:r>
      <w:r w:rsidR="00204061">
        <w:t xml:space="preserve"> any expansion to the army </w:t>
      </w:r>
      <w:r w:rsidR="006D031B">
        <w:t>beyond those set by the Army Bill of 1893</w:t>
      </w:r>
      <w:r w:rsidR="00204061">
        <w:t>.</w:t>
      </w:r>
      <w:r w:rsidR="00E94561" w:rsidRPr="00EC184A">
        <w:rPr>
          <w:rStyle w:val="FootnoteReference"/>
        </w:rPr>
        <w:footnoteReference w:id="123"/>
      </w:r>
    </w:p>
    <w:p w:rsidR="0019462E" w:rsidRDefault="006D031B" w:rsidP="0019462E">
      <w:pPr>
        <w:tabs>
          <w:tab w:val="left" w:pos="630"/>
        </w:tabs>
        <w:spacing w:line="480" w:lineRule="auto"/>
        <w:jc w:val="both"/>
      </w:pPr>
      <w:r>
        <w:tab/>
      </w:r>
      <w:r w:rsidR="00A11735">
        <w:t xml:space="preserve">Disorganization and disunity existed </w:t>
      </w:r>
      <w:r>
        <w:t>at the highest levels within the army and government</w:t>
      </w:r>
      <w:r w:rsidR="00A11735">
        <w:t xml:space="preserve"> over the future of the military</w:t>
      </w:r>
      <w:r>
        <w:t xml:space="preserve">. They had prevented the </w:t>
      </w:r>
      <w:r w:rsidR="005E7586">
        <w:t xml:space="preserve">institution from securing </w:t>
      </w:r>
      <w:r w:rsidR="009A1FB1">
        <w:t xml:space="preserve">all the </w:t>
      </w:r>
      <w:r w:rsidR="005E7586">
        <w:t xml:space="preserve">demands </w:t>
      </w:r>
      <w:r w:rsidR="009A1FB1">
        <w:t xml:space="preserve">that </w:t>
      </w:r>
      <w:r w:rsidR="005E7586">
        <w:t xml:space="preserve">it </w:t>
      </w:r>
      <w:r w:rsidR="009A1FB1">
        <w:t>saw necessary to maintain the most powerful and efficient fighting force on the continent, and again revealed the ability of the Centre party to alter the political debate as it saw fit. This seeming uncertainty of the army’s internal cohesion and plan of action by the turn of the century had created a political and military vacuum open to Tirpitz and the navy.</w:t>
      </w:r>
      <w:r w:rsidR="0019462E">
        <w:t xml:space="preserve"> To be sure, the Admiral faced his own critics and divisions within</w:t>
      </w:r>
      <w:r w:rsidR="00031591">
        <w:t xml:space="preserve"> the navy, but he</w:t>
      </w:r>
      <w:r w:rsidR="0019462E">
        <w:t xml:space="preserve"> was able to master his opponents, win government support for his vision, and present a coherent and</w:t>
      </w:r>
      <w:r w:rsidR="00031591">
        <w:t xml:space="preserve"> unified front to the Reichstag to win what he deemed essential to naval expansion.</w:t>
      </w:r>
    </w:p>
    <w:p w:rsidR="003D30A9" w:rsidRDefault="003D30A9" w:rsidP="003D30A9">
      <w:pPr>
        <w:spacing w:line="480" w:lineRule="auto"/>
      </w:pPr>
    </w:p>
    <w:p w:rsidR="003D30A9" w:rsidRPr="003D30A9" w:rsidRDefault="00DF54B9" w:rsidP="009677A1">
      <w:pPr>
        <w:spacing w:line="480" w:lineRule="auto"/>
        <w:jc w:val="center"/>
        <w:rPr>
          <w:u w:val="single"/>
        </w:rPr>
      </w:pPr>
      <w:r>
        <w:rPr>
          <w:u w:val="single"/>
        </w:rPr>
        <w:t xml:space="preserve">Government </w:t>
      </w:r>
      <w:r w:rsidR="00B46B73">
        <w:rPr>
          <w:u w:val="single"/>
        </w:rPr>
        <w:t>Pressures</w:t>
      </w:r>
      <w:r>
        <w:rPr>
          <w:u w:val="single"/>
        </w:rPr>
        <w:t xml:space="preserve"> and </w:t>
      </w:r>
      <w:r w:rsidR="00B46B73">
        <w:rPr>
          <w:u w:val="single"/>
        </w:rPr>
        <w:t xml:space="preserve">Prominent </w:t>
      </w:r>
      <w:r>
        <w:rPr>
          <w:u w:val="single"/>
        </w:rPr>
        <w:t>Figures</w:t>
      </w:r>
    </w:p>
    <w:p w:rsidR="002A38A8" w:rsidRDefault="003D30A9" w:rsidP="009677A1">
      <w:pPr>
        <w:spacing w:line="480" w:lineRule="auto"/>
        <w:jc w:val="both"/>
      </w:pPr>
      <w:r>
        <w:tab/>
      </w:r>
      <w:r w:rsidR="009677A1">
        <w:t>Government pressures for naval expansion were well in place when Tirpitz introduced the Second Navy Law to the Reichstag. They had begun with his promotion to State Secretary of the Imperial Navy Office</w:t>
      </w:r>
      <w:r w:rsidR="00DC3CE8">
        <w:t xml:space="preserve"> (IN</w:t>
      </w:r>
      <w:r w:rsidR="00735EBA">
        <w:t>O)</w:t>
      </w:r>
      <w:r w:rsidR="009677A1">
        <w:t xml:space="preserve"> in 1897 and the de</w:t>
      </w:r>
      <w:r w:rsidR="00B46B73">
        <w:t>velopment of the First Navy Law</w:t>
      </w:r>
      <w:r w:rsidR="009677A1">
        <w:t xml:space="preserve"> when he</w:t>
      </w:r>
      <w:r w:rsidR="002A38A8">
        <w:t xml:space="preserve"> set out to </w:t>
      </w:r>
      <w:r w:rsidR="002B1A50">
        <w:t>bring</w:t>
      </w:r>
      <w:r w:rsidR="002A38A8">
        <w:t xml:space="preserve"> the debate of naval expansion </w:t>
      </w:r>
      <w:r w:rsidR="002B1A50">
        <w:t>to</w:t>
      </w:r>
      <w:r w:rsidR="002A38A8">
        <w:t xml:space="preserve"> the German population. He did not need to win the hearts and minds of a majority of Germans, as the fate of naval expansion lay with the Reichstag, but by generati</w:t>
      </w:r>
      <w:r w:rsidR="00FA5905">
        <w:t>ng enough support among the popu</w:t>
      </w:r>
      <w:r w:rsidR="002A38A8">
        <w:t xml:space="preserve">lace, the Admiral could weaken </w:t>
      </w:r>
      <w:r w:rsidR="00FA2165">
        <w:t>the claims</w:t>
      </w:r>
      <w:r w:rsidR="002A38A8">
        <w:t xml:space="preserve"> from his political detractors that naval expansion was simply a directive of the Kaiser or another government push for greater military power. In his memoirs, Wilhelm II recalls this plan to engineer “a great movement” among the people to pressure the Reichstag for naval expansion. “To this end,” he writes, “an energetic propaganda was needed, through a well-organized and </w:t>
      </w:r>
      <w:r w:rsidR="002A38A8">
        <w:lastRenderedPageBreak/>
        <w:t>well-directed press, as well as through eminent men of science at the universities and technical high schools.”</w:t>
      </w:r>
      <w:r w:rsidR="002A38A8" w:rsidRPr="00EC184A">
        <w:rPr>
          <w:rStyle w:val="FootnoteReference"/>
        </w:rPr>
        <w:footnoteReference w:id="124"/>
      </w:r>
      <w:r w:rsidR="002A38A8">
        <w:t xml:space="preserve"> Tirpitz and the government began this effort by establishing the </w:t>
      </w:r>
      <w:r w:rsidR="002A38A8">
        <w:rPr>
          <w:i/>
        </w:rPr>
        <w:t>Nachrichtenbüro</w:t>
      </w:r>
      <w:r w:rsidR="002A38A8">
        <w:t xml:space="preserve">, or the official press agency of the Imperial Navy Office. From this podium, </w:t>
      </w:r>
      <w:r w:rsidR="00B46B73">
        <w:t xml:space="preserve">the </w:t>
      </w:r>
      <w:r w:rsidR="00893F6A">
        <w:t>Navy</w:t>
      </w:r>
      <w:r w:rsidR="00B46B73">
        <w:t xml:space="preserve"> Secretary</w:t>
      </w:r>
      <w:r w:rsidR="002A38A8">
        <w:t xml:space="preserve"> brought the naval question to the broader German public and </w:t>
      </w:r>
      <w:r w:rsidR="002B1A50">
        <w:t>attempted to provide</w:t>
      </w:r>
      <w:r w:rsidR="002A38A8">
        <w:t xml:space="preserve"> them with “an essential enlightenment and education…about [Germany’s] maritime duties and necessities.”</w:t>
      </w:r>
      <w:r w:rsidR="002A38A8" w:rsidRPr="00EC184A">
        <w:rPr>
          <w:rStyle w:val="FootnoteReference"/>
        </w:rPr>
        <w:footnoteReference w:id="125"/>
      </w:r>
    </w:p>
    <w:p w:rsidR="002A38A8" w:rsidRDefault="002A38A8" w:rsidP="00B46B73">
      <w:pPr>
        <w:spacing w:line="480" w:lineRule="auto"/>
        <w:ind w:firstLine="720"/>
        <w:jc w:val="both"/>
      </w:pPr>
      <w:r>
        <w:t xml:space="preserve">Through its own publications, the </w:t>
      </w:r>
      <w:r>
        <w:rPr>
          <w:i/>
        </w:rPr>
        <w:t xml:space="preserve">Nachrichtenbüro </w:t>
      </w:r>
      <w:r>
        <w:t xml:space="preserve">presented a wealth of literature on the necessity of a new German navy. In the fall of 1897 the agency distributed its fact-filled </w:t>
      </w:r>
      <w:r w:rsidR="008861B2">
        <w:rPr>
          <w:i/>
        </w:rPr>
        <w:t>Die Seeinteressen des Deutschen Reichs</w:t>
      </w:r>
      <w:r w:rsidR="008861B2">
        <w:t xml:space="preserve"> (</w:t>
      </w:r>
      <w:r w:rsidRPr="008861B2">
        <w:rPr>
          <w:i/>
        </w:rPr>
        <w:t>The Sea Interests of the German Empire</w:t>
      </w:r>
      <w:r w:rsidR="008861B2">
        <w:rPr>
          <w:i/>
        </w:rPr>
        <w:t>)</w:t>
      </w:r>
      <w:r w:rsidR="00FE57B4">
        <w:t xml:space="preserve"> through the Imperial Navy Office</w:t>
      </w:r>
      <w:r>
        <w:t>, which emphasized the importance</w:t>
      </w:r>
      <w:r w:rsidR="002B1A50">
        <w:t xml:space="preserve"> of naval expansion to readers—Reichstag deputies among them—through </w:t>
      </w:r>
      <w:r>
        <w:t>its analysis of German demographic, economic, and industrial growth</w:t>
      </w:r>
      <w:r w:rsidR="00B46B73">
        <w:t>.</w:t>
      </w:r>
      <w:r w:rsidR="00FE57B4" w:rsidRPr="00EC184A">
        <w:rPr>
          <w:rStyle w:val="FootnoteReference"/>
        </w:rPr>
        <w:footnoteReference w:id="126"/>
      </w:r>
      <w:r w:rsidR="00B46B73">
        <w:t xml:space="preserve"> It further examined </w:t>
      </w:r>
      <w:r>
        <w:t xml:space="preserve">the </w:t>
      </w:r>
      <w:r w:rsidR="00FA2165">
        <w:t xml:space="preserve">German </w:t>
      </w:r>
      <w:r>
        <w:t>navy’s present stagnation and decline</w:t>
      </w:r>
      <w:r w:rsidR="002B1A50">
        <w:t xml:space="preserve"> relative to </w:t>
      </w:r>
      <w:r w:rsidR="00B46B73">
        <w:t>those of foreign powers</w:t>
      </w:r>
      <w:r>
        <w:t>. More regular publications soon followed. The</w:t>
      </w:r>
      <w:r w:rsidR="00DC3CE8">
        <w:t xml:space="preserve"> IN</w:t>
      </w:r>
      <w:r w:rsidR="00735EBA">
        <w:t xml:space="preserve">O </w:t>
      </w:r>
      <w:r>
        <w:t xml:space="preserve">began publishing a monthly periodical titled the </w:t>
      </w:r>
      <w:r>
        <w:rPr>
          <w:i/>
        </w:rPr>
        <w:t>Marinerundschau</w:t>
      </w:r>
      <w:r>
        <w:t xml:space="preserve">, as well as an annual </w:t>
      </w:r>
      <w:r w:rsidR="008861B2">
        <w:rPr>
          <w:i/>
        </w:rPr>
        <w:t>Jahrbücher für Deutschlands Seeinteressen (</w:t>
      </w:r>
      <w:r>
        <w:rPr>
          <w:i/>
        </w:rPr>
        <w:t>Yearbook for German Naval Interests</w:t>
      </w:r>
      <w:r w:rsidR="008861B2">
        <w:rPr>
          <w:i/>
        </w:rPr>
        <w:t>)</w:t>
      </w:r>
      <w:r>
        <w:t xml:space="preserve">, </w:t>
      </w:r>
      <w:r w:rsidR="00B46B73">
        <w:t>put out</w:t>
      </w:r>
      <w:r w:rsidR="00FA2165">
        <w:t xml:space="preserve"> under</w:t>
      </w:r>
      <w:r>
        <w:t xml:space="preserve"> the agency’s pen</w:t>
      </w:r>
      <w:r w:rsidR="00FA2165">
        <w:t xml:space="preserve"> </w:t>
      </w:r>
      <w:r>
        <w:t xml:space="preserve">name </w:t>
      </w:r>
      <w:r>
        <w:rPr>
          <w:i/>
        </w:rPr>
        <w:t>Nauticus</w:t>
      </w:r>
      <w:r>
        <w:t>. The two publications contained information on such topics as the development of foreign navies and the historical importance of naval strength, as well as scholarly work on naval necessity from economic, social, and military stances.</w:t>
      </w:r>
      <w:r w:rsidRPr="00EC184A">
        <w:rPr>
          <w:rStyle w:val="FootnoteReference"/>
        </w:rPr>
        <w:footnoteReference w:id="127"/>
      </w:r>
      <w:r>
        <w:t xml:space="preserve"> In the spring of 1900 as the debate on the Second </w:t>
      </w:r>
      <w:r w:rsidR="00FA2165">
        <w:t>Navy</w:t>
      </w:r>
      <w:r>
        <w:t xml:space="preserve"> Law reached its climax, </w:t>
      </w:r>
      <w:r>
        <w:rPr>
          <w:i/>
        </w:rPr>
        <w:t>Nauticus</w:t>
      </w:r>
      <w:r>
        <w:t xml:space="preserve"> wrote </w:t>
      </w:r>
      <w:r>
        <w:rPr>
          <w:i/>
        </w:rPr>
        <w:t>Beiträge zur Flotten-Novelle</w:t>
      </w:r>
      <w:r>
        <w:t xml:space="preserve"> to </w:t>
      </w:r>
      <w:r w:rsidR="00FA2165">
        <w:t>drive</w:t>
      </w:r>
      <w:r>
        <w:t xml:space="preserve"> home the importance of further expansion. With the dramatic </w:t>
      </w:r>
      <w:r>
        <w:lastRenderedPageBreak/>
        <w:t xml:space="preserve">declaration that “the decision before the German Empire [the passage of the Second </w:t>
      </w:r>
      <w:r w:rsidR="00FA2165">
        <w:t>Navy</w:t>
      </w:r>
      <w:r>
        <w:t xml:space="preserve"> Law] is the greatest decision in the nation’s recent history,” the work tackles the same issues that had regularly been called to attention. It addresses Germany’s growing economic and military interests around the world, its demographic and industrial booms, and the history of </w:t>
      </w:r>
      <w:r w:rsidR="00735EBA">
        <w:t>the German</w:t>
      </w:r>
      <w:r>
        <w:t xml:space="preserve"> navy, while simultaneously underscoring </w:t>
      </w:r>
      <w:r w:rsidR="00735EBA">
        <w:t>the empire’s</w:t>
      </w:r>
      <w:r>
        <w:t xml:space="preserve"> seeming inability to protect those interests overseas and in home waters.</w:t>
      </w:r>
      <w:r w:rsidRPr="00EC184A">
        <w:rPr>
          <w:rStyle w:val="FootnoteReference"/>
        </w:rPr>
        <w:footnoteReference w:id="128"/>
      </w:r>
      <w:r>
        <w:t xml:space="preserve"> </w:t>
      </w:r>
    </w:p>
    <w:p w:rsidR="002A38A8" w:rsidRDefault="00FA2165" w:rsidP="002A38A8">
      <w:pPr>
        <w:tabs>
          <w:tab w:val="left" w:pos="720"/>
        </w:tabs>
        <w:spacing w:line="480" w:lineRule="auto"/>
        <w:jc w:val="both"/>
      </w:pPr>
      <w:r>
        <w:tab/>
        <w:t>Tirpitz and the IN</w:t>
      </w:r>
      <w:r w:rsidR="00735EBA">
        <w:t>O</w:t>
      </w:r>
      <w:r w:rsidR="002A38A8">
        <w:t xml:space="preserve"> took hold of print media and daily newspapers as another major means of publicizing the naval debate. As Jürg Meyer asserts, the Admiral was the first German politician who recognized and utilize</w:t>
      </w:r>
      <w:r w:rsidR="00735EBA">
        <w:t>d the fundamental power of the p</w:t>
      </w:r>
      <w:r w:rsidR="002A38A8">
        <w:t xml:space="preserve">ress as a means of communicating a particular agenda or national issue with the masses. Among his key weapons in this arena was the </w:t>
      </w:r>
      <w:r w:rsidR="002A38A8">
        <w:rPr>
          <w:i/>
        </w:rPr>
        <w:t>Norddeutsche Allegemeine Zeitung</w:t>
      </w:r>
      <w:r>
        <w:rPr>
          <w:i/>
        </w:rPr>
        <w:t xml:space="preserve"> </w:t>
      </w:r>
      <w:r>
        <w:t>(</w:t>
      </w:r>
      <w:r>
        <w:rPr>
          <w:i/>
        </w:rPr>
        <w:t>NAZ</w:t>
      </w:r>
      <w:r>
        <w:t>)</w:t>
      </w:r>
      <w:r w:rsidR="002A38A8">
        <w:t>, a northern-based, politica</w:t>
      </w:r>
      <w:r>
        <w:t>lly conservative and government-</w:t>
      </w:r>
      <w:r w:rsidR="002A38A8">
        <w:t xml:space="preserve">friendly paper in which the Admiral himself published. It utilized much of the </w:t>
      </w:r>
      <w:r>
        <w:t>IN</w:t>
      </w:r>
      <w:r w:rsidR="00606DFC">
        <w:t>O’s</w:t>
      </w:r>
      <w:r w:rsidR="002A38A8">
        <w:t xml:space="preserve"> scholarly and academic ammunition, while also servi</w:t>
      </w:r>
      <w:r w:rsidR="00F4235C">
        <w:t>ng as a facilitat</w:t>
      </w:r>
      <w:r w:rsidR="002A38A8">
        <w:t xml:space="preserve">or between the </w:t>
      </w:r>
      <w:r w:rsidR="00606DFC">
        <w:t>I</w:t>
      </w:r>
      <w:r>
        <w:t>N</w:t>
      </w:r>
      <w:r w:rsidR="00606DFC">
        <w:t>O</w:t>
      </w:r>
      <w:r w:rsidR="002A38A8">
        <w:t xml:space="preserve"> and other northern Conservative and National Liberal publications like the </w:t>
      </w:r>
      <w:r w:rsidR="002A38A8">
        <w:rPr>
          <w:i/>
        </w:rPr>
        <w:t>Post</w:t>
      </w:r>
      <w:r w:rsidR="002A38A8">
        <w:t xml:space="preserve">, the </w:t>
      </w:r>
      <w:r w:rsidR="002A38A8">
        <w:rPr>
          <w:i/>
        </w:rPr>
        <w:t>Kölnische Zeitung</w:t>
      </w:r>
      <w:r w:rsidR="002A38A8">
        <w:t xml:space="preserve">, the </w:t>
      </w:r>
      <w:r w:rsidR="002A38A8">
        <w:rPr>
          <w:i/>
        </w:rPr>
        <w:t>Berliner Correspondenz</w:t>
      </w:r>
      <w:r w:rsidR="002A38A8">
        <w:t xml:space="preserve">, and the </w:t>
      </w:r>
      <w:r w:rsidR="002A38A8">
        <w:rPr>
          <w:i/>
        </w:rPr>
        <w:t>Nationalliberale Correspondenz</w:t>
      </w:r>
      <w:r w:rsidR="002A38A8">
        <w:t xml:space="preserve">. Led by the </w:t>
      </w:r>
      <w:r w:rsidR="002A38A8">
        <w:rPr>
          <w:i/>
        </w:rPr>
        <w:t>NAZ</w:t>
      </w:r>
      <w:r w:rsidR="002A38A8">
        <w:t xml:space="preserve">, these papers waged a printed war against the navy’s Socialist and Left Liberal detractors, like Eugen Richter and his </w:t>
      </w:r>
      <w:r w:rsidR="002A38A8">
        <w:rPr>
          <w:i/>
        </w:rPr>
        <w:t>Freisinnige Zeitung</w:t>
      </w:r>
      <w:r w:rsidR="002A38A8">
        <w:t>.</w:t>
      </w:r>
      <w:r w:rsidR="002A38A8" w:rsidRPr="00EC184A">
        <w:rPr>
          <w:rStyle w:val="FootnoteReference"/>
        </w:rPr>
        <w:footnoteReference w:id="129"/>
      </w:r>
      <w:r w:rsidR="002A38A8">
        <w:t xml:space="preserve"> The battl</w:t>
      </w:r>
      <w:r>
        <w:t>e in the press also raged in</w:t>
      </w:r>
      <w:r w:rsidR="002A38A8">
        <w:t xml:space="preserve"> southern Germany. Since the summer of 1897, several leading southern and often pro-industry papers, including </w:t>
      </w:r>
      <w:r w:rsidR="00510F87">
        <w:t>several</w:t>
      </w:r>
      <w:r w:rsidR="002A38A8">
        <w:t xml:space="preserve"> in Karlsruhe, Stuttgart, Nuremberg, and Munich, had joined Tirpitz’s cause, while others, especially Bavarian Centre-oriented publications like the </w:t>
      </w:r>
      <w:r w:rsidR="002A38A8">
        <w:rPr>
          <w:i/>
        </w:rPr>
        <w:t>Augsburger Postzeitung</w:t>
      </w:r>
      <w:r w:rsidR="002A38A8">
        <w:t>, took up opposition. In th</w:t>
      </w:r>
      <w:r w:rsidR="00510F87">
        <w:t>is arena, the National Liberals’</w:t>
      </w:r>
      <w:r w:rsidR="002A38A8">
        <w:t xml:space="preserve"> </w:t>
      </w:r>
      <w:r w:rsidR="002A38A8">
        <w:rPr>
          <w:i/>
        </w:rPr>
        <w:t>Münchener Allgemeine Zeitung</w:t>
      </w:r>
      <w:r w:rsidR="002A38A8">
        <w:t xml:space="preserve"> became the </w:t>
      </w:r>
      <w:r w:rsidR="002A38A8">
        <w:rPr>
          <w:i/>
        </w:rPr>
        <w:t>Nachrichtenbüro</w:t>
      </w:r>
      <w:r w:rsidR="002A38A8">
        <w:t xml:space="preserve">’s strongest arm. During the debates on both the </w:t>
      </w:r>
      <w:r w:rsidR="002A38A8">
        <w:lastRenderedPageBreak/>
        <w:t xml:space="preserve">First and Second </w:t>
      </w:r>
      <w:r w:rsidR="006652C7">
        <w:t>Navy</w:t>
      </w:r>
      <w:r w:rsidR="002A38A8">
        <w:t xml:space="preserve"> Laws, it compiled and presented the strongest pro-navy arguments from leading politicians, professors, economic experts, and military writers around the country, including a six-part special publication during the winter of 1899-1900</w:t>
      </w:r>
      <w:r w:rsidR="00D03578">
        <w:t xml:space="preserve"> that utilized, in even more depth, all the same avenues of attack in favor of further development</w:t>
      </w:r>
      <w:r w:rsidR="002A38A8">
        <w:t>.</w:t>
      </w:r>
      <w:r w:rsidR="002A38A8" w:rsidRPr="00EC184A">
        <w:rPr>
          <w:rStyle w:val="FootnoteReference"/>
        </w:rPr>
        <w:footnoteReference w:id="130"/>
      </w:r>
      <w:r w:rsidR="002A38A8">
        <w:t xml:space="preserve"> </w:t>
      </w:r>
    </w:p>
    <w:p w:rsidR="002F0937" w:rsidRDefault="002A38A8" w:rsidP="002A38A8">
      <w:pPr>
        <w:tabs>
          <w:tab w:val="left" w:pos="720"/>
        </w:tabs>
        <w:spacing w:line="480" w:lineRule="auto"/>
        <w:jc w:val="both"/>
      </w:pPr>
      <w:r>
        <w:tab/>
        <w:t xml:space="preserve">The </w:t>
      </w:r>
      <w:r w:rsidRPr="00AD6FC0">
        <w:rPr>
          <w:i/>
        </w:rPr>
        <w:t>Nachrichtenbüro’s</w:t>
      </w:r>
      <w:r>
        <w:t xml:space="preserve"> </w:t>
      </w:r>
      <w:r w:rsidRPr="00AD6FC0">
        <w:t>operations</w:t>
      </w:r>
      <w:r>
        <w:t xml:space="preserve"> within the press made possible naval agitation among the literate Germans, and its support for navy-friendly academics, politicians, and other prominent facilitators of debate provided it with an additional level of legitimacy in </w:t>
      </w:r>
      <w:r w:rsidR="00606DFC">
        <w:t xml:space="preserve">society, </w:t>
      </w:r>
      <w:r w:rsidR="00D03578">
        <w:t xml:space="preserve">and </w:t>
      </w:r>
      <w:r w:rsidR="00606DFC">
        <w:t xml:space="preserve">particularly among the bourgeoisie. </w:t>
      </w:r>
      <w:r>
        <w:t>It further encouraged public participation in the naval expansion discussion by supporting a number of pro-navy and pro-expansionist associations, such as the Pan-German League and the Colonial Society, that had begun forming during the previous decade as “populist pressure groups.”</w:t>
      </w:r>
      <w:r w:rsidRPr="00EC184A">
        <w:rPr>
          <w:rStyle w:val="FootnoteReference"/>
        </w:rPr>
        <w:footnoteReference w:id="131"/>
      </w:r>
      <w:r>
        <w:t xml:space="preserve"> In April 1898, in the wake of the First Navy Bill, the </w:t>
      </w:r>
      <w:r w:rsidR="00D03578">
        <w:t>I</w:t>
      </w:r>
      <w:r w:rsidR="00FA2165">
        <w:t>N</w:t>
      </w:r>
      <w:r w:rsidR="00D03578">
        <w:t>O</w:t>
      </w:r>
      <w:r>
        <w:t xml:space="preserve"> supported the establishment of another such group by German industrialists, the </w:t>
      </w:r>
      <w:r>
        <w:rPr>
          <w:i/>
        </w:rPr>
        <w:t xml:space="preserve">Deutscher </w:t>
      </w:r>
      <w:r w:rsidRPr="00AD168A">
        <w:rPr>
          <w:i/>
        </w:rPr>
        <w:t>Flottenverein</w:t>
      </w:r>
      <w:r>
        <w:t xml:space="preserve">, or the German Navy League, </w:t>
      </w:r>
      <w:r w:rsidRPr="00AD168A">
        <w:t>which</w:t>
      </w:r>
      <w:r>
        <w:t xml:space="preserve"> sought to further generate pressure on Reichstag officials for continued naval development. To aid the passage of the First and Second </w:t>
      </w:r>
      <w:r w:rsidR="006652C7">
        <w:t>Navy</w:t>
      </w:r>
      <w:r>
        <w:t xml:space="preserve"> Laws, the </w:t>
      </w:r>
      <w:r>
        <w:rPr>
          <w:i/>
        </w:rPr>
        <w:t>Flottenverein</w:t>
      </w:r>
      <w:r>
        <w:t xml:space="preserve"> published and circulated pamphlets from the Imperial Navy Office with government funds, held government-subsidized rallies, and recruited naval reserve officers for </w:t>
      </w:r>
      <w:r w:rsidR="00510F87">
        <w:t>said</w:t>
      </w:r>
      <w:r>
        <w:t xml:space="preserve"> public speaking events.</w:t>
      </w:r>
      <w:r w:rsidRPr="00EC184A">
        <w:rPr>
          <w:rStyle w:val="FootnoteReference"/>
        </w:rPr>
        <w:footnoteReference w:id="132"/>
      </w:r>
      <w:r>
        <w:t xml:space="preserve"> The organization quickly became one of the largest and fastest growing of such </w:t>
      </w:r>
      <w:r w:rsidR="002136B9">
        <w:t>interest groups</w:t>
      </w:r>
      <w:r>
        <w:t>. By 1899 its membership stood at 100,000, and in 1900 it had reached 250,000.</w:t>
      </w:r>
      <w:r w:rsidRPr="00AD12F4">
        <w:rPr>
          <w:rStyle w:val="FootnoteReference"/>
        </w:rPr>
        <w:t xml:space="preserve"> </w:t>
      </w:r>
      <w:r w:rsidRPr="00EC184A">
        <w:rPr>
          <w:rStyle w:val="FootnoteReference"/>
        </w:rPr>
        <w:footnoteReference w:id="133"/>
      </w:r>
      <w:r>
        <w:t xml:space="preserve"> In the wake of the Second </w:t>
      </w:r>
      <w:r w:rsidR="006652C7">
        <w:t>Navy</w:t>
      </w:r>
      <w:r>
        <w:t xml:space="preserve"> Law, its ranks continued </w:t>
      </w:r>
      <w:r>
        <w:lastRenderedPageBreak/>
        <w:t>to grow to 1,000,000, with 330,000 paying members and 770,000 affiliated through other organizations.</w:t>
      </w:r>
      <w:r w:rsidRPr="00EC184A">
        <w:rPr>
          <w:rStyle w:val="FootnoteReference"/>
        </w:rPr>
        <w:footnoteReference w:id="134"/>
      </w:r>
      <w:r>
        <w:t xml:space="preserve"> </w:t>
      </w:r>
    </w:p>
    <w:p w:rsidR="00287C69" w:rsidRDefault="002F0937" w:rsidP="00AC305B">
      <w:pPr>
        <w:tabs>
          <w:tab w:val="left" w:pos="720"/>
        </w:tabs>
        <w:spacing w:line="480" w:lineRule="auto"/>
        <w:jc w:val="both"/>
      </w:pPr>
      <w:r>
        <w:tab/>
      </w:r>
      <w:r w:rsidR="002A38A8">
        <w:t>Although recent scholarship shows that these groups were limited in their effectiveness, their rapid development contribute</w:t>
      </w:r>
      <w:r w:rsidR="00FA2165">
        <w:t>d</w:t>
      </w:r>
      <w:r w:rsidR="002A38A8">
        <w:t xml:space="preserve"> to one major point: from the beginning of his time in the Imperial Navy Office, Tirpitz sought to foster enough popular support to legitimize fleet expansion as both a national necessity and a national desire.</w:t>
      </w:r>
      <w:r w:rsidR="002A38A8" w:rsidRPr="00EC184A">
        <w:rPr>
          <w:rStyle w:val="FootnoteReference"/>
        </w:rPr>
        <w:footnoteReference w:id="135"/>
      </w:r>
      <w:r w:rsidR="002136B9">
        <w:t xml:space="preserve"> He made use of every possible avenue of approach to counter the arguments of his detractors</w:t>
      </w:r>
      <w:r w:rsidR="006A5629">
        <w:t xml:space="preserve">, win the confidence of wavering politicians, </w:t>
      </w:r>
      <w:r w:rsidR="003B30AE">
        <w:t xml:space="preserve">and simply promote the idea of a navy as a symbol of German unity and progress. Specialized interest groups like the </w:t>
      </w:r>
      <w:r w:rsidR="003B30AE">
        <w:rPr>
          <w:i/>
        </w:rPr>
        <w:t>Flottenverein</w:t>
      </w:r>
      <w:r w:rsidR="003B30AE">
        <w:t xml:space="preserve"> were </w:t>
      </w:r>
      <w:r w:rsidR="00494ABC">
        <w:t>just</w:t>
      </w:r>
      <w:r w:rsidR="003B30AE">
        <w:t xml:space="preserve"> an additional mean</w:t>
      </w:r>
      <w:r w:rsidR="00FA2165">
        <w:t>s</w:t>
      </w:r>
      <w:r w:rsidR="003B30AE">
        <w:t xml:space="preserve"> of conveying popular interest in naval expansion. His utilization of major press organs, prominent academics and politicians, and the </w:t>
      </w:r>
      <w:r w:rsidR="003B30AE">
        <w:rPr>
          <w:i/>
        </w:rPr>
        <w:t>Nachrichtenbüro</w:t>
      </w:r>
      <w:r w:rsidR="003B30AE">
        <w:t xml:space="preserve">’s own publications all </w:t>
      </w:r>
      <w:r w:rsidR="00275289">
        <w:t xml:space="preserve">further </w:t>
      </w:r>
      <w:r w:rsidR="003B30AE">
        <w:t xml:space="preserve">underscore </w:t>
      </w:r>
      <w:r w:rsidR="00275289">
        <w:t>the efforts of both Tirpitz and the government to create a populace not only receptive to naval development, but demanding of it.</w:t>
      </w:r>
      <w:r w:rsidR="00AC305B">
        <w:t xml:space="preserve"> Indeed, </w:t>
      </w:r>
      <w:r w:rsidR="00494ABC">
        <w:t>the Admiral</w:t>
      </w:r>
      <w:r w:rsidR="00AC305B">
        <w:t xml:space="preserve"> won the necessary support for the Second Navy Law, though he and </w:t>
      </w:r>
      <w:r w:rsidR="00510F87">
        <w:t>those at the</w:t>
      </w:r>
      <w:r w:rsidR="00AC305B">
        <w:t xml:space="preserve"> </w:t>
      </w:r>
      <w:r w:rsidR="00AC305B">
        <w:rPr>
          <w:i/>
        </w:rPr>
        <w:t>Nachrichtenbüro</w:t>
      </w:r>
      <w:r w:rsidR="00AC305B">
        <w:t xml:space="preserve"> recognized that</w:t>
      </w:r>
      <w:r w:rsidR="00275289">
        <w:t xml:space="preserve"> “the masses have no</w:t>
      </w:r>
      <w:r w:rsidR="00AC305B">
        <w:t>t yet been seized by [the navy].</w:t>
      </w:r>
      <w:r w:rsidR="00275289">
        <w:t>"</w:t>
      </w:r>
      <w:r w:rsidR="00275289" w:rsidRPr="00EC184A">
        <w:rPr>
          <w:rStyle w:val="FootnoteReference"/>
        </w:rPr>
        <w:footnoteReference w:id="136"/>
      </w:r>
      <w:r w:rsidR="00161F2C">
        <w:t xml:space="preserve"> Still,</w:t>
      </w:r>
      <w:r w:rsidR="00AC305B">
        <w:t xml:space="preserve"> he won the political support necessary for the Second Navy Law, and as </w:t>
      </w:r>
      <w:r w:rsidR="00161F2C">
        <w:t>his</w:t>
      </w:r>
      <w:r w:rsidR="00AC305B">
        <w:t xml:space="preserve"> vision for fleet </w:t>
      </w:r>
      <w:r w:rsidR="00494ABC">
        <w:t>development</w:t>
      </w:r>
      <w:r w:rsidR="00AC305B">
        <w:t xml:space="preserve"> went beyond that provided by legislation of 1900, </w:t>
      </w:r>
      <w:r w:rsidR="00161F2C">
        <w:t>Tirpitz</w:t>
      </w:r>
      <w:r w:rsidR="00AC305B">
        <w:t xml:space="preserve"> would continue to press upon the populace the importance of Germany’s navy. His initial efforts from 1897 to 1900 </w:t>
      </w:r>
      <w:r w:rsidR="00161F2C">
        <w:t>only began</w:t>
      </w:r>
      <w:r w:rsidR="00AC305B">
        <w:t xml:space="preserve"> that process</w:t>
      </w:r>
      <w:r w:rsidR="00161F2C">
        <w:t xml:space="preserve">, </w:t>
      </w:r>
      <w:r w:rsidR="002C25FE">
        <w:t>and</w:t>
      </w:r>
      <w:r w:rsidR="00AC305B">
        <w:t xml:space="preserve"> still helped</w:t>
      </w:r>
      <w:r w:rsidR="002C25FE">
        <w:t xml:space="preserve"> to</w:t>
      </w:r>
      <w:r w:rsidR="00AC305B">
        <w:t xml:space="preserve"> create an environment </w:t>
      </w:r>
      <w:r w:rsidR="00CD04E8">
        <w:t>receptive to his second pivotal effort at naval expansion.</w:t>
      </w:r>
    </w:p>
    <w:p w:rsidR="000D4A6C" w:rsidRDefault="00287C69" w:rsidP="00FF6A6A">
      <w:pPr>
        <w:tabs>
          <w:tab w:val="left" w:pos="720"/>
        </w:tabs>
        <w:spacing w:line="480" w:lineRule="auto"/>
        <w:jc w:val="both"/>
      </w:pPr>
      <w:r>
        <w:lastRenderedPageBreak/>
        <w:tab/>
      </w:r>
      <w:r w:rsidR="00756C79">
        <w:t xml:space="preserve">Behind Tirpitz and his efforts stood </w:t>
      </w:r>
      <w:r w:rsidR="00510F87">
        <w:t>the Foreign Secretary Bernhard von Bülow</w:t>
      </w:r>
      <w:r w:rsidR="00756C79">
        <w:t>.</w:t>
      </w:r>
      <w:r w:rsidR="009D029A">
        <w:t xml:space="preserve"> </w:t>
      </w:r>
      <w:r w:rsidR="00325A3D">
        <w:t>After</w:t>
      </w:r>
      <w:r w:rsidR="009D029A">
        <w:t xml:space="preserve"> Tirpitz</w:t>
      </w:r>
      <w:r w:rsidR="00325A3D">
        <w:t>, who</w:t>
      </w:r>
      <w:r w:rsidR="009D029A">
        <w:t xml:space="preserve"> provided the major strategic and technical details of naval expansion, Bülow </w:t>
      </w:r>
      <w:r w:rsidR="00325A3D">
        <w:t xml:space="preserve">became the lead government spokesman for the Second Navy Law. He worked assiduously to stress the importance of Tirpitz’s proposals on German aims of </w:t>
      </w:r>
      <w:r w:rsidR="00325A3D">
        <w:rPr>
          <w:i/>
        </w:rPr>
        <w:t>Weltpolitik</w:t>
      </w:r>
      <w:r w:rsidR="00161F2C">
        <w:t>—those “tasks confronting us in view of the development of our industry, trade, and shipping”—that had made the fleet fundamental to the empire’s very survival.</w:t>
      </w:r>
      <w:r w:rsidR="00936156" w:rsidRPr="00EC184A">
        <w:rPr>
          <w:rStyle w:val="FootnoteReference"/>
        </w:rPr>
        <w:footnoteReference w:id="137"/>
      </w:r>
      <w:r w:rsidR="00936156">
        <w:t xml:space="preserve"> Bülow </w:t>
      </w:r>
      <w:r w:rsidR="00FF6A6A">
        <w:t>championed</w:t>
      </w:r>
      <w:r w:rsidR="00936156">
        <w:t xml:space="preserve"> nava</w:t>
      </w:r>
      <w:r w:rsidR="00FF6A6A">
        <w:t>l expansion as a national issue that was</w:t>
      </w:r>
      <w:r w:rsidR="00936156">
        <w:t xml:space="preserve"> beholden to no one particular </w:t>
      </w:r>
      <w:r w:rsidR="00161F2C">
        <w:t>political party, economic class, or religious group</w:t>
      </w:r>
      <w:r w:rsidR="00FF6A6A">
        <w:t xml:space="preserve">. He asserted to leading Centre deputies that the navy </w:t>
      </w:r>
      <w:r w:rsidR="00510F87">
        <w:t>was not a tool to pursue</w:t>
      </w:r>
      <w:r w:rsidR="00FF6A6A">
        <w:t xml:space="preserve"> “Protestant </w:t>
      </w:r>
      <w:r w:rsidR="00FF6A6A">
        <w:rPr>
          <w:i/>
        </w:rPr>
        <w:t>Weltpolitik</w:t>
      </w:r>
      <w:r w:rsidR="00FF6A6A">
        <w:t xml:space="preserve">,” but rather </w:t>
      </w:r>
      <w:r w:rsidR="00510F87">
        <w:t>to further</w:t>
      </w:r>
      <w:r w:rsidR="00FF6A6A">
        <w:t xml:space="preserve"> the interests of Germany as a whole.</w:t>
      </w:r>
      <w:r w:rsidR="00435F82" w:rsidRPr="00EC184A">
        <w:rPr>
          <w:rStyle w:val="FootnoteReference"/>
        </w:rPr>
        <w:footnoteReference w:id="138"/>
      </w:r>
    </w:p>
    <w:p w:rsidR="00FF6A6A" w:rsidRDefault="000D4A6C" w:rsidP="00FF6A6A">
      <w:pPr>
        <w:tabs>
          <w:tab w:val="left" w:pos="720"/>
        </w:tabs>
        <w:spacing w:line="480" w:lineRule="auto"/>
        <w:jc w:val="both"/>
      </w:pPr>
      <w:r>
        <w:tab/>
      </w:r>
      <w:r w:rsidR="00977393">
        <w:t xml:space="preserve">In summarizing </w:t>
      </w:r>
      <w:r w:rsidR="00FA2165">
        <w:t>the</w:t>
      </w:r>
      <w:r w:rsidR="00977393">
        <w:t xml:space="preserve"> factors </w:t>
      </w:r>
      <w:r w:rsidR="00196743">
        <w:t xml:space="preserve">that </w:t>
      </w:r>
      <w:r w:rsidR="000E7E00">
        <w:t>principally led to the Second Navy Law’s passage, author Paul Kennedy declares that Bülow provided a major contribution by “[throwing] all his energy into the task of converting the waverers with two powerful speeches during the secret debates of the Budget Commission</w:t>
      </w:r>
      <w:r w:rsidR="00316A7B">
        <w:t>.” Bülow asserted that:</w:t>
      </w:r>
    </w:p>
    <w:p w:rsidR="000E7E00" w:rsidRDefault="000E7E00" w:rsidP="000E7E00">
      <w:pPr>
        <w:tabs>
          <w:tab w:val="left" w:pos="720"/>
        </w:tabs>
        <w:ind w:left="810" w:right="720"/>
        <w:jc w:val="both"/>
        <w:rPr>
          <w:sz w:val="20"/>
          <w:szCs w:val="20"/>
        </w:rPr>
      </w:pPr>
      <w:r w:rsidRPr="000E7E00">
        <w:rPr>
          <w:sz w:val="20"/>
          <w:szCs w:val="20"/>
        </w:rPr>
        <w:t>The purpose of the Navy Law is above all to secure peace for us against England. As things now lie, a clash with England would be more dangerous and disadvantageous than any other eventuality, since England could damage us more than any other power on account of our present naval inferiority while on the other hand we would find it difficult to obtain allies for a conflict against England since we are so weak at sea…[Through] the destruction of our great and ever-growing overseas interests, the seizure of our trade and damaging of our export industry, would throw back our economic and political development for generations and have an effect similar to the 30</w:t>
      </w:r>
      <w:r w:rsidRPr="000E7E00">
        <w:rPr>
          <w:sz w:val="20"/>
          <w:szCs w:val="20"/>
          <w:vertAlign w:val="superscript"/>
        </w:rPr>
        <w:t xml:space="preserve"> </w:t>
      </w:r>
      <w:r w:rsidRPr="000E7E00">
        <w:rPr>
          <w:sz w:val="20"/>
          <w:szCs w:val="20"/>
        </w:rPr>
        <w:t>Year’s War.</w:t>
      </w:r>
      <w:r w:rsidRPr="00EC184A">
        <w:rPr>
          <w:rStyle w:val="FootnoteReference"/>
        </w:rPr>
        <w:footnoteReference w:id="139"/>
      </w:r>
    </w:p>
    <w:p w:rsidR="009466FD" w:rsidRPr="000E7E00" w:rsidRDefault="009466FD" w:rsidP="000E7E00">
      <w:pPr>
        <w:tabs>
          <w:tab w:val="left" w:pos="720"/>
        </w:tabs>
        <w:ind w:left="810" w:right="720"/>
        <w:jc w:val="both"/>
        <w:rPr>
          <w:sz w:val="20"/>
          <w:szCs w:val="20"/>
        </w:rPr>
      </w:pPr>
    </w:p>
    <w:p w:rsidR="0053650F" w:rsidRPr="00F201F0" w:rsidRDefault="00316A7B" w:rsidP="00F201F0">
      <w:pPr>
        <w:spacing w:line="480" w:lineRule="auto"/>
        <w:jc w:val="both"/>
      </w:pPr>
      <w:r>
        <w:t xml:space="preserve">With his arguments, he </w:t>
      </w:r>
      <w:r w:rsidR="009466FD">
        <w:t xml:space="preserve">pressed naval expansion as a life or death situation that </w:t>
      </w:r>
      <w:r>
        <w:t>could not be neglected</w:t>
      </w:r>
      <w:r w:rsidR="009466FD">
        <w:t>. He highlighted the transformation of Ge</w:t>
      </w:r>
      <w:r w:rsidR="008C3336">
        <w:t>rman policy to regard England as</w:t>
      </w:r>
      <w:r w:rsidR="009466FD">
        <w:t xml:space="preserve"> the greatest potential threat to the state, </w:t>
      </w:r>
      <w:r w:rsidR="008C3336">
        <w:t>and thereby</w:t>
      </w:r>
      <w:r w:rsidR="009466FD">
        <w:t xml:space="preserve"> </w:t>
      </w:r>
      <w:r w:rsidR="008C3336">
        <w:t>underscored</w:t>
      </w:r>
      <w:r w:rsidR="009466FD">
        <w:t xml:space="preserve"> the acceptance of Tirpitz’s </w:t>
      </w:r>
      <w:r w:rsidR="009466FD">
        <w:rPr>
          <w:i/>
        </w:rPr>
        <w:t>Risk Theory</w:t>
      </w:r>
      <w:r w:rsidR="009466FD">
        <w:t xml:space="preserve"> within the highest government circles.</w:t>
      </w:r>
      <w:r w:rsidR="00AE4E72">
        <w:t xml:space="preserve"> Reichstag deputies found a unified government behind the Navy and Foreign Secretaries</w:t>
      </w:r>
      <w:r w:rsidR="000D4A6C">
        <w:t xml:space="preserve">, and the Conservatives and Catholics—those whose votes most </w:t>
      </w:r>
      <w:r w:rsidR="000D4A6C">
        <w:lastRenderedPageBreak/>
        <w:t xml:space="preserve">mattered—came to accept the premises for naval expansion, but sought remuneration for agricultural interests. Without him, Tirpitz would have lacked the strong, authoritative, and convincing figure he needed to convey the government’s </w:t>
      </w:r>
      <w:r w:rsidR="0079526A">
        <w:t>solid support</w:t>
      </w:r>
      <w:r w:rsidR="000D4A6C">
        <w:t xml:space="preserve">. </w:t>
      </w:r>
    </w:p>
    <w:p w:rsidR="00325389" w:rsidRDefault="00325389" w:rsidP="00325389">
      <w:pPr>
        <w:spacing w:line="480" w:lineRule="auto"/>
        <w:ind w:firstLine="720"/>
        <w:jc w:val="both"/>
      </w:pPr>
      <w:r>
        <w:t xml:space="preserve">Beyond Tirpitz and Bülow, the Kaiser was the last major figure responsible for transforming the German navy and creating an environment conducive to that transformation. To be sure, the Kaiser created challenges for Tirpitz and naval expansionists. He was overeager, impetuous, and difficult to control. His involvement in the Kruger Telegram affair had revealed an absence of tactfulness and reserve during international confrontations. His response to Conservative opposition to the Canal Bill similarly indicated a hotheaded </w:t>
      </w:r>
      <w:r w:rsidRPr="00891618">
        <w:t>nature</w:t>
      </w:r>
      <w:r>
        <w:t xml:space="preserve">, while Catholics distrusted his melodramatic temperament and his recurring threats to dissolve the Reichstag if it did not vote his way. Social Democrats and Left Liberals disliked his bellicose personality and </w:t>
      </w:r>
      <w:r w:rsidRPr="00891618">
        <w:t>any</w:t>
      </w:r>
      <w:r>
        <w:t xml:space="preserve"> militaristic and imperialistic ideas he conjured and publicly advocated.</w:t>
      </w:r>
    </w:p>
    <w:p w:rsidR="00325389" w:rsidRDefault="00325389" w:rsidP="00325389">
      <w:pPr>
        <w:spacing w:line="480" w:lineRule="auto"/>
        <w:jc w:val="both"/>
      </w:pPr>
      <w:r>
        <w:tab/>
        <w:t>In spite of this, however, Wilhelm II played a crucial role in advancing the issue of naval expansion. It was, argues historian Christopher Clark, “the one area in which Wilhelm appears to have exercised a decisive influence.”</w:t>
      </w:r>
      <w:r w:rsidRPr="00EC184A">
        <w:rPr>
          <w:rStyle w:val="FootnoteReference"/>
        </w:rPr>
        <w:footnoteReference w:id="140"/>
      </w:r>
      <w:r>
        <w:t xml:space="preserve"> The Kaiser publicly stated his intentions to push ahead with naval development:</w:t>
      </w:r>
    </w:p>
    <w:p w:rsidR="00325389" w:rsidRDefault="00325389" w:rsidP="00325389">
      <w:pPr>
        <w:ind w:left="720" w:right="720"/>
        <w:jc w:val="both"/>
        <w:rPr>
          <w:sz w:val="20"/>
          <w:szCs w:val="20"/>
        </w:rPr>
      </w:pPr>
      <w:r w:rsidRPr="00184470">
        <w:rPr>
          <w:sz w:val="20"/>
          <w:szCs w:val="20"/>
        </w:rPr>
        <w:t>As my grandfather labored for his army, so will I, in like manner, unerringly carry on and carry through the work of reorganizing my navy, in order that it may be justified in standing by the side of my land forces, and that by it the German Empire may also be in a position to win the place which it has not yet attained.</w:t>
      </w:r>
      <w:r w:rsidRPr="00EC184A">
        <w:rPr>
          <w:rStyle w:val="FootnoteReference"/>
        </w:rPr>
        <w:footnoteReference w:id="141"/>
      </w:r>
    </w:p>
    <w:p w:rsidR="00325389" w:rsidRPr="00184470" w:rsidRDefault="00325389" w:rsidP="00325389">
      <w:pPr>
        <w:ind w:left="720" w:right="720"/>
        <w:jc w:val="both"/>
        <w:rPr>
          <w:sz w:val="20"/>
          <w:szCs w:val="20"/>
        </w:rPr>
      </w:pPr>
    </w:p>
    <w:p w:rsidR="00325389" w:rsidRPr="00891618" w:rsidRDefault="00325389" w:rsidP="00325389">
      <w:pPr>
        <w:spacing w:line="480" w:lineRule="auto"/>
        <w:jc w:val="both"/>
      </w:pPr>
      <w:r>
        <w:t xml:space="preserve">Wilhelm’s declaration to elevate </w:t>
      </w:r>
      <w:r w:rsidRPr="00891618">
        <w:t xml:space="preserve">the navy to the same level as the army—that most basic institution in Prussian and German society and the one responsible for unification of the empire—was a radical undertaking that clearly evidenced pursuit of World Power status. The Kaiser’s dedication to this task manifested itself in various ways. He was responsible for major </w:t>
      </w:r>
      <w:r w:rsidRPr="00891618">
        <w:lastRenderedPageBreak/>
        <w:t>structural changes to the navy’s hierarchy and chain of command and placed himself at the top of issues of strategy and personnel.</w:t>
      </w:r>
      <w:r w:rsidRPr="00EC184A">
        <w:rPr>
          <w:rStyle w:val="FootnoteReference"/>
        </w:rPr>
        <w:footnoteReference w:id="142"/>
      </w:r>
      <w:r w:rsidRPr="00891618">
        <w:t xml:space="preserve"> He established three new entities to handle all German naval affairs, including the Naval High Command, Imperial Naval Cabinet, and the Imperial Navy Office. The last of these oversaw matters of administration, construction and resourcing, and representing the Navy in parliamentary affairs, and had at its head the State Secretary of the Imperial Navy Office, commonly known as the Navy Secretary. This individual was responsible for directing naval development at the highest levels of government, reported to the Chancellor, and served at the pleasure of Wilhelm himself. If the secretary’s aims, methodologies, and vision for naval strategy and expansion did not satisfy the Kaiser’s own, or if he was ineffectual in the performance of his duties, the Kaiser could dismiss him and appoint someone better suited for the job. When Admiral Hollmann failed to unify the government and win Reichstag approval for his 1897 Navy Bill, he submitted his resignation as Navy Secretary to Wilhelm, thus opening the door for Tirpitz. </w:t>
      </w:r>
    </w:p>
    <w:p w:rsidR="00325389" w:rsidRPr="00891618" w:rsidRDefault="00325389" w:rsidP="00325389">
      <w:pPr>
        <w:spacing w:line="480" w:lineRule="auto"/>
        <w:ind w:firstLine="720"/>
        <w:jc w:val="both"/>
      </w:pPr>
      <w:r w:rsidRPr="00891618">
        <w:t xml:space="preserve">Kaiser Wilhelm’s greatest importance lay in creating an environment that granted Tirpitz the power and freedom of action needed to transform the navy in earnest. As the new Navy Secretary he won Wilhelm’s support for the strategy and fleet composition contained in the First Navy Law, and that bill’s successful passage earned him further goodwill from the monarch. In 1899 the Kaiser acceded to the Admiral’s demands for greater jurisdiction over naval matters by eliminating the Naval High Command, which had served as “the navy’s other decision-making authority.” As a result, numerous authorities and responsibilities previously spread among other naval officials would instead be given to the Navy Secretary himself, so that he could more </w:t>
      </w:r>
      <w:r w:rsidRPr="00891618">
        <w:lastRenderedPageBreak/>
        <w:t>efficiently address fleet expansion at the tactical, strategic, and political levels.</w:t>
      </w:r>
      <w:r w:rsidRPr="00EC184A">
        <w:rPr>
          <w:rStyle w:val="FootnoteReference"/>
        </w:rPr>
        <w:footnoteReference w:id="143"/>
      </w:r>
      <w:r w:rsidRPr="00891618">
        <w:t xml:space="preserve"> The Kaiser gave Tirpitz the freedom of movement necessary to pursue the ambitious Second Navy Law without hindrance from internal dissenters and provided the navy and government with the semblance of a unified body with which to approach the Reichstag. While the Kaiser himself was not responsible for the ultimate success of Tirpitz’s Navy Laws, he provided the crucial framework within which the Navy Secretary could develop naval expansion plans and approach the Reichstag with the necessary power and authority to help secure their passage.</w:t>
      </w:r>
    </w:p>
    <w:p w:rsidR="00325389" w:rsidRDefault="00325389" w:rsidP="00325389">
      <w:pPr>
        <w:spacing w:line="480" w:lineRule="auto"/>
        <w:jc w:val="both"/>
      </w:pPr>
      <w:r w:rsidRPr="00891618">
        <w:tab/>
        <w:t xml:space="preserve">Beyond those factors stemming from the Centre and Conservative parties that contributed to the passage of the Second Navy Law, the government and its leading figures also played a significant role. The development of the </w:t>
      </w:r>
      <w:r w:rsidRPr="00891618">
        <w:rPr>
          <w:i/>
        </w:rPr>
        <w:t>Nachrichtenbüro</w:t>
      </w:r>
      <w:r w:rsidRPr="00891618">
        <w:t xml:space="preserve"> as a propaganda machine by Tirpitz and the INO began bringing the naval question to the German public and mustering support from the bottom up, while figures like Tirpitz, Bülow, and the Kaiser applied pressure from the top down. The importance of these individuals cannot be overstated, as without them the government would not have had the coherent naval mission or, for Tirpitz specifically, the authority to single-handedly drive the navy’s future development. At the same time, the Imperial Navy Office and its </w:t>
      </w:r>
      <w:r w:rsidRPr="00891618">
        <w:rPr>
          <w:i/>
        </w:rPr>
        <w:t>Nachrichtenbüro</w:t>
      </w:r>
      <w:r w:rsidRPr="00891618">
        <w:t xml:space="preserve"> played a smaller role in pushing for wider public support in subsequent years. But these domestic political and governmental factors did not alone ensure the passage of Tirpitz’s bill. International conflicts unfolding since the summer of 1898 provided a stronger and more vivid justification for further naval expansion.</w:t>
      </w:r>
      <w:r>
        <w:t xml:space="preserve"> </w:t>
      </w:r>
    </w:p>
    <w:p w:rsidR="00D75375" w:rsidRDefault="00D75375" w:rsidP="0053650F">
      <w:pPr>
        <w:spacing w:line="480" w:lineRule="auto"/>
        <w:jc w:val="both"/>
      </w:pPr>
    </w:p>
    <w:p w:rsidR="00A6302B" w:rsidRDefault="00333BF7" w:rsidP="00495435">
      <w:pPr>
        <w:spacing w:line="480" w:lineRule="auto"/>
        <w:jc w:val="center"/>
        <w:rPr>
          <w:sz w:val="28"/>
          <w:szCs w:val="28"/>
          <w:u w:val="single"/>
        </w:rPr>
      </w:pPr>
      <w:r w:rsidRPr="00333BF7">
        <w:rPr>
          <w:sz w:val="28"/>
          <w:szCs w:val="28"/>
          <w:u w:val="single"/>
        </w:rPr>
        <w:t>V. International Affairs and the Second Navy Law</w:t>
      </w:r>
    </w:p>
    <w:p w:rsidR="00495435" w:rsidRPr="00333BF7" w:rsidRDefault="00495435" w:rsidP="00495435">
      <w:pPr>
        <w:spacing w:line="480" w:lineRule="auto"/>
        <w:jc w:val="center"/>
        <w:rPr>
          <w:sz w:val="28"/>
          <w:szCs w:val="28"/>
          <w:u w:val="single"/>
        </w:rPr>
      </w:pPr>
    </w:p>
    <w:p w:rsidR="0084309F" w:rsidRDefault="00333BF7" w:rsidP="006F721C">
      <w:pPr>
        <w:spacing w:line="480" w:lineRule="auto"/>
        <w:ind w:firstLine="720"/>
        <w:jc w:val="both"/>
      </w:pPr>
      <w:r>
        <w:lastRenderedPageBreak/>
        <w:t>The</w:t>
      </w:r>
      <w:r w:rsidR="006F721C">
        <w:t xml:space="preserve"> Spanish-American War was the first of three conflicts to occur immediately following the passage of the First Navy Law </w:t>
      </w:r>
      <w:r w:rsidR="00E70A6B">
        <w:t>and</w:t>
      </w:r>
      <w:r w:rsidR="006F721C">
        <w:t xml:space="preserve"> set an emphasis on the power </w:t>
      </w:r>
      <w:r w:rsidR="00E70A6B">
        <w:t>of naval strength in international affairs</w:t>
      </w:r>
      <w:r w:rsidR="006F721C">
        <w:t xml:space="preserve">. </w:t>
      </w:r>
      <w:r w:rsidR="003959CA">
        <w:t xml:space="preserve">German ambitions lay in the Pacific theater, and the specter of the decaying Spanish Empire </w:t>
      </w:r>
      <w:r w:rsidR="00FA2165">
        <w:t>evinced</w:t>
      </w:r>
      <w:r w:rsidR="003959CA">
        <w:t xml:space="preserve"> possibilities of seizing further colonial holdings or naval bases. As Bülow recalls in his memoirs, the German government hoped for and expected a Spanish victory over the United States. </w:t>
      </w:r>
      <w:r w:rsidR="00160CE1">
        <w:t xml:space="preserve">The Kaiser himself entertained notions of acquiring the capital city of Manila—then in open revolt against the Spanish government—should </w:t>
      </w:r>
      <w:r w:rsidR="00241A26">
        <w:t xml:space="preserve">either </w:t>
      </w:r>
      <w:r w:rsidR="00160CE1">
        <w:t xml:space="preserve">Spain defeat its American opponents at sea and accept German assistance </w:t>
      </w:r>
      <w:r w:rsidR="00241A26">
        <w:t>to restore</w:t>
      </w:r>
      <w:r w:rsidR="00160CE1">
        <w:t xml:space="preserve"> order</w:t>
      </w:r>
      <w:r w:rsidR="00E70A6B">
        <w:t>,</w:t>
      </w:r>
      <w:r w:rsidR="00241A26">
        <w:t xml:space="preserve"> or </w:t>
      </w:r>
      <w:r w:rsidR="00E70A6B">
        <w:t xml:space="preserve">should </w:t>
      </w:r>
      <w:r w:rsidR="00241A26">
        <w:t>revolutionaries succeed and leave Manila open to more aggressive German incursions.</w:t>
      </w:r>
      <w:r w:rsidR="00160CE1" w:rsidRPr="00EC184A">
        <w:rPr>
          <w:rStyle w:val="FootnoteReference"/>
        </w:rPr>
        <w:footnoteReference w:id="144"/>
      </w:r>
      <w:r w:rsidR="006343F9">
        <w:t xml:space="preserve"> To capitalize on such an opportunity, and to protect its economic interests in the area, </w:t>
      </w:r>
      <w:r w:rsidR="00047A0D">
        <w:t xml:space="preserve">the government sent the </w:t>
      </w:r>
      <w:r w:rsidR="00E70A6B">
        <w:t xml:space="preserve">navy’s </w:t>
      </w:r>
      <w:r w:rsidR="00047A0D">
        <w:t>foreign-</w:t>
      </w:r>
      <w:r w:rsidR="006343F9">
        <w:t>service squadron to Manila</w:t>
      </w:r>
      <w:r w:rsidR="00047A0D">
        <w:t>. There it came into near confrontation with the United Sta</w:t>
      </w:r>
      <w:r w:rsidR="00A36954">
        <w:t xml:space="preserve">tes Navy as it approached too close to the actual battle between </w:t>
      </w:r>
      <w:r w:rsidR="0054409B">
        <w:t xml:space="preserve">the </w:t>
      </w:r>
      <w:r w:rsidR="00A36954">
        <w:t xml:space="preserve">Spanish and American </w:t>
      </w:r>
      <w:r w:rsidR="0054409B">
        <w:t>fleets</w:t>
      </w:r>
      <w:r w:rsidR="00A36954">
        <w:t xml:space="preserve">. That encounter, coupled with disrespectful German displays towards the American naval forces, </w:t>
      </w:r>
      <w:r w:rsidR="00C639CA">
        <w:t>generated mutual distrust and growing tension between the two powers—</w:t>
      </w:r>
      <w:r w:rsidR="0054409B">
        <w:t xml:space="preserve">both of </w:t>
      </w:r>
      <w:r w:rsidR="00FA2165">
        <w:t>which</w:t>
      </w:r>
      <w:r w:rsidR="0054409B">
        <w:t xml:space="preserve"> sought</w:t>
      </w:r>
      <w:r w:rsidR="00C639CA">
        <w:t xml:space="preserve"> expansion into the Pacific.</w:t>
      </w:r>
      <w:r w:rsidR="00C639CA" w:rsidRPr="00C639CA">
        <w:rPr>
          <w:rStyle w:val="FootnoteReference"/>
        </w:rPr>
        <w:t xml:space="preserve"> </w:t>
      </w:r>
      <w:r w:rsidR="00C639CA" w:rsidRPr="00EC184A">
        <w:rPr>
          <w:rStyle w:val="FootnoteReference"/>
        </w:rPr>
        <w:footnoteReference w:id="145"/>
      </w:r>
    </w:p>
    <w:p w:rsidR="002B58CA" w:rsidRDefault="00805C3C" w:rsidP="00942827">
      <w:pPr>
        <w:spacing w:line="480" w:lineRule="auto"/>
        <w:ind w:firstLine="720"/>
        <w:jc w:val="both"/>
      </w:pPr>
      <w:r>
        <w:t>The conflict between the rising United States and aging Spanish Empire once more highlighted the importance of naval power in resolving international disputes</w:t>
      </w:r>
      <w:r w:rsidR="0084309F">
        <w:t xml:space="preserve"> an</w:t>
      </w:r>
      <w:r w:rsidR="002852D1">
        <w:t>d pro</w:t>
      </w:r>
      <w:r w:rsidR="006B41C3">
        <w:t xml:space="preserve">tecting interests overseas. </w:t>
      </w:r>
      <w:r w:rsidR="00E97E37">
        <w:t>If Germany were to become one of the world’s Great Powers in the 20</w:t>
      </w:r>
      <w:r w:rsidR="00E97E37" w:rsidRPr="00E97E37">
        <w:rPr>
          <w:vertAlign w:val="superscript"/>
        </w:rPr>
        <w:t>th</w:t>
      </w:r>
      <w:r w:rsidR="00E97E37">
        <w:t xml:space="preserve"> century—as Tirpitz argued America, Britain, and Russia </w:t>
      </w:r>
      <w:r w:rsidR="006B41C3">
        <w:t>would</w:t>
      </w:r>
      <w:r w:rsidR="00E97E37">
        <w:t xml:space="preserve"> be—</w:t>
      </w:r>
      <w:r w:rsidR="006B41C3">
        <w:t xml:space="preserve">and secure any territories of other dying empires, then it must continue unimpeded with further naval expansion. </w:t>
      </w:r>
      <w:r w:rsidR="0084309F">
        <w:t xml:space="preserve">In his memoirs, </w:t>
      </w:r>
      <w:r w:rsidR="006B41C3">
        <w:t xml:space="preserve">the </w:t>
      </w:r>
      <w:r w:rsidR="00893F6A">
        <w:t>Navy</w:t>
      </w:r>
      <w:r w:rsidR="006B41C3">
        <w:t xml:space="preserve"> Secretary</w:t>
      </w:r>
      <w:r w:rsidR="0084309F">
        <w:t xml:space="preserve"> credits the war and the “unfortunate Manila affair” </w:t>
      </w:r>
      <w:r w:rsidR="00F13581">
        <w:t xml:space="preserve">as having </w:t>
      </w:r>
      <w:r w:rsidR="00F13581">
        <w:lastRenderedPageBreak/>
        <w:t xml:space="preserve">helped rationalize what became the Second </w:t>
      </w:r>
      <w:r w:rsidR="006652C7">
        <w:t>Navy</w:t>
      </w:r>
      <w:r w:rsidR="00F13581">
        <w:t xml:space="preserve"> Law, as well as increase</w:t>
      </w:r>
      <w:r w:rsidR="0084309F">
        <w:t xml:space="preserve"> public favor for a stronger naval force.</w:t>
      </w:r>
      <w:r w:rsidR="0084309F" w:rsidRPr="00EC184A">
        <w:rPr>
          <w:rStyle w:val="FootnoteReference"/>
        </w:rPr>
        <w:footnoteReference w:id="146"/>
      </w:r>
      <w:r w:rsidR="005C3671">
        <w:t xml:space="preserve"> Two further international events </w:t>
      </w:r>
      <w:r w:rsidR="00942827">
        <w:t>set the backdrop for that Law’s passage.</w:t>
      </w:r>
    </w:p>
    <w:p w:rsidR="00072073" w:rsidRDefault="003B7B66" w:rsidP="00942827">
      <w:pPr>
        <w:spacing w:line="480" w:lineRule="auto"/>
        <w:ind w:firstLine="720"/>
        <w:jc w:val="both"/>
      </w:pPr>
      <w:r>
        <w:t>What is known as the Samoan Affair centered on the breakdown of an international agreement between Britain, Germany, and the United States</w:t>
      </w:r>
      <w:r w:rsidR="00E6335E">
        <w:t xml:space="preserve"> over the collective g</w:t>
      </w:r>
      <w:r w:rsidR="000F5405">
        <w:t xml:space="preserve">overnance of the Samoan Islands that had been in effect since </w:t>
      </w:r>
      <w:r w:rsidR="00E813A5">
        <w:t>188</w:t>
      </w:r>
      <w:r w:rsidR="00CF1EED">
        <w:t>9</w:t>
      </w:r>
      <w:r w:rsidR="000F5405">
        <w:t>.</w:t>
      </w:r>
      <w:r w:rsidR="00CF1EED">
        <w:t xml:space="preserve"> The death of the Samoan king </w:t>
      </w:r>
      <w:r w:rsidR="00E813A5">
        <w:t xml:space="preserve">in 1899 </w:t>
      </w:r>
      <w:r w:rsidR="00CF1EED">
        <w:t>resulted in a succession crisis</w:t>
      </w:r>
      <w:r w:rsidR="003B76D1">
        <w:t xml:space="preserve"> between rival candidates who enjoyed the</w:t>
      </w:r>
      <w:r w:rsidR="00E813A5">
        <w:t xml:space="preserve"> support of Germany on one side</w:t>
      </w:r>
      <w:r w:rsidR="003B76D1">
        <w:t xml:space="preserve"> and the United </w:t>
      </w:r>
      <w:r w:rsidR="00942827">
        <w:t>States and Britain on the other. A legal stipulation from the 1889 agreement, however, disqualified the German-backed Mata’afan from winning the kingship, resulting in a furor among his supporters.</w:t>
      </w:r>
      <w:r w:rsidR="00E813A5">
        <w:t xml:space="preserve"> Violence erupted as the Mata’afans resorted to force to secure what they believed rightfully theirs, </w:t>
      </w:r>
      <w:r w:rsidR="00175742">
        <w:t xml:space="preserve">which in turn </w:t>
      </w:r>
      <w:r w:rsidR="00FA2165">
        <w:t>triggered</w:t>
      </w:r>
      <w:r w:rsidR="00E813A5">
        <w:t xml:space="preserve"> </w:t>
      </w:r>
      <w:r w:rsidR="0075732D">
        <w:t>bombardments</w:t>
      </w:r>
      <w:r w:rsidR="00E813A5">
        <w:t xml:space="preserve"> from British and American naval </w:t>
      </w:r>
      <w:r w:rsidR="00BA02D4">
        <w:t>units</w:t>
      </w:r>
      <w:r w:rsidR="00E813A5">
        <w:t xml:space="preserve"> </w:t>
      </w:r>
      <w:r w:rsidR="002C1AE9">
        <w:t>that</w:t>
      </w:r>
      <w:r w:rsidR="00E813A5">
        <w:t xml:space="preserve"> sou</w:t>
      </w:r>
      <w:r w:rsidR="00175742">
        <w:t xml:space="preserve">ght to uphold the legal ruling. </w:t>
      </w:r>
      <w:r w:rsidR="00716237">
        <w:t>F</w:t>
      </w:r>
      <w:r w:rsidR="0075732D">
        <w:t>rom March until May, a small-scale civil war e</w:t>
      </w:r>
      <w:r w:rsidR="00CC5E08">
        <w:t xml:space="preserve">xisted between Mata’afan forces, with moral support from Germany, </w:t>
      </w:r>
      <w:r w:rsidR="0075732D">
        <w:t>fighting against the Tanu and their Anglo-American allies until an international commission brought the conflict to an end.</w:t>
      </w:r>
      <w:r w:rsidR="00A1168D" w:rsidRPr="00EC184A">
        <w:rPr>
          <w:rStyle w:val="FootnoteReference"/>
        </w:rPr>
        <w:footnoteReference w:id="147"/>
      </w:r>
      <w:r w:rsidR="00CC5E08">
        <w:t xml:space="preserve"> At the conclusion of the conflict and the following negotiations, the islands were split into American and German Samoa, while Britain received compens</w:t>
      </w:r>
      <w:r w:rsidR="00072073">
        <w:t>ation elsewhere in the Pacific.</w:t>
      </w:r>
    </w:p>
    <w:p w:rsidR="00B50193" w:rsidRPr="00CA0656" w:rsidRDefault="00072073" w:rsidP="00CA0656">
      <w:pPr>
        <w:spacing w:line="480" w:lineRule="auto"/>
        <w:ind w:firstLine="720"/>
        <w:jc w:val="both"/>
      </w:pPr>
      <w:r>
        <w:t xml:space="preserve">Germany had again become embroiled in an international </w:t>
      </w:r>
      <w:r w:rsidR="00CB300F">
        <w:t>dispute</w:t>
      </w:r>
      <w:r>
        <w:t xml:space="preserve"> in which the strength of naval for</w:t>
      </w:r>
      <w:r w:rsidR="000659B1">
        <w:t xml:space="preserve">ces played an indisputable role. </w:t>
      </w:r>
      <w:r w:rsidR="0077103D">
        <w:t xml:space="preserve">War over the Samoan islands was far from what any government had desired, but the fallout continued to push Germany towards further naval expansion. In his assessment of the Samoan Affair, Paul Kennedy argues that the conflict crystallized the Kaiser’s “hopes and beliefs about Germany’s colonial expansion [as well as] her future </w:t>
      </w:r>
      <w:r w:rsidR="0077103D">
        <w:rPr>
          <w:i/>
        </w:rPr>
        <w:t>Flottenpolitik</w:t>
      </w:r>
      <w:r w:rsidR="0077103D">
        <w:t>”</w:t>
      </w:r>
      <w:r w:rsidR="00942827">
        <w:t xml:space="preserve">—hopes and beliefs that most certainly existed among other prominent </w:t>
      </w:r>
      <w:r w:rsidR="00942827">
        <w:lastRenderedPageBreak/>
        <w:t>German expansionists and naval enthusiasts.</w:t>
      </w:r>
      <w:r w:rsidR="0077103D" w:rsidRPr="00EC184A">
        <w:rPr>
          <w:rStyle w:val="FootnoteReference"/>
        </w:rPr>
        <w:footnoteReference w:id="148"/>
      </w:r>
      <w:r w:rsidR="0077103D">
        <w:t xml:space="preserve"> Months after this affirmation, the Kaiser acceded to Tirpitz’s demands to restructure the navy’s command so that the Admiral would be unfettered in his ability to begin his expansion plan in earnest. Tirpitz </w:t>
      </w:r>
      <w:r w:rsidR="00942827">
        <w:t>regarded</w:t>
      </w:r>
      <w:r w:rsidR="00CA0656">
        <w:t xml:space="preserve"> the “violence that had been done to a few of our ships in Samoa by the English and Americans” to be a “humiliation” for the nation that, combined with the near confrontation </w:t>
      </w:r>
      <w:r w:rsidR="0077103D">
        <w:t>with the United States during the Spanish-American War, had further buoyed public support for a more powerful German navy.</w:t>
      </w:r>
      <w:r w:rsidR="0077103D" w:rsidRPr="00EC184A">
        <w:rPr>
          <w:rStyle w:val="FootnoteReference"/>
        </w:rPr>
        <w:footnoteReference w:id="149"/>
      </w:r>
      <w:r w:rsidR="00CA0656">
        <w:t xml:space="preserve"> As </w:t>
      </w:r>
      <w:r w:rsidR="00942827">
        <w:t>the Admiral</w:t>
      </w:r>
      <w:r w:rsidR="00CA0656">
        <w:t xml:space="preserve"> introduced his Second Navy Law, Bülow argued to the German public and the Reichstag that the Samoan Affair was one of the new international developments since the passage of the First Navy Law that had illustrated the power and importance of naval forces in protecting growing national interests around the world.</w:t>
      </w:r>
      <w:r w:rsidR="00CA0656" w:rsidRPr="00EC184A">
        <w:rPr>
          <w:rStyle w:val="FootnoteReference"/>
        </w:rPr>
        <w:footnoteReference w:id="150"/>
      </w:r>
      <w:r w:rsidR="00CA0656">
        <w:t xml:space="preserve"> Without the continued expansion of the fleet, the message became, Germany would continue to lag behind the world’s other powers and fail to achieve or defend its aims of </w:t>
      </w:r>
      <w:r w:rsidR="00CA0656">
        <w:rPr>
          <w:i/>
        </w:rPr>
        <w:t>Weltpolitik</w:t>
      </w:r>
      <w:r w:rsidR="00CA0656">
        <w:t>.</w:t>
      </w:r>
    </w:p>
    <w:p w:rsidR="007708D1" w:rsidRDefault="001E5476" w:rsidP="007708D1">
      <w:pPr>
        <w:spacing w:line="480" w:lineRule="auto"/>
        <w:ind w:firstLine="720"/>
        <w:jc w:val="both"/>
      </w:pPr>
      <w:r>
        <w:t>The Second Boer War was the last major international event to shape the debate of the Second Navy Law. As seen with the Jameson Raid and the Kru</w:t>
      </w:r>
      <w:r w:rsidR="00D92EBB">
        <w:t>g</w:t>
      </w:r>
      <w:r w:rsidR="00D6333B">
        <w:t>er Telegram of 1895-96, Germany’s</w:t>
      </w:r>
      <w:r w:rsidR="00D92EBB">
        <w:t xml:space="preserve"> undeclared support </w:t>
      </w:r>
      <w:r w:rsidR="00C40E51">
        <w:t xml:space="preserve">lay with the </w:t>
      </w:r>
      <w:r w:rsidR="006A3426">
        <w:t>Afrikaans-speaking citizens of the T</w:t>
      </w:r>
      <w:r w:rsidR="00406DBE">
        <w:t xml:space="preserve">ransvaal and Orange Free State. The conflict “had aroused much sympathy for the little </w:t>
      </w:r>
      <w:r w:rsidR="00D92EBB">
        <w:t>[countries]</w:t>
      </w:r>
      <w:r w:rsidR="00406DBE">
        <w:t xml:space="preserve"> and much indignation on account of E</w:t>
      </w:r>
      <w:r w:rsidR="00B47B6E">
        <w:t>ngland’s violent assault upon [them]</w:t>
      </w:r>
      <w:r w:rsidR="00406DBE">
        <w:t>,” the Kaiser reports in his memoirs.</w:t>
      </w:r>
      <w:r w:rsidR="001608C9" w:rsidRPr="00EC184A">
        <w:rPr>
          <w:rStyle w:val="FootnoteReference"/>
        </w:rPr>
        <w:footnoteReference w:id="151"/>
      </w:r>
      <w:r w:rsidR="007708D1">
        <w:t xml:space="preserve"> Although the Boers experienced military success early on in the conflict, </w:t>
      </w:r>
      <w:r w:rsidR="009F35A2">
        <w:t>it was</w:t>
      </w:r>
      <w:r w:rsidR="007708D1">
        <w:t xml:space="preserve"> </w:t>
      </w:r>
      <w:r w:rsidR="00844928">
        <w:t xml:space="preserve">gradually reversed as </w:t>
      </w:r>
      <w:r w:rsidR="00B47B6E">
        <w:t>Britain’s</w:t>
      </w:r>
      <w:r w:rsidR="00844928">
        <w:t xml:space="preserve"> navy took control of the seas and replenished its armies with thousands of troops and millions of tons of materiel and provisions. </w:t>
      </w:r>
      <w:r w:rsidR="007708D1">
        <w:t>Once again</w:t>
      </w:r>
      <w:r w:rsidR="00844928">
        <w:t xml:space="preserve">, </w:t>
      </w:r>
      <w:r w:rsidR="007708D1">
        <w:t>Germans witnessed the prominence of naval power in a nation’s imperial affairs.</w:t>
      </w:r>
    </w:p>
    <w:p w:rsidR="009F35A2" w:rsidRDefault="007B64E8" w:rsidP="00B47B6E">
      <w:pPr>
        <w:spacing w:line="480" w:lineRule="auto"/>
        <w:ind w:firstLine="720"/>
        <w:jc w:val="both"/>
      </w:pPr>
      <w:r>
        <w:lastRenderedPageBreak/>
        <w:t xml:space="preserve">The search and seizure of German mail steamers </w:t>
      </w:r>
      <w:r w:rsidR="00942827">
        <w:t>in December and January of 1899-1900</w:t>
      </w:r>
      <w:r>
        <w:t xml:space="preserve"> further </w:t>
      </w:r>
      <w:r w:rsidR="00141B2C">
        <w:t>worsened the government</w:t>
      </w:r>
      <w:r w:rsidR="00B47B6E">
        <w:t>’s</w:t>
      </w:r>
      <w:r w:rsidR="00141B2C">
        <w:t xml:space="preserve"> and population’s opinion</w:t>
      </w:r>
      <w:r w:rsidR="00B47B6E">
        <w:t>s</w:t>
      </w:r>
      <w:r w:rsidR="00141B2C">
        <w:t xml:space="preserve"> of Britain.</w:t>
      </w:r>
      <w:r>
        <w:t xml:space="preserve"> </w:t>
      </w:r>
      <w:r w:rsidR="00E35D1C">
        <w:t xml:space="preserve">On suspicion of carrying war </w:t>
      </w:r>
      <w:r w:rsidR="00D137EF">
        <w:t>materiel to the embattled Boer r</w:t>
      </w:r>
      <w:r w:rsidR="00E35D1C">
        <w:t>epublics, British naval forces stopped an</w:t>
      </w:r>
      <w:r w:rsidR="00141B2C">
        <w:t xml:space="preserve">d searched three German </w:t>
      </w:r>
      <w:r w:rsidR="00B47B6E">
        <w:t>vessels</w:t>
      </w:r>
      <w:r w:rsidR="00141B2C">
        <w:t xml:space="preserve">—the </w:t>
      </w:r>
      <w:r w:rsidR="00141B2C">
        <w:rPr>
          <w:i/>
        </w:rPr>
        <w:t>Herzog</w:t>
      </w:r>
      <w:r w:rsidR="00141B2C">
        <w:t xml:space="preserve">, </w:t>
      </w:r>
      <w:r w:rsidR="00141B2C">
        <w:rPr>
          <w:i/>
        </w:rPr>
        <w:t>General</w:t>
      </w:r>
      <w:r w:rsidR="00141B2C">
        <w:t>, and</w:t>
      </w:r>
      <w:r w:rsidR="00141B2C">
        <w:rPr>
          <w:i/>
        </w:rPr>
        <w:t xml:space="preserve"> Bundesrat</w:t>
      </w:r>
      <w:r w:rsidR="00141B2C">
        <w:t xml:space="preserve">—off </w:t>
      </w:r>
      <w:r w:rsidR="00E35D1C">
        <w:t xml:space="preserve">the eastern coast of Africa. </w:t>
      </w:r>
      <w:r w:rsidR="00A6407D">
        <w:t>When British officers failed to</w:t>
      </w:r>
      <w:r w:rsidR="00141B2C">
        <w:t xml:space="preserve"> find weapons, ammunition, or other war goods, they released the vessels from their custody.</w:t>
      </w:r>
      <w:r w:rsidR="00A6407D">
        <w:t xml:space="preserve"> Although </w:t>
      </w:r>
      <w:r w:rsidR="00B47B6E">
        <w:t>Germans were not injured, nor any goods requisitioned</w:t>
      </w:r>
      <w:r w:rsidR="00A6407D">
        <w:t>, t</w:t>
      </w:r>
      <w:r w:rsidR="00A12A37">
        <w:t xml:space="preserve">he event caused a national furor and further </w:t>
      </w:r>
      <w:r w:rsidR="00B47B6E">
        <w:t>exacerbated</w:t>
      </w:r>
      <w:r w:rsidR="00A12A37">
        <w:t xml:space="preserve"> Anglo-German relations. The news of the ships’ </w:t>
      </w:r>
      <w:r w:rsidR="00C26220">
        <w:t xml:space="preserve">arrest, writes Massie, was </w:t>
      </w:r>
      <w:r>
        <w:t>met in Berlin with “protest and demands for apology, compensation, and guarantees against recurrence.”</w:t>
      </w:r>
      <w:r w:rsidR="0000573A" w:rsidRPr="00EC184A">
        <w:rPr>
          <w:rStyle w:val="FootnoteReference"/>
        </w:rPr>
        <w:footnoteReference w:id="152"/>
      </w:r>
      <w:r w:rsidR="000E3AE2">
        <w:t xml:space="preserve"> The </w:t>
      </w:r>
      <w:r w:rsidR="00EE60A0">
        <w:t>Kaiser</w:t>
      </w:r>
      <w:r w:rsidR="000E3AE2">
        <w:t xml:space="preserve">, for whatever </w:t>
      </w:r>
      <w:r w:rsidR="00EE60A0">
        <w:t>grandstanding</w:t>
      </w:r>
      <w:r w:rsidR="000E3AE2">
        <w:t xml:space="preserve"> he was typical of, </w:t>
      </w:r>
      <w:r w:rsidR="00EE60A0">
        <w:t xml:space="preserve">indicated that indignation was general among the </w:t>
      </w:r>
      <w:r w:rsidR="00F303BB">
        <w:t>public</w:t>
      </w:r>
      <w:r w:rsidR="00F876C6">
        <w:t>.</w:t>
      </w:r>
      <w:r w:rsidR="00EE60A0" w:rsidRPr="00EC184A">
        <w:rPr>
          <w:rStyle w:val="FootnoteReference"/>
        </w:rPr>
        <w:footnoteReference w:id="153"/>
      </w:r>
      <w:r w:rsidR="006D0B30">
        <w:t xml:space="preserve"> </w:t>
      </w:r>
      <w:r w:rsidR="009F35A2">
        <w:t>Friedrich von Holstein, writing fr</w:t>
      </w:r>
      <w:r w:rsidR="008D3389">
        <w:t>om the Foreign Office, indicates</w:t>
      </w:r>
      <w:r w:rsidR="009F35A2">
        <w:t xml:space="preserve"> that “England’s astonishment at Germany’s bitterness” over the event could “only be regarded…with the greatest astonishment,” and that such ignorance amounted to a “slap in the face” akin to the one received over the Samoan Affair.</w:t>
      </w:r>
      <w:r w:rsidR="009F35A2" w:rsidRPr="00EC184A">
        <w:rPr>
          <w:rStyle w:val="FootnoteReference"/>
        </w:rPr>
        <w:footnoteReference w:id="154"/>
      </w:r>
    </w:p>
    <w:p w:rsidR="002E61C4" w:rsidRDefault="009F35A2" w:rsidP="007E26A7">
      <w:pPr>
        <w:spacing w:line="480" w:lineRule="auto"/>
        <w:ind w:firstLine="720"/>
        <w:jc w:val="both"/>
      </w:pPr>
      <w:r>
        <w:t>For the third time</w:t>
      </w:r>
      <w:r w:rsidRPr="009F35A2">
        <w:t xml:space="preserve"> </w:t>
      </w:r>
      <w:r>
        <w:t>since 1898, Germany had become involved in an international quarrel where</w:t>
      </w:r>
      <w:r w:rsidR="00B47B6E">
        <w:t xml:space="preserve"> sea—not land—power </w:t>
      </w:r>
      <w:r>
        <w:t xml:space="preserve">had directly and indirectly determined the course of events. It </w:t>
      </w:r>
      <w:r w:rsidR="00B47B6E">
        <w:t>looked</w:t>
      </w:r>
      <w:r>
        <w:t xml:space="preserve"> on as Britain utilized its navy to alter the progress of the war on land against a people with whom Germans felt an ethnic connection and enjoyed friendly relations. Moreover, Germans p</w:t>
      </w:r>
      <w:r w:rsidR="00B47B6E">
        <w:t xml:space="preserve">erceived that they had become victims </w:t>
      </w:r>
      <w:r>
        <w:t xml:space="preserve">of British suzerainty of the seas </w:t>
      </w:r>
      <w:r w:rsidR="008D3389">
        <w:t>through</w:t>
      </w:r>
      <w:r>
        <w:t xml:space="preserve"> the violation of their neutral ships.</w:t>
      </w:r>
      <w:r w:rsidR="008D3389">
        <w:t xml:space="preserve"> Combined with the Spanish-American War and the Samoan Affair, these events had illustrated the necessity of naval forces in protecting a nation’s overseas interests, asserting its military strength, and protecting it from abuse by the world’s greatest </w:t>
      </w:r>
      <w:r w:rsidR="008D3389">
        <w:lastRenderedPageBreak/>
        <w:t xml:space="preserve">naval power. Britain would also continue to treat Germany </w:t>
      </w:r>
      <w:r w:rsidR="007E26A7">
        <w:t>in such a manner</w:t>
      </w:r>
      <w:r w:rsidR="008D3389" w:rsidRPr="008D3389">
        <w:t xml:space="preserve"> </w:t>
      </w:r>
      <w:r w:rsidR="008D3389">
        <w:t>so long as</w:t>
      </w:r>
      <w:r w:rsidR="007E26A7">
        <w:t xml:space="preserve"> imperial interests and mastery of the oceans required and enabled it.</w:t>
      </w:r>
    </w:p>
    <w:p w:rsidR="0092450B" w:rsidRDefault="002E61C4" w:rsidP="003D7F97">
      <w:pPr>
        <w:spacing w:line="480" w:lineRule="auto"/>
        <w:ind w:firstLine="720"/>
        <w:jc w:val="both"/>
      </w:pPr>
      <w:r>
        <w:t xml:space="preserve">For </w:t>
      </w:r>
      <w:r w:rsidR="007B434A">
        <w:t>Tirpitz and the Kaiser</w:t>
      </w:r>
      <w:r>
        <w:t xml:space="preserve">, the events were fortuitous </w:t>
      </w:r>
      <w:r w:rsidR="00B47B6E">
        <w:t>and</w:t>
      </w:r>
      <w:r>
        <w:t xml:space="preserve"> welcome. </w:t>
      </w:r>
      <w:r w:rsidR="007B434A">
        <w:t xml:space="preserve">“We now have the wind we need for bringing our ship [the Second Navy Law] into port,” the Admiral </w:t>
      </w:r>
      <w:r>
        <w:t>rejoiced to the Kaiser upon learning of the ships’ seizure</w:t>
      </w:r>
      <w:r w:rsidR="007B434A">
        <w:t>.</w:t>
      </w:r>
      <w:r w:rsidR="007B434A" w:rsidRPr="00EC184A">
        <w:rPr>
          <w:rStyle w:val="FootnoteReference"/>
        </w:rPr>
        <w:footnoteReference w:id="155"/>
      </w:r>
      <w:r w:rsidR="007B434A">
        <w:t xml:space="preserve">  Years later the Kaiser found himself at dinner with the commander responsible for the capture of the German vessels and thanked him “for having made the passage of the Naval Law so much easier for the Emperor!”</w:t>
      </w:r>
      <w:r w:rsidR="007B434A" w:rsidRPr="00EC184A">
        <w:rPr>
          <w:rStyle w:val="FootnoteReference"/>
        </w:rPr>
        <w:footnoteReference w:id="156"/>
      </w:r>
      <w:r w:rsidR="007B434A">
        <w:t xml:space="preserve"> </w:t>
      </w:r>
      <w:r>
        <w:t xml:space="preserve">Indeed, the event was crucial </w:t>
      </w:r>
      <w:r w:rsidR="007E26A7">
        <w:t>in</w:t>
      </w:r>
      <w:r>
        <w:t xml:space="preserve"> reminding Germans of the fundamental importance of naval power for the </w:t>
      </w:r>
      <w:r w:rsidR="007E26A7">
        <w:t xml:space="preserve">still </w:t>
      </w:r>
      <w:r>
        <w:t xml:space="preserve">young and </w:t>
      </w:r>
      <w:r w:rsidR="007E26A7">
        <w:t xml:space="preserve">rapidly </w:t>
      </w:r>
      <w:r>
        <w:t>growing empire. As Tirpitz, Bülow, and Chancellor Hohenlohe introduced the Second Navy Law to the Reichstag and opened it to debate, they used the events of the past months and years to highlight the rapidly cha</w:t>
      </w:r>
      <w:r w:rsidR="00CB419E">
        <w:t xml:space="preserve">nging </w:t>
      </w:r>
      <w:r w:rsidR="003C2D4C">
        <w:t xml:space="preserve">global </w:t>
      </w:r>
      <w:r w:rsidR="00CB419E">
        <w:t>environment. The Boer War and a</w:t>
      </w:r>
      <w:r w:rsidR="003C2D4C">
        <w:t xml:space="preserve">rrest of Germany’s ships </w:t>
      </w:r>
      <w:r w:rsidR="009956AE">
        <w:t xml:space="preserve">served as the last major international affair that highlighted the importance of sea power in pursuing Germany’s imperial ambitions, </w:t>
      </w:r>
      <w:r w:rsidR="00D43769">
        <w:t>as well as</w:t>
      </w:r>
      <w:r w:rsidR="009956AE">
        <w:t xml:space="preserve"> its importance as a measure of protecting those ambitions from abuse or violation by the British navy. Together, with the lessons learned from the Spanish-American War and the Samoan Affair, these events had helped create </w:t>
      </w:r>
      <w:r w:rsidR="002A47A1">
        <w:t>an environment favorable to Tirpitz’s Second Navy Law.</w:t>
      </w:r>
    </w:p>
    <w:p w:rsidR="003D7F97" w:rsidRDefault="003D7F97" w:rsidP="003D7F97">
      <w:pPr>
        <w:spacing w:line="480" w:lineRule="auto"/>
        <w:ind w:firstLine="720"/>
        <w:jc w:val="both"/>
      </w:pPr>
    </w:p>
    <w:p w:rsidR="001D299A" w:rsidRPr="001D299A" w:rsidRDefault="003D7F97" w:rsidP="001D299A">
      <w:pPr>
        <w:spacing w:line="480" w:lineRule="auto"/>
        <w:jc w:val="center"/>
        <w:rPr>
          <w:sz w:val="28"/>
          <w:szCs w:val="28"/>
        </w:rPr>
      </w:pPr>
      <w:r>
        <w:rPr>
          <w:sz w:val="28"/>
          <w:szCs w:val="28"/>
          <w:u w:val="single"/>
        </w:rPr>
        <w:t>C</w:t>
      </w:r>
      <w:r w:rsidR="00A77F46">
        <w:rPr>
          <w:sz w:val="28"/>
          <w:szCs w:val="28"/>
          <w:u w:val="single"/>
        </w:rPr>
        <w:t>onclusion</w:t>
      </w:r>
    </w:p>
    <w:p w:rsidR="000B74BA" w:rsidRDefault="00A24281" w:rsidP="000B74BA">
      <w:pPr>
        <w:spacing w:line="480" w:lineRule="auto"/>
        <w:ind w:firstLine="720"/>
        <w:jc w:val="both"/>
      </w:pPr>
      <w:r>
        <w:t>When Alfred von Tirpitz conceived of his naval development plan to alter the nature of German’s place in global affairs, there w</w:t>
      </w:r>
      <w:r w:rsidR="00AB342C">
        <w:t xml:space="preserve">as little certainty of success. The Reichstag had passed prior navy bills, but </w:t>
      </w:r>
      <w:r w:rsidR="00C82C76">
        <w:t xml:space="preserve">they set no standard for fleet composition or strategy and failed to provide Germany with a naval force commensurate with its burgeoning trade, industry, and </w:t>
      </w:r>
      <w:r w:rsidR="00C82C76">
        <w:lastRenderedPageBreak/>
        <w:t xml:space="preserve">demographics. Indeed, the empire could have </w:t>
      </w:r>
      <w:r w:rsidR="00CE01DE">
        <w:t xml:space="preserve">willfully </w:t>
      </w:r>
      <w:r w:rsidR="00C82C76">
        <w:t xml:space="preserve">avoided any </w:t>
      </w:r>
      <w:r w:rsidR="00CE01DE">
        <w:t>drastic</w:t>
      </w:r>
      <w:r w:rsidR="00C82C76">
        <w:t xml:space="preserve"> </w:t>
      </w:r>
      <w:r w:rsidR="00CE01DE">
        <w:t>alterations</w:t>
      </w:r>
      <w:r w:rsidR="00076FD4">
        <w:t xml:space="preserve"> to its navy, </w:t>
      </w:r>
      <w:r w:rsidR="00CE01DE">
        <w:t xml:space="preserve">peacefully </w:t>
      </w:r>
      <w:r w:rsidR="00076FD4">
        <w:t>develo</w:t>
      </w:r>
      <w:r w:rsidR="00B47B6E">
        <w:t>ped its overseas interests, and, much like the United States at the turn of the 20</w:t>
      </w:r>
      <w:r w:rsidR="00B47B6E" w:rsidRPr="00B47B6E">
        <w:rPr>
          <w:vertAlign w:val="superscript"/>
        </w:rPr>
        <w:t>th</w:t>
      </w:r>
      <w:r w:rsidR="00B47B6E">
        <w:t xml:space="preserve"> century, </w:t>
      </w:r>
      <w:r w:rsidR="00076FD4">
        <w:t>allowed Britain to cover the costs and upkeep of</w:t>
      </w:r>
      <w:r w:rsidR="00B47B6E">
        <w:t xml:space="preserve"> protecting the world’s oceans</w:t>
      </w:r>
      <w:r w:rsidR="007B3BB1">
        <w:t>. W</w:t>
      </w:r>
      <w:r w:rsidR="00CE01DE">
        <w:t>ith Tirpitz that was</w:t>
      </w:r>
      <w:r w:rsidR="000B74BA">
        <w:t xml:space="preserve"> no longer feasible.</w:t>
      </w:r>
      <w:r w:rsidR="00076FD4">
        <w:t xml:space="preserve"> This ambitious, dedicated, and extremely capable man </w:t>
      </w:r>
      <w:r w:rsidR="007B3BB1">
        <w:t>had</w:t>
      </w:r>
      <w:r w:rsidR="00AF5F08">
        <w:t xml:space="preserve"> </w:t>
      </w:r>
      <w:r w:rsidR="000B74BA">
        <w:t xml:space="preserve">enticed and excited the Kaiser through his confidential Memorandum of 1897 and won his complete backing after the passage of the First Navy Law of 1898. </w:t>
      </w:r>
      <w:r w:rsidR="00806B1B">
        <w:t>He had created the kernel of a powerful German naval force that would one-day challenge</w:t>
      </w:r>
      <w:r w:rsidR="007B3BB1">
        <w:t xml:space="preserve"> British domination of the seas, </w:t>
      </w:r>
      <w:r w:rsidR="00806B1B">
        <w:t>and</w:t>
      </w:r>
      <w:r w:rsidR="007B3BB1">
        <w:t xml:space="preserve"> had</w:t>
      </w:r>
      <w:r w:rsidR="00806B1B">
        <w:t xml:space="preserve"> given it the coherence of composition, organization, and strategy it needed to do so. </w:t>
      </w:r>
      <w:r w:rsidR="000B74BA">
        <w:t xml:space="preserve">Tirpitz was on his way to </w:t>
      </w:r>
      <w:r w:rsidR="007B3BB1">
        <w:t>creating</w:t>
      </w:r>
      <w:r w:rsidR="000B74BA">
        <w:t xml:space="preserve"> that “political power factor” to alter Anglo-German relations.</w:t>
      </w:r>
    </w:p>
    <w:p w:rsidR="00AF5F08" w:rsidRDefault="00EE118C" w:rsidP="009A59E9">
      <w:pPr>
        <w:spacing w:line="480" w:lineRule="auto"/>
        <w:ind w:firstLine="720"/>
        <w:jc w:val="both"/>
      </w:pPr>
      <w:r>
        <w:t xml:space="preserve">The fate of the Second Navy Law hung upon </w:t>
      </w:r>
      <w:r w:rsidR="00304251">
        <w:t xml:space="preserve">a combination of factors that had </w:t>
      </w:r>
      <w:r w:rsidR="00D75375">
        <w:t xml:space="preserve">made </w:t>
      </w:r>
      <w:r w:rsidR="00304251">
        <w:t xml:space="preserve">the passage of Tirpitz’s </w:t>
      </w:r>
      <w:r w:rsidR="000C331C">
        <w:t>proposal</w:t>
      </w:r>
      <w:r w:rsidR="00D75375">
        <w:t xml:space="preserve"> considerably more likely. </w:t>
      </w:r>
      <w:r w:rsidR="007B3BB1">
        <w:t xml:space="preserve">The Imperial Navy Office </w:t>
      </w:r>
      <w:r w:rsidR="00AF5F08">
        <w:t>had brought government pressures and propaganda to bear on politicians and the public alike, especially agitating for support among the empire’s burgeoning middle class. For Tirpitz, the aim had been to generate enough public support</w:t>
      </w:r>
      <w:r w:rsidR="00A8684E">
        <w:t xml:space="preserve">, either genuine or in appearance only, for naval expansion so that he could blunt the attacks of his opponents who decried it as nothing more than militaristic </w:t>
      </w:r>
      <w:r w:rsidR="00B47B6E">
        <w:t>expansionism</w:t>
      </w:r>
      <w:r w:rsidR="00A8684E">
        <w:t xml:space="preserve"> of an overexcited Kaiser. Bülow and the Kaiser themselves played crucial roles. The Foreign Secretary became the lead government figure to make the case for naval expansion as a means of advancing </w:t>
      </w:r>
      <w:r w:rsidR="00A8684E">
        <w:rPr>
          <w:i/>
        </w:rPr>
        <w:t>Weltpolitik</w:t>
      </w:r>
      <w:r w:rsidR="00A8684E">
        <w:t xml:space="preserve"> and defending and promoting national interests abroad. Support of the Kaiser was also </w:t>
      </w:r>
      <w:r w:rsidR="007B3BB1">
        <w:t>fundamental</w:t>
      </w:r>
      <w:r w:rsidR="00A8684E">
        <w:t xml:space="preserve">. Without his passion for naval matters it is uncertain that he would have entrusted </w:t>
      </w:r>
      <w:r w:rsidR="009A59E9">
        <w:t>in Tirpitz that</w:t>
      </w:r>
      <w:r w:rsidR="00A8684E">
        <w:t xml:space="preserve"> power and authority </w:t>
      </w:r>
      <w:r w:rsidR="009A59E9">
        <w:t>necessary for the freedom of action in developing strategy, reorganizing and reassessing fleet composition, and handling the navy’s political affairs.</w:t>
      </w:r>
    </w:p>
    <w:p w:rsidR="00767B88" w:rsidRDefault="009C6EB7" w:rsidP="00767B88">
      <w:pPr>
        <w:spacing w:line="480" w:lineRule="auto"/>
        <w:ind w:firstLine="720"/>
        <w:jc w:val="both"/>
      </w:pPr>
      <w:r>
        <w:lastRenderedPageBreak/>
        <w:t xml:space="preserve">International events similarly created a crucial backdrop for the development of the navy. The Spanish-American War and the Spanish defeat in the Philippines highlighted the importance of naval </w:t>
      </w:r>
      <w:r w:rsidR="0067688C">
        <w:t>strength</w:t>
      </w:r>
      <w:r>
        <w:t xml:space="preserve"> in </w:t>
      </w:r>
      <w:r w:rsidR="0067688C">
        <w:t>projecting</w:t>
      </w:r>
      <w:r w:rsidR="001727D1">
        <w:t xml:space="preserve"> national power overseas and the n</w:t>
      </w:r>
      <w:r>
        <w:t xml:space="preserve">ear confrontation between German and American forces in Manila Bay further </w:t>
      </w:r>
      <w:r w:rsidR="001727D1">
        <w:t xml:space="preserve">invigorated proponents of </w:t>
      </w:r>
      <w:r w:rsidR="00F064AE">
        <w:t>fleet</w:t>
      </w:r>
      <w:r w:rsidR="001727D1">
        <w:t xml:space="preserve"> expansion. In 1899 the Samoan Affair brought Germany </w:t>
      </w:r>
      <w:r w:rsidR="0067688C">
        <w:t>into conflict</w:t>
      </w:r>
      <w:r w:rsidR="001727D1">
        <w:t xml:space="preserve"> with a unified Anglo-American front over the governance of a pacific island group, in which each </w:t>
      </w:r>
      <w:r w:rsidR="0067688C">
        <w:t>side</w:t>
      </w:r>
      <w:r w:rsidR="001727D1">
        <w:t xml:space="preserve"> staked imperial interests. The use of naval force by the United States and Britain to suppress the German-backed natives had highlighted the necessity of naval power to defend national interests overseas and reminded Germans of their inferiority</w:t>
      </w:r>
      <w:r w:rsidR="00F064AE">
        <w:t xml:space="preserve"> at sea</w:t>
      </w:r>
      <w:r w:rsidR="001727D1">
        <w:t xml:space="preserve">. The outbreak of the Boer War was the last major international incident </w:t>
      </w:r>
      <w:r w:rsidR="003E19DF">
        <w:t xml:space="preserve">to set the stage for Tirpitz’s </w:t>
      </w:r>
      <w:r w:rsidR="0067688C">
        <w:t xml:space="preserve">1900 </w:t>
      </w:r>
      <w:r w:rsidR="003E19DF">
        <w:t xml:space="preserve">Navy Law. The event generated </w:t>
      </w:r>
      <w:r w:rsidR="0067688C">
        <w:t xml:space="preserve">public </w:t>
      </w:r>
      <w:r w:rsidR="003E19DF">
        <w:t xml:space="preserve">animosity towards Britain for its war against the </w:t>
      </w:r>
      <w:r w:rsidR="004319A2">
        <w:t xml:space="preserve">culturally and ethnically Germanic peoples of the Orange Free State and the Transvaal. Anger, frustration, and humiliation followed with the apprehension of the three mail steamers, </w:t>
      </w:r>
      <w:r w:rsidR="0067688C">
        <w:t>which</w:t>
      </w:r>
      <w:r w:rsidR="004319A2">
        <w:t xml:space="preserve"> reinforced </w:t>
      </w:r>
      <w:r w:rsidR="0067688C">
        <w:t xml:space="preserve">the </w:t>
      </w:r>
      <w:r w:rsidR="004319A2">
        <w:t xml:space="preserve">need for </w:t>
      </w:r>
      <w:r w:rsidR="00F064AE">
        <w:t>sea power</w:t>
      </w:r>
      <w:r w:rsidR="004319A2">
        <w:t xml:space="preserve"> to defend both Germany’s overseas interests and its pride as well. As the Reichstag took to debating the merits of Tirpitz’s Second Navy Law, these events </w:t>
      </w:r>
      <w:r w:rsidR="0067688C">
        <w:t>hung</w:t>
      </w:r>
      <w:r w:rsidR="004319A2">
        <w:t xml:space="preserve"> in the air. Bülow and the bill’s proponents utilized these events to underscore the need for a larger navy.</w:t>
      </w:r>
      <w:r w:rsidR="00767B88">
        <w:t xml:space="preserve"> Of most importance, these events—particularly the Samoan Affair and Boer War—had helped reinforce the notion that British control of the seas was no longer beneficial for Germany’s aspirations on the world stage. If Germany were to continue pushing for international trade, the development of its colonial empire, and its rise as a Great Power, then it must have a more powerful force</w:t>
      </w:r>
      <w:r w:rsidR="00F064AE">
        <w:t xml:space="preserve"> of its own</w:t>
      </w:r>
      <w:r w:rsidR="00767B88">
        <w:t xml:space="preserve"> </w:t>
      </w:r>
      <w:r w:rsidR="0067688C">
        <w:t xml:space="preserve">with which </w:t>
      </w:r>
      <w:r w:rsidR="00767B88">
        <w:t xml:space="preserve">to do so. </w:t>
      </w:r>
    </w:p>
    <w:p w:rsidR="006D29D9" w:rsidRDefault="005835AA" w:rsidP="00B53834">
      <w:pPr>
        <w:spacing w:line="480" w:lineRule="auto"/>
        <w:ind w:firstLine="720"/>
        <w:jc w:val="both"/>
      </w:pPr>
      <w:r>
        <w:t>The empire’s changing domestic political and societal conditions played the most compelling role in th</w:t>
      </w:r>
      <w:r w:rsidR="002D3C7D">
        <w:t>e fight for the Second Navy Law,</w:t>
      </w:r>
      <w:r>
        <w:t xml:space="preserve"> and without which the legislation would have faced a much more challenging political battle. The government’s push for </w:t>
      </w:r>
      <w:r>
        <w:rPr>
          <w:i/>
        </w:rPr>
        <w:lastRenderedPageBreak/>
        <w:t>Sammlungspolitik</w:t>
      </w:r>
      <w:r>
        <w:t xml:space="preserve"> created an opportunity for National Liberals, Conservatives, and Centre deputies to cooperate together on issues of national importance and collectively stymie the growth and agitation of social democracy.</w:t>
      </w:r>
      <w:r w:rsidR="00B53834">
        <w:t xml:space="preserve"> S</w:t>
      </w:r>
      <w:r>
        <w:t xml:space="preserve">ocial democracy </w:t>
      </w:r>
      <w:r w:rsidR="00B53834">
        <w:t>did pose</w:t>
      </w:r>
      <w:r>
        <w:t xml:space="preserve"> a problem </w:t>
      </w:r>
      <w:r w:rsidR="00257005">
        <w:t xml:space="preserve">of varying degree </w:t>
      </w:r>
      <w:r>
        <w:t>to each of those three parti</w:t>
      </w:r>
      <w:r w:rsidR="00257005">
        <w:t xml:space="preserve">es and made cooperation on naval expansion to combat it a more appealing notion. </w:t>
      </w:r>
      <w:r w:rsidR="00B53834">
        <w:t>The</w:t>
      </w:r>
      <w:r w:rsidR="00257005">
        <w:t xml:space="preserve"> </w:t>
      </w:r>
      <w:r w:rsidR="003A37BC">
        <w:t>Centre</w:t>
      </w:r>
      <w:r w:rsidR="00257005">
        <w:t xml:space="preserve"> and </w:t>
      </w:r>
      <w:r w:rsidR="003A37BC">
        <w:t>Conservative</w:t>
      </w:r>
      <w:r w:rsidR="00257005">
        <w:t xml:space="preserve"> parties, howev</w:t>
      </w:r>
      <w:r w:rsidR="00B53834">
        <w:t>er, had more pressing political, social, and economic</w:t>
      </w:r>
      <w:r w:rsidR="00257005">
        <w:t xml:space="preserve"> </w:t>
      </w:r>
      <w:r w:rsidR="0067688C">
        <w:t>concerns</w:t>
      </w:r>
      <w:r w:rsidR="00257005">
        <w:t xml:space="preserve"> </w:t>
      </w:r>
      <w:r w:rsidR="00B53834">
        <w:t xml:space="preserve">that </w:t>
      </w:r>
      <w:r w:rsidR="00257005">
        <w:t>played a role.</w:t>
      </w:r>
      <w:r w:rsidR="003A37BC">
        <w:t xml:space="preserve"> For Catholics, the Second Navy Law served as a means of exerting the party’s growing political prominence in the Reichstag, while promoting the “national” interests of its bourgeois ranks. Moreover, cooperation served as a</w:t>
      </w:r>
      <w:r w:rsidR="00456DE4">
        <w:t xml:space="preserve"> potential</w:t>
      </w:r>
      <w:r w:rsidR="003A37BC">
        <w:t xml:space="preserve"> bargaining chip for extracting economic concessions to protect </w:t>
      </w:r>
      <w:r w:rsidR="0067688C">
        <w:t>their</w:t>
      </w:r>
      <w:r w:rsidR="003A37BC">
        <w:t xml:space="preserve"> massive agrarian political base. </w:t>
      </w:r>
      <w:r w:rsidR="00456DE4">
        <w:t>Meanwhile, the Conservative party</w:t>
      </w:r>
      <w:r w:rsidR="003A37BC">
        <w:t xml:space="preserve"> saw </w:t>
      </w:r>
      <w:r w:rsidR="00456DE4">
        <w:t>its</w:t>
      </w:r>
      <w:r w:rsidR="003A37BC">
        <w:t xml:space="preserve"> </w:t>
      </w:r>
      <w:r w:rsidR="00B53834">
        <w:t xml:space="preserve">political and economic </w:t>
      </w:r>
      <w:r w:rsidR="003A37BC">
        <w:t xml:space="preserve">power weakening, </w:t>
      </w:r>
      <w:r w:rsidR="00B53834">
        <w:t>highlighted</w:t>
      </w:r>
      <w:r w:rsidR="003A37BC">
        <w:t xml:space="preserve"> by </w:t>
      </w:r>
      <w:r w:rsidR="00456DE4">
        <w:t xml:space="preserve">the failure to halt </w:t>
      </w:r>
      <w:r w:rsidR="003A37BC">
        <w:t>Caprivi’s damaging trade agreements</w:t>
      </w:r>
      <w:r w:rsidR="004145BA">
        <w:t xml:space="preserve"> and the </w:t>
      </w:r>
      <w:r w:rsidR="00B53834">
        <w:t>damage they wrought</w:t>
      </w:r>
      <w:r w:rsidR="003A37BC">
        <w:t xml:space="preserve">. </w:t>
      </w:r>
      <w:r w:rsidR="004145BA">
        <w:t xml:space="preserve">The Canal Bill had </w:t>
      </w:r>
      <w:r w:rsidR="0067688C">
        <w:t>sharpened</w:t>
      </w:r>
      <w:r w:rsidR="004145BA">
        <w:t xml:space="preserve"> that issue and revealed the weakening relationship between aristocracy and monarchy that benefited neither</w:t>
      </w:r>
      <w:r w:rsidR="00B563CF">
        <w:t xml:space="preserve">, and </w:t>
      </w:r>
      <w:r w:rsidR="00456DE4">
        <w:t>Conservatives</w:t>
      </w:r>
      <w:r w:rsidR="00B563CF">
        <w:t xml:space="preserve"> feared that o</w:t>
      </w:r>
      <w:r w:rsidR="004145BA">
        <w:t xml:space="preserve">pposition to the Navy Law could further damage </w:t>
      </w:r>
      <w:r w:rsidR="0067688C">
        <w:t>that relationship</w:t>
      </w:r>
      <w:r w:rsidR="004145BA">
        <w:t xml:space="preserve"> and ultimately leave the party obsolete.</w:t>
      </w:r>
      <w:r w:rsidR="00B563CF">
        <w:t xml:space="preserve"> L</w:t>
      </w:r>
      <w:r w:rsidR="004145BA">
        <w:t>ike the Centre</w:t>
      </w:r>
      <w:r w:rsidR="003A37BC">
        <w:t>,</w:t>
      </w:r>
      <w:r w:rsidR="00B53834">
        <w:t xml:space="preserve"> though more immediately,</w:t>
      </w:r>
      <w:r w:rsidR="003A37BC">
        <w:t xml:space="preserve"> </w:t>
      </w:r>
      <w:r w:rsidR="00B563CF">
        <w:t xml:space="preserve">they also </w:t>
      </w:r>
      <w:r w:rsidR="003A37BC">
        <w:t xml:space="preserve">sought </w:t>
      </w:r>
      <w:r w:rsidR="00B563CF">
        <w:t>prot</w:t>
      </w:r>
      <w:r w:rsidR="00456DE4">
        <w:t>ectionist agricultural measures to assure that their party and constituents were not economically harmed by nava</w:t>
      </w:r>
      <w:r w:rsidR="002620FD">
        <w:t xml:space="preserve">l expansion, but </w:t>
      </w:r>
      <w:r w:rsidR="00B53834">
        <w:t>that they benefited instead</w:t>
      </w:r>
      <w:r w:rsidR="002620FD">
        <w:t xml:space="preserve">. </w:t>
      </w:r>
      <w:r w:rsidR="006D29D9">
        <w:t xml:space="preserve">Together, </w:t>
      </w:r>
      <w:r w:rsidR="00B53834">
        <w:t>the two parties</w:t>
      </w:r>
      <w:r w:rsidR="006D29D9">
        <w:t xml:space="preserve"> made every effort possible to convince the government </w:t>
      </w:r>
      <w:r w:rsidR="0067688C">
        <w:t>to accede</w:t>
      </w:r>
      <w:r w:rsidR="006D29D9">
        <w:t xml:space="preserve"> to their requests or face failure in the Reichstag</w:t>
      </w:r>
      <w:r w:rsidR="00B53834">
        <w:t>. Ultimately they succeeded, and in June 1900 the bill passed.</w:t>
      </w:r>
    </w:p>
    <w:p w:rsidR="00504899" w:rsidRDefault="00FD3DCB" w:rsidP="00504899">
      <w:pPr>
        <w:spacing w:line="480" w:lineRule="auto"/>
        <w:ind w:firstLine="720"/>
        <w:jc w:val="both"/>
      </w:pPr>
      <w:r>
        <w:t>These domestic political and societal factors reveal the dynamism of German society at t</w:t>
      </w:r>
      <w:r w:rsidR="0067688C">
        <w:t>he turn of the 20</w:t>
      </w:r>
      <w:r w:rsidR="0067688C" w:rsidRPr="0067688C">
        <w:rPr>
          <w:vertAlign w:val="superscript"/>
        </w:rPr>
        <w:t>th</w:t>
      </w:r>
      <w:r w:rsidR="0067688C">
        <w:t xml:space="preserve"> century and its e</w:t>
      </w:r>
      <w:r>
        <w:t xml:space="preserve">ffects on domestic and international affairs. Political power was rapidly changing hands. Those losing it sought to delay the inevitable, while those gaining it sought to solidify and continue expanding their influence. For the government, </w:t>
      </w:r>
      <w:r>
        <w:rPr>
          <w:i/>
        </w:rPr>
        <w:t>Sammlungspolitik</w:t>
      </w:r>
      <w:r>
        <w:t xml:space="preserve"> </w:t>
      </w:r>
      <w:r>
        <w:lastRenderedPageBreak/>
        <w:t xml:space="preserve">was an ambitious effort to promote its own imperial ambitions and quell political unrest, much of which it believed stemmed from </w:t>
      </w:r>
      <w:r w:rsidR="0067688C">
        <w:t xml:space="preserve">the rise of </w:t>
      </w:r>
      <w:r>
        <w:t xml:space="preserve">social democracy. Indeed, </w:t>
      </w:r>
      <w:r>
        <w:rPr>
          <w:i/>
        </w:rPr>
        <w:t>Sammlungspolitik</w:t>
      </w:r>
      <w:r>
        <w:t xml:space="preserve"> appeared successful with the</w:t>
      </w:r>
      <w:r w:rsidR="00504899">
        <w:t xml:space="preserve"> passage of the First Navy Law, </w:t>
      </w:r>
      <w:r>
        <w:t xml:space="preserve">though the Canal Bill and </w:t>
      </w:r>
      <w:r w:rsidR="0067688C">
        <w:t>pending renewal</w:t>
      </w:r>
      <w:r>
        <w:t xml:space="preserve"> of the Caprivi trade agreements illustrated the </w:t>
      </w:r>
      <w:r w:rsidR="00504899">
        <w:t xml:space="preserve">real </w:t>
      </w:r>
      <w:r>
        <w:t xml:space="preserve">fragility of </w:t>
      </w:r>
      <w:r w:rsidR="0067688C">
        <w:t>this</w:t>
      </w:r>
      <w:r w:rsidR="00504899">
        <w:t xml:space="preserve"> political coalition</w:t>
      </w:r>
      <w:r>
        <w:t xml:space="preserve">. </w:t>
      </w:r>
      <w:r w:rsidR="00504899">
        <w:t xml:space="preserve">As Tirpitz and the government promoted </w:t>
      </w:r>
      <w:r w:rsidR="00504899">
        <w:rPr>
          <w:i/>
        </w:rPr>
        <w:t>Sammlungspolitik</w:t>
      </w:r>
      <w:r w:rsidR="00504899">
        <w:t xml:space="preserve"> for the passage of the Second Navy Law, it was the self-interest of the Centre and Conservative parties that brought them to the table</w:t>
      </w:r>
      <w:r>
        <w:t xml:space="preserve"> </w:t>
      </w:r>
      <w:r w:rsidR="00504899">
        <w:t>and won their cooperation. There was no guarantee that they would comply with future government initiatives on the same scale, as the empire’s drastically changing economic, demographic, and political landscape could have created countless new challenges to cooperation.</w:t>
      </w:r>
      <w:r w:rsidR="00817241">
        <w:t xml:space="preserve"> But that is another matter. The important fact is that they supported and ultimately passed the Second Navy Law.</w:t>
      </w:r>
    </w:p>
    <w:p w:rsidR="00AF783C" w:rsidRDefault="00817241" w:rsidP="000338CE">
      <w:pPr>
        <w:spacing w:line="480" w:lineRule="auto"/>
        <w:ind w:firstLine="720"/>
        <w:jc w:val="both"/>
      </w:pPr>
      <w:r>
        <w:t>The Law’s success bore considerable importance for the course of German, European, and world history</w:t>
      </w:r>
      <w:r w:rsidR="005C60F0">
        <w:t xml:space="preserve">. For the Admiral, </w:t>
      </w:r>
      <w:r w:rsidR="00AF783C">
        <w:t>it</w:t>
      </w:r>
      <w:r w:rsidR="005C60F0">
        <w:t xml:space="preserve"> was the beginning of a much broader plan and a much larger navy that could wrest control of the seas </w:t>
      </w:r>
      <w:r w:rsidR="00D65BCC">
        <w:t xml:space="preserve">away </w:t>
      </w:r>
      <w:r w:rsidR="005C60F0">
        <w:t xml:space="preserve">from </w:t>
      </w:r>
      <w:r w:rsidR="00D65BCC">
        <w:t>Britain</w:t>
      </w:r>
      <w:r w:rsidR="005C60F0">
        <w:t xml:space="preserve">. </w:t>
      </w:r>
      <w:r w:rsidR="00D65BCC">
        <w:t>Between passage and rejection, the R</w:t>
      </w:r>
      <w:r w:rsidR="00027CBA">
        <w:t>eichstag stood poised to either bind the empire’s foreign relations</w:t>
      </w:r>
      <w:r w:rsidR="00D65BCC">
        <w:t xml:space="preserve"> </w:t>
      </w:r>
      <w:r w:rsidR="00027CBA">
        <w:t>to this new and ambitious naval policy or to accept the First Navy Law</w:t>
      </w:r>
      <w:r w:rsidR="00567890">
        <w:t xml:space="preserve"> as sufficient for protecting the empire’s interests</w:t>
      </w:r>
      <w:r w:rsidR="00027CBA">
        <w:t>.</w:t>
      </w:r>
      <w:r>
        <w:t xml:space="preserve"> </w:t>
      </w:r>
      <w:r w:rsidR="000338CE">
        <w:t xml:space="preserve">Had Germany’s domestic political and social </w:t>
      </w:r>
      <w:r w:rsidR="00101D30">
        <w:t xml:space="preserve">conditions </w:t>
      </w:r>
      <w:r w:rsidR="000338CE">
        <w:t xml:space="preserve">been different, had government pressures and leading figures been absent, had specific international events not occurred or taken the course they </w:t>
      </w:r>
      <w:r w:rsidR="0067688C">
        <w:t>did</w:t>
      </w:r>
      <w:r w:rsidR="000338CE">
        <w:t>, the</w:t>
      </w:r>
      <w:r w:rsidR="00AF783C">
        <w:t xml:space="preserve"> </w:t>
      </w:r>
      <w:r>
        <w:t xml:space="preserve">Reichstag might have rejected, or at least delayed, the legislative effort. Germany would not have risen to the naval </w:t>
      </w:r>
      <w:r w:rsidR="000E79D5">
        <w:t>power</w:t>
      </w:r>
      <w:r>
        <w:t xml:space="preserve"> that it </w:t>
      </w:r>
      <w:r w:rsidR="00C54279">
        <w:t>became,</w:t>
      </w:r>
      <w:r>
        <w:t xml:space="preserve"> </w:t>
      </w:r>
      <w:r w:rsidR="00B25C8E">
        <w:t xml:space="preserve">Britain would not have been </w:t>
      </w:r>
      <w:r w:rsidR="000E79D5">
        <w:t>forced to engage in</w:t>
      </w:r>
      <w:r w:rsidR="00B25C8E">
        <w:t xml:space="preserve"> an arms race with Germany </w:t>
      </w:r>
      <w:r w:rsidR="000E79D5">
        <w:t xml:space="preserve">or to reconcile </w:t>
      </w:r>
      <w:r w:rsidR="00B25C8E">
        <w:t>with France and</w:t>
      </w:r>
      <w:r w:rsidR="00C54279">
        <w:t xml:space="preserve"> Russia, and Anglo-German antagonism might not have been so acute by the summer of 1914. The factors and influences that led to the First World War could have been drastically different.</w:t>
      </w:r>
    </w:p>
    <w:p w:rsidR="008124FA" w:rsidRDefault="000947D7" w:rsidP="007A788B">
      <w:pPr>
        <w:spacing w:line="480" w:lineRule="auto"/>
        <w:ind w:firstLine="720"/>
        <w:jc w:val="both"/>
      </w:pPr>
      <w:r>
        <w:lastRenderedPageBreak/>
        <w:t xml:space="preserve">Such was not the case, however. The passage of the Second Navy Law cemented the creation of a new political </w:t>
      </w:r>
      <w:r w:rsidR="000E79D5">
        <w:t>order</w:t>
      </w:r>
      <w:r>
        <w:t xml:space="preserve"> that had begun with the Law of 1898 and realigned the domestic forces that would move Germany closer towards war. </w:t>
      </w:r>
      <w:r w:rsidR="007A788B">
        <w:t>The Centre party succeeded in becoming the primary party of the Reichstag and arbiter of domestic affairs for the next six years, until then-Chancellor Bülow unsuccessfully attempted to create a new political coalition without the Catholic vote. Catholics and Conservatives similarly won the agricultural concessions they had demanded by 1902-3, but again only after difficult political fighting with the government, capitalists, and industrialists in the Reichstag and in spite of Thielmann’s assurances of concessions during the debate on the Second Navy Law. This political order would last</w:t>
      </w:r>
      <w:r w:rsidR="008B5447">
        <w:t xml:space="preserve">, just barely, </w:t>
      </w:r>
      <w:r w:rsidR="007A788B">
        <w:t>until the collapse of the German Empire</w:t>
      </w:r>
      <w:r w:rsidR="008B5447">
        <w:t xml:space="preserve"> in 1918, but by then </w:t>
      </w:r>
      <w:r w:rsidR="000E79D5">
        <w:t>it</w:t>
      </w:r>
      <w:r w:rsidR="008B5447">
        <w:t xml:space="preserve"> had provided Admiral Tirpitz with three additional navy bills that fueled the disastrous arms</w:t>
      </w:r>
      <w:r w:rsidR="008124FA">
        <w:t xml:space="preserve"> </w:t>
      </w:r>
      <w:r w:rsidR="008B5447">
        <w:t>race with Britain.</w:t>
      </w:r>
    </w:p>
    <w:p w:rsidR="007A788B" w:rsidRDefault="008124FA" w:rsidP="007A788B">
      <w:pPr>
        <w:spacing w:line="480" w:lineRule="auto"/>
        <w:ind w:firstLine="720"/>
        <w:jc w:val="both"/>
      </w:pPr>
      <w:r>
        <w:t xml:space="preserve">The First and Second Navy Laws had created the necessary infrastructure within which Tirpitz could utilize the cooperation of </w:t>
      </w:r>
      <w:r w:rsidR="000E79D5">
        <w:t xml:space="preserve">the </w:t>
      </w:r>
      <w:r>
        <w:t xml:space="preserve">Centre and Conservative parties and push for these supplementary laws. They had supported the creation of a modern German fleet to protect and advance the interests of the empire, but </w:t>
      </w:r>
      <w:r w:rsidR="000E79D5">
        <w:t>Britain’s</w:t>
      </w:r>
      <w:r>
        <w:t xml:space="preserve"> introduction of the Dreadnought battleship</w:t>
      </w:r>
      <w:r w:rsidR="00E03334">
        <w:t xml:space="preserve"> in 1906</w:t>
      </w:r>
      <w:r>
        <w:t xml:space="preserve"> had </w:t>
      </w:r>
      <w:r w:rsidR="00E51A9B">
        <w:t>rendered</w:t>
      </w:r>
      <w:r>
        <w:t xml:space="preserve"> Germany’s new naval forces obsolete overnight. If the country’s efforts were not to have been in vain, then the Centre, Conservatives, and National Liberals </w:t>
      </w:r>
      <w:r w:rsidR="000E79D5">
        <w:t>would have to</w:t>
      </w:r>
      <w:r>
        <w:t xml:space="preserve"> accede to new legislation to </w:t>
      </w:r>
      <w:r>
        <w:rPr>
          <w:i/>
        </w:rPr>
        <w:t>yet again</w:t>
      </w:r>
      <w:r>
        <w:t xml:space="preserve"> construct a new and “modern” fleet of German Dreadnought battleships. For Tirpitz, the introduction of the Dreadnought only put Germany further behind in challenging British naval superiority </w:t>
      </w:r>
      <w:r w:rsidR="00E03334">
        <w:t>and necessitated a redoubling of efforts, which followed with the 1906, 1908, and 1912 S</w:t>
      </w:r>
      <w:r w:rsidR="005716BC">
        <w:t>upplementary Navy Laws</w:t>
      </w:r>
      <w:r w:rsidR="00F45B01">
        <w:t>.</w:t>
      </w:r>
      <w:r w:rsidR="005716BC">
        <w:t xml:space="preserve"> </w:t>
      </w:r>
      <w:r w:rsidR="00F45B01">
        <w:t>These Laws made clear to Britain and the world that Germany would sit second to no other power on the seas, if given the oppor</w:t>
      </w:r>
      <w:r w:rsidR="000E79D5">
        <w:t>tunity and means to avoid doing so</w:t>
      </w:r>
      <w:r w:rsidR="00F45B01">
        <w:t>.</w:t>
      </w:r>
    </w:p>
    <w:p w:rsidR="004906CC" w:rsidRDefault="00F45B01" w:rsidP="004906CC">
      <w:pPr>
        <w:spacing w:line="480" w:lineRule="auto"/>
        <w:jc w:val="both"/>
      </w:pPr>
      <w:r>
        <w:lastRenderedPageBreak/>
        <w:tab/>
        <w:t>Unfolding international conflicts and crises between 1900 and 1914 further helped to solidify the navalist movement and the mentality behind it. Germany’s diplomatic relationships began to sour with the world’s other leading powers</w:t>
      </w:r>
      <w:r w:rsidR="000E79D5">
        <w:t>,</w:t>
      </w:r>
      <w:r>
        <w:t xml:space="preserve"> </w:t>
      </w:r>
      <w:r w:rsidR="000E79D5">
        <w:t>providing</w:t>
      </w:r>
      <w:r>
        <w:t xml:space="preserve"> </w:t>
      </w:r>
      <w:r w:rsidR="00E51A9B">
        <w:t>further</w:t>
      </w:r>
      <w:r>
        <w:t xml:space="preserve"> context for justifying Tirpitz’s and the government’s calls for continued naval dev</w:t>
      </w:r>
      <w:r w:rsidR="000E79D5">
        <w:t>elopment. Although some Germans—Socialists and Left Liberals among them—became</w:t>
      </w:r>
      <w:r>
        <w:t xml:space="preserve"> increasingly frightened by their nation’s diplomatic isolation, the trend for naval expansion and modernization became </w:t>
      </w:r>
      <w:r w:rsidR="000E79D5">
        <w:t xml:space="preserve">ever </w:t>
      </w:r>
      <w:r>
        <w:t>more difficult to reverse. Britain responded to Germany’s fleet build-up by reorganizi</w:t>
      </w:r>
      <w:r w:rsidR="004906CC">
        <w:t>ng its forces around the world, forming an alliance with Japan, and mending relations with France and Russia—</w:t>
      </w:r>
      <w:r w:rsidR="000E79D5">
        <w:t>eventualities with which</w:t>
      </w:r>
      <w:r w:rsidR="004906CC">
        <w:t xml:space="preserve"> Tirpitz had </w:t>
      </w:r>
      <w:r w:rsidR="000E79D5">
        <w:t>not reckoned</w:t>
      </w:r>
      <w:r w:rsidR="004906CC">
        <w:t xml:space="preserve"> in his calculations of </w:t>
      </w:r>
      <w:r w:rsidR="004906CC">
        <w:rPr>
          <w:i/>
        </w:rPr>
        <w:t>Risk Theory</w:t>
      </w:r>
      <w:r w:rsidR="004906CC">
        <w:t xml:space="preserve">—but still he and the government demanded naval </w:t>
      </w:r>
      <w:r w:rsidR="00E51A9B">
        <w:t>expansion</w:t>
      </w:r>
      <w:r w:rsidR="004906CC">
        <w:t xml:space="preserve"> to protect the empire in the face of strengthening rivals. The Second Navy Law had put that in motion and helped to scare Britain into reassessing its views of Germany as a continental friend and pot</w:t>
      </w:r>
      <w:r w:rsidR="000E79D5">
        <w:t>ential ally; and after repeated diplomatic</w:t>
      </w:r>
      <w:r w:rsidR="004906CC">
        <w:t xml:space="preserve"> rebukes from the German government, Britain was prompted to seek </w:t>
      </w:r>
      <w:r w:rsidR="000E79D5">
        <w:t>other allies</w:t>
      </w:r>
      <w:r w:rsidR="004906CC">
        <w:t xml:space="preserve"> in Japan, France, and Russia. Countless factors played into the unraveling of European relations on the eve of the First World War, and the Second Navy Law is </w:t>
      </w:r>
      <w:r w:rsidR="003D4BBA">
        <w:t>by no means solely</w:t>
      </w:r>
      <w:r w:rsidR="004906CC">
        <w:t xml:space="preserve"> responsible for the outbreak of war. The Law did, however, take Germany down a path towards continued naval expansion that was tied to an anti-British foreign policy at heart, and one that proved increasingly difficult to </w:t>
      </w:r>
      <w:r w:rsidR="003D4BBA">
        <w:t>reverse</w:t>
      </w:r>
      <w:r w:rsidR="004906CC">
        <w:t xml:space="preserve">. </w:t>
      </w:r>
      <w:r w:rsidR="003D4BBA">
        <w:t>By</w:t>
      </w:r>
      <w:r w:rsidR="004906CC">
        <w:t xml:space="preserve"> the s</w:t>
      </w:r>
      <w:r w:rsidR="008400E7">
        <w:t xml:space="preserve">ummer of </w:t>
      </w:r>
      <w:r w:rsidR="003D4BBA">
        <w:t xml:space="preserve">1914 pressure had built to a point that </w:t>
      </w:r>
      <w:r w:rsidR="008400E7">
        <w:t>made the avoidance of war extremely difficult for Chancellor Bethmann-Hollweg</w:t>
      </w:r>
      <w:r w:rsidR="00E51A9B">
        <w:t xml:space="preserve"> and the German government</w:t>
      </w:r>
      <w:r w:rsidR="008400E7">
        <w:t>.</w:t>
      </w:r>
    </w:p>
    <w:p w:rsidR="000338CE" w:rsidRDefault="004906CC" w:rsidP="009B1CE7">
      <w:pPr>
        <w:spacing w:line="480" w:lineRule="auto"/>
        <w:ind w:firstLine="720"/>
        <w:jc w:val="both"/>
      </w:pPr>
      <w:r>
        <w:t xml:space="preserve">Tirpitz had played his cards right and made excellent use of the empire’s dynamic social, political, and economic landscape </w:t>
      </w:r>
      <w:r w:rsidR="008400E7">
        <w:t>to pass the Second Navy Law with</w:t>
      </w:r>
      <w:r>
        <w:t xml:space="preserve"> Centre and Conservative support.</w:t>
      </w:r>
      <w:r w:rsidR="008400E7">
        <w:t xml:space="preserve"> To be sure, the Admiral</w:t>
      </w:r>
      <w:r w:rsidR="003D4BBA">
        <w:t>’s</w:t>
      </w:r>
      <w:r w:rsidR="008400E7">
        <w:t xml:space="preserve"> and </w:t>
      </w:r>
      <w:r w:rsidR="003D4BBA">
        <w:t xml:space="preserve">the </w:t>
      </w:r>
      <w:r w:rsidR="008400E7">
        <w:t xml:space="preserve">government’s legislative victory was supported by </w:t>
      </w:r>
      <w:r w:rsidR="008400E7">
        <w:lastRenderedPageBreak/>
        <w:t>numerous other elements, and those addressed in this work are not exhaustive.</w:t>
      </w:r>
      <w:r w:rsidR="00817241">
        <w:t xml:space="preserve"> Further investigation into German politics and society at the turn of the 20</w:t>
      </w:r>
      <w:r w:rsidR="00817241" w:rsidRPr="000338CE">
        <w:rPr>
          <w:vertAlign w:val="superscript"/>
        </w:rPr>
        <w:t>th</w:t>
      </w:r>
      <w:r w:rsidR="00817241">
        <w:t xml:space="preserve"> century, as well as ongoing international trends and developments, </w:t>
      </w:r>
      <w:r w:rsidR="003D4BBA">
        <w:t>is needed</w:t>
      </w:r>
      <w:r w:rsidR="00817241">
        <w:t xml:space="preserve"> for a better understanding of Tirpitz and the </w:t>
      </w:r>
      <w:r w:rsidR="00005360">
        <w:t>expansion</w:t>
      </w:r>
      <w:r w:rsidR="00817241">
        <w:t xml:space="preserve"> of his anti-British battle fleet</w:t>
      </w:r>
      <w:r w:rsidR="00C54279">
        <w:t>. This study ultimately finds that the nation’s domestic political and social factors played a predominant role in shaping the</w:t>
      </w:r>
      <w:r w:rsidR="008400E7">
        <w:t xml:space="preserve"> </w:t>
      </w:r>
      <w:r w:rsidR="006B4A0E">
        <w:t>growth</w:t>
      </w:r>
      <w:r w:rsidR="008400E7">
        <w:t xml:space="preserve"> of Germany’s fleet, </w:t>
      </w:r>
      <w:r w:rsidR="00C54279">
        <w:t>creating that “political power factor” that Tirpitz so eagerly sought</w:t>
      </w:r>
      <w:r w:rsidR="008400E7">
        <w:t>, and entrenching a national policy and mentality that made later avoidance of war increasingly challenging</w:t>
      </w:r>
      <w:r w:rsidR="00C54279">
        <w:t xml:space="preserve">. Indeed, by 1914 Tirpitz had that “political power factor” </w:t>
      </w:r>
      <w:r w:rsidR="00E51A9B">
        <w:t xml:space="preserve">he so desired </w:t>
      </w:r>
      <w:r w:rsidR="00C54279">
        <w:t>and it had proven its</w:t>
      </w:r>
      <w:r w:rsidR="00E51A9B">
        <w:t xml:space="preserve"> capability to alter Anglo-German relations. Unfortunately for the Admiral and for Germany, the new navy a</w:t>
      </w:r>
      <w:r w:rsidR="009B1CE7">
        <w:t>ltered those relations entirely to opposite of what he had hoped for.</w:t>
      </w:r>
    </w:p>
    <w:p w:rsidR="00817241" w:rsidRDefault="00817241" w:rsidP="000338CE">
      <w:pPr>
        <w:spacing w:line="480" w:lineRule="auto"/>
        <w:jc w:val="both"/>
      </w:pPr>
    </w:p>
    <w:p w:rsidR="00A77F46" w:rsidRDefault="00A77F46" w:rsidP="00F13581">
      <w:pPr>
        <w:spacing w:line="480" w:lineRule="auto"/>
        <w:ind w:firstLine="720"/>
        <w:jc w:val="both"/>
        <w:sectPr w:rsidR="00A77F46" w:rsidSect="006462EF">
          <w:headerReference w:type="even" r:id="rId8"/>
          <w:headerReference w:type="default" r:id="rId9"/>
          <w:footerReference w:type="even" r:id="rId10"/>
          <w:footerReference w:type="default" r:id="rId11"/>
          <w:pgSz w:w="12240" w:h="15840"/>
          <w:pgMar w:top="1440" w:right="1440" w:bottom="1440" w:left="1440" w:header="720" w:footer="720" w:gutter="0"/>
          <w:cols w:space="720"/>
        </w:sectPr>
      </w:pPr>
    </w:p>
    <w:p w:rsidR="003B7B66" w:rsidRDefault="003B7B66" w:rsidP="00F13581">
      <w:pPr>
        <w:spacing w:line="480" w:lineRule="auto"/>
        <w:ind w:firstLine="720"/>
        <w:jc w:val="both"/>
      </w:pPr>
    </w:p>
    <w:p w:rsidR="002A38A8" w:rsidRDefault="002A38A8" w:rsidP="00DC73EB">
      <w:pPr>
        <w:pStyle w:val="ListParagraph"/>
        <w:tabs>
          <w:tab w:val="left" w:pos="720"/>
        </w:tabs>
        <w:spacing w:line="480" w:lineRule="auto"/>
        <w:ind w:hanging="810"/>
        <w:jc w:val="center"/>
        <w:rPr>
          <w:u w:val="single"/>
        </w:rPr>
      </w:pPr>
      <w:r>
        <w:rPr>
          <w:u w:val="single"/>
        </w:rPr>
        <w:t>Bibliography</w:t>
      </w:r>
    </w:p>
    <w:p w:rsidR="00202997" w:rsidRDefault="00202997" w:rsidP="002A38A8">
      <w:pPr>
        <w:pStyle w:val="ListParagraph"/>
        <w:tabs>
          <w:tab w:val="left" w:pos="720"/>
          <w:tab w:val="left" w:pos="1440"/>
        </w:tabs>
        <w:spacing w:line="480" w:lineRule="auto"/>
        <w:ind w:left="1440"/>
        <w:jc w:val="center"/>
        <w:rPr>
          <w:u w:val="single"/>
        </w:rPr>
      </w:pPr>
    </w:p>
    <w:p w:rsidR="00641952" w:rsidRDefault="00641952" w:rsidP="00641952">
      <w:pPr>
        <w:widowControl w:val="0"/>
        <w:autoSpaceDE w:val="0"/>
        <w:autoSpaceDN w:val="0"/>
        <w:adjustRightInd w:val="0"/>
        <w:ind w:left="720" w:hanging="720"/>
        <w:rPr>
          <w:color w:val="000000"/>
        </w:rPr>
      </w:pPr>
      <w:r w:rsidRPr="0086569B">
        <w:rPr>
          <w:color w:val="000000"/>
        </w:rPr>
        <w:t xml:space="preserve"> “Auszug a</w:t>
      </w:r>
      <w:r>
        <w:rPr>
          <w:color w:val="000000"/>
        </w:rPr>
        <w:t>u</w:t>
      </w:r>
      <w:r w:rsidRPr="0086569B">
        <w:rPr>
          <w:color w:val="000000"/>
        </w:rPr>
        <w:t>s der Denkschrift des Fregattenkapitäns v. Heeringen vom 24. September 1900 über Aufgaben und Arbeitsmet</w:t>
      </w:r>
      <w:r>
        <w:rPr>
          <w:color w:val="000000"/>
        </w:rPr>
        <w:t>hoden des Nachrichtenbureaus,” i</w:t>
      </w:r>
      <w:r w:rsidRPr="0086569B">
        <w:rPr>
          <w:color w:val="000000"/>
        </w:rPr>
        <w:t xml:space="preserve">n </w:t>
      </w:r>
      <w:r w:rsidRPr="0086569B">
        <w:rPr>
          <w:i/>
          <w:iCs/>
          <w:color w:val="000000"/>
        </w:rPr>
        <w:t>Rüstung im Zeichen der wilhelmischen Weltpolitik: Grundlegende Dokumente 1890-1914</w:t>
      </w:r>
      <w:r w:rsidRPr="0086569B">
        <w:rPr>
          <w:color w:val="000000"/>
        </w:rPr>
        <w:t>,</w:t>
      </w:r>
      <w:r>
        <w:rPr>
          <w:color w:val="000000"/>
        </w:rPr>
        <w:t xml:space="preserve"> edited by Volker R. Berghahn</w:t>
      </w:r>
      <w:r w:rsidRPr="0086569B">
        <w:rPr>
          <w:color w:val="000000"/>
        </w:rPr>
        <w:t xml:space="preserve"> and </w:t>
      </w:r>
      <w:r>
        <w:rPr>
          <w:color w:val="000000"/>
        </w:rPr>
        <w:t>Wilhelm Deist.</w:t>
      </w:r>
      <w:r w:rsidRPr="0086569B">
        <w:rPr>
          <w:color w:val="000000"/>
        </w:rPr>
        <w:t xml:space="preserve"> Düsseldorf: Droste Verlag GmbH, 1988.</w:t>
      </w:r>
      <w:r>
        <w:rPr>
          <w:color w:val="000000"/>
        </w:rPr>
        <w:t xml:space="preserve"> 201-211.</w:t>
      </w:r>
    </w:p>
    <w:p w:rsidR="00641952" w:rsidRDefault="00641952" w:rsidP="00202997">
      <w:pPr>
        <w:tabs>
          <w:tab w:val="left" w:pos="90"/>
          <w:tab w:val="left" w:pos="720"/>
          <w:tab w:val="left" w:pos="1440"/>
        </w:tabs>
        <w:ind w:left="720" w:hanging="720"/>
      </w:pPr>
    </w:p>
    <w:p w:rsidR="00202997" w:rsidRDefault="00202997" w:rsidP="00202997">
      <w:pPr>
        <w:tabs>
          <w:tab w:val="left" w:pos="90"/>
          <w:tab w:val="left" w:pos="720"/>
          <w:tab w:val="left" w:pos="1440"/>
        </w:tabs>
        <w:ind w:left="720" w:hanging="720"/>
      </w:pPr>
      <w:r>
        <w:t>Berghahn, Volker R.</w:t>
      </w:r>
      <w:r>
        <w:rPr>
          <w:i/>
        </w:rPr>
        <w:t xml:space="preserve"> Der Tirpitz-Plan: Genesis und Verfall einer Innenpolitischen Krisenstratagie unter Wilhelm II</w:t>
      </w:r>
      <w:r>
        <w:t>. Düsseldorf: Droste Verlag, 1971.</w:t>
      </w:r>
    </w:p>
    <w:p w:rsidR="00D90ABC" w:rsidRDefault="00D90ABC" w:rsidP="00202997">
      <w:pPr>
        <w:tabs>
          <w:tab w:val="left" w:pos="90"/>
          <w:tab w:val="left" w:pos="720"/>
          <w:tab w:val="left" w:pos="1440"/>
        </w:tabs>
        <w:ind w:left="720" w:hanging="720"/>
      </w:pPr>
    </w:p>
    <w:p w:rsidR="00202997" w:rsidRPr="005B54F0" w:rsidRDefault="00D90ABC" w:rsidP="005B54F0">
      <w:pPr>
        <w:widowControl w:val="0"/>
        <w:autoSpaceDE w:val="0"/>
        <w:autoSpaceDN w:val="0"/>
        <w:adjustRightInd w:val="0"/>
        <w:ind w:left="720" w:hanging="720"/>
        <w:rPr>
          <w:color w:val="000000"/>
        </w:rPr>
      </w:pPr>
      <w:r>
        <w:rPr>
          <w:iCs/>
          <w:color w:val="000000"/>
        </w:rPr>
        <w:t xml:space="preserve">Berghahn, Volker R., Deist, Wilhelm, eds. </w:t>
      </w:r>
      <w:r>
        <w:rPr>
          <w:i/>
          <w:iCs/>
          <w:color w:val="000000"/>
        </w:rPr>
        <w:t>Rü</w:t>
      </w:r>
      <w:r w:rsidRPr="0086569B">
        <w:rPr>
          <w:i/>
          <w:iCs/>
          <w:color w:val="000000"/>
        </w:rPr>
        <w:t>stung im Zeichen der wilhelminischen Weltpolitik: Grundlegende Dokumente 1890-1914</w:t>
      </w:r>
      <w:r>
        <w:rPr>
          <w:color w:val="000000"/>
        </w:rPr>
        <w:t>. Dü</w:t>
      </w:r>
      <w:r w:rsidRPr="0086569B">
        <w:rPr>
          <w:color w:val="000000"/>
        </w:rPr>
        <w:t>sseldorf: Droste</w:t>
      </w:r>
      <w:r w:rsidR="005B54F0">
        <w:rPr>
          <w:color w:val="000000"/>
        </w:rPr>
        <w:t xml:space="preserve"> Verlag GmbH</w:t>
      </w:r>
      <w:r w:rsidRPr="0086569B">
        <w:rPr>
          <w:color w:val="000000"/>
        </w:rPr>
        <w:t>, 1988.</w:t>
      </w:r>
    </w:p>
    <w:p w:rsidR="00D90ABC" w:rsidRDefault="00D90ABC" w:rsidP="00202997">
      <w:pPr>
        <w:tabs>
          <w:tab w:val="left" w:pos="720"/>
          <w:tab w:val="left" w:pos="1440"/>
        </w:tabs>
      </w:pPr>
    </w:p>
    <w:p w:rsidR="00202997" w:rsidRDefault="00202997" w:rsidP="00202997">
      <w:pPr>
        <w:tabs>
          <w:tab w:val="left" w:pos="720"/>
          <w:tab w:val="left" w:pos="1440"/>
        </w:tabs>
        <w:ind w:left="720" w:hanging="720"/>
      </w:pPr>
      <w:r>
        <w:t xml:space="preserve">Blackbourn, David. “Class and Politics in Wilhelmine Germany: The Center Party and the Social Democrats in Württemberg,” in </w:t>
      </w:r>
      <w:r>
        <w:rPr>
          <w:i/>
        </w:rPr>
        <w:t>Central European History</w:t>
      </w:r>
      <w:r>
        <w:t xml:space="preserve"> 9, no. 3 (September 1976): 220-249.</w:t>
      </w:r>
    </w:p>
    <w:p w:rsidR="00202997" w:rsidRDefault="00202997" w:rsidP="00202997">
      <w:pPr>
        <w:tabs>
          <w:tab w:val="left" w:pos="720"/>
          <w:tab w:val="left" w:pos="1440"/>
        </w:tabs>
      </w:pPr>
    </w:p>
    <w:p w:rsidR="00202997" w:rsidRDefault="00202997" w:rsidP="00202997">
      <w:pPr>
        <w:tabs>
          <w:tab w:val="left" w:pos="720"/>
          <w:tab w:val="left" w:pos="1440"/>
        </w:tabs>
        <w:rPr>
          <w:color w:val="000000"/>
        </w:rPr>
      </w:pPr>
      <w:r w:rsidRPr="0086569B">
        <w:rPr>
          <w:color w:val="000000"/>
        </w:rPr>
        <w:t>———.</w:t>
      </w:r>
      <w:r>
        <w:rPr>
          <w:color w:val="000000"/>
        </w:rPr>
        <w:t xml:space="preserve"> </w:t>
      </w:r>
      <w:r>
        <w:rPr>
          <w:i/>
          <w:color w:val="000000"/>
        </w:rPr>
        <w:t>Class, Religion, and local politics in Wilhelmine Germany: The Centre party in Württemberg Before 1914.</w:t>
      </w:r>
      <w:r>
        <w:rPr>
          <w:color w:val="000000"/>
        </w:rPr>
        <w:t xml:space="preserve"> New Haven: Yale University Press, 1980.</w:t>
      </w:r>
    </w:p>
    <w:p w:rsidR="00202997" w:rsidRDefault="00202997" w:rsidP="00202997">
      <w:pPr>
        <w:tabs>
          <w:tab w:val="left" w:pos="720"/>
          <w:tab w:val="left" w:pos="1440"/>
        </w:tabs>
        <w:rPr>
          <w:color w:val="000000"/>
        </w:rPr>
      </w:pPr>
    </w:p>
    <w:p w:rsidR="00202997" w:rsidRDefault="00202997" w:rsidP="00202997">
      <w:pPr>
        <w:tabs>
          <w:tab w:val="left" w:pos="720"/>
          <w:tab w:val="left" w:pos="1440"/>
        </w:tabs>
        <w:rPr>
          <w:color w:val="000000"/>
        </w:rPr>
      </w:pPr>
      <w:r w:rsidRPr="0086569B">
        <w:rPr>
          <w:color w:val="000000"/>
        </w:rPr>
        <w:t>———.</w:t>
      </w:r>
      <w:r>
        <w:rPr>
          <w:i/>
          <w:color w:val="000000"/>
        </w:rPr>
        <w:t xml:space="preserve"> History of Germany, 1780-1918: The Long Nineteenth Century</w:t>
      </w:r>
      <w:r>
        <w:rPr>
          <w:color w:val="000000"/>
        </w:rPr>
        <w:t>. 2</w:t>
      </w:r>
      <w:r w:rsidRPr="00202997">
        <w:rPr>
          <w:color w:val="000000"/>
          <w:vertAlign w:val="superscript"/>
        </w:rPr>
        <w:t>nd</w:t>
      </w:r>
      <w:r>
        <w:rPr>
          <w:color w:val="000000"/>
        </w:rPr>
        <w:t xml:space="preserve"> ed. Malden: Blackwell Publishing, 2003.</w:t>
      </w:r>
    </w:p>
    <w:p w:rsidR="00202997" w:rsidRDefault="00202997" w:rsidP="00202997">
      <w:pPr>
        <w:tabs>
          <w:tab w:val="left" w:pos="720"/>
          <w:tab w:val="left" w:pos="1440"/>
        </w:tabs>
        <w:rPr>
          <w:color w:val="000000"/>
        </w:rPr>
      </w:pPr>
    </w:p>
    <w:p w:rsidR="00202997" w:rsidRDefault="00202997" w:rsidP="00202997">
      <w:pPr>
        <w:tabs>
          <w:tab w:val="left" w:pos="720"/>
        </w:tabs>
        <w:ind w:left="720" w:hanging="720"/>
        <w:rPr>
          <w:color w:val="000000"/>
        </w:rPr>
      </w:pPr>
      <w:r>
        <w:rPr>
          <w:color w:val="000000"/>
        </w:rPr>
        <w:t xml:space="preserve">Bülow, Bernhard von. </w:t>
      </w:r>
      <w:r>
        <w:rPr>
          <w:i/>
          <w:color w:val="000000"/>
        </w:rPr>
        <w:t>Memoirs of Prince von Bülow</w:t>
      </w:r>
      <w:r>
        <w:rPr>
          <w:color w:val="000000"/>
        </w:rPr>
        <w:t>. Translated by F.A. Voigt. Boston: Little, Brown, and Company, 1931.</w:t>
      </w:r>
    </w:p>
    <w:p w:rsidR="00202997" w:rsidRDefault="00202997" w:rsidP="00202997">
      <w:pPr>
        <w:tabs>
          <w:tab w:val="left" w:pos="720"/>
          <w:tab w:val="left" w:pos="1440"/>
        </w:tabs>
        <w:rPr>
          <w:color w:val="000000"/>
        </w:rPr>
      </w:pPr>
    </w:p>
    <w:p w:rsidR="00202997" w:rsidRDefault="00202997" w:rsidP="00202997">
      <w:pPr>
        <w:tabs>
          <w:tab w:val="left" w:pos="720"/>
          <w:tab w:val="left" w:pos="1440"/>
        </w:tabs>
        <w:rPr>
          <w:color w:val="000000"/>
        </w:rPr>
      </w:pPr>
      <w:r w:rsidRPr="0086569B">
        <w:rPr>
          <w:color w:val="000000"/>
        </w:rPr>
        <w:t>———.</w:t>
      </w:r>
      <w:r>
        <w:rPr>
          <w:color w:val="000000"/>
        </w:rPr>
        <w:t xml:space="preserve"> </w:t>
      </w:r>
      <w:r>
        <w:rPr>
          <w:i/>
          <w:color w:val="000000"/>
        </w:rPr>
        <w:t>Imperial Germany</w:t>
      </w:r>
      <w:r>
        <w:rPr>
          <w:color w:val="000000"/>
        </w:rPr>
        <w:t>. Translated by Marie A. Lewenz. New York: AMA Press, 1971.</w:t>
      </w:r>
    </w:p>
    <w:p w:rsidR="00202997" w:rsidRDefault="00202997" w:rsidP="00202997">
      <w:pPr>
        <w:tabs>
          <w:tab w:val="left" w:pos="720"/>
          <w:tab w:val="left" w:pos="1440"/>
        </w:tabs>
        <w:rPr>
          <w:color w:val="000000"/>
        </w:rPr>
      </w:pPr>
    </w:p>
    <w:p w:rsidR="00C6364F" w:rsidRPr="00C6364F" w:rsidRDefault="00C6364F" w:rsidP="00202997">
      <w:pPr>
        <w:tabs>
          <w:tab w:val="left" w:pos="720"/>
          <w:tab w:val="left" w:pos="1440"/>
        </w:tabs>
        <w:rPr>
          <w:color w:val="000000"/>
        </w:rPr>
      </w:pPr>
      <w:r>
        <w:rPr>
          <w:color w:val="000000"/>
        </w:rPr>
        <w:t xml:space="preserve">Clark, Christopher, </w:t>
      </w:r>
      <w:r>
        <w:rPr>
          <w:i/>
          <w:color w:val="000000"/>
        </w:rPr>
        <w:t>Kaiser Wilhelm II</w:t>
      </w:r>
      <w:r>
        <w:rPr>
          <w:color w:val="000000"/>
        </w:rPr>
        <w:t>. Harlow: Longman, 2000.</w:t>
      </w:r>
    </w:p>
    <w:p w:rsidR="00C6364F" w:rsidRDefault="00C6364F" w:rsidP="00202997">
      <w:pPr>
        <w:tabs>
          <w:tab w:val="left" w:pos="720"/>
          <w:tab w:val="left" w:pos="1440"/>
        </w:tabs>
        <w:rPr>
          <w:color w:val="000000"/>
        </w:rPr>
      </w:pPr>
    </w:p>
    <w:p w:rsidR="00202997" w:rsidRDefault="00202997" w:rsidP="00202997">
      <w:pPr>
        <w:widowControl w:val="0"/>
        <w:autoSpaceDE w:val="0"/>
        <w:autoSpaceDN w:val="0"/>
        <w:adjustRightInd w:val="0"/>
        <w:ind w:left="720" w:hanging="720"/>
        <w:rPr>
          <w:color w:val="000000"/>
        </w:rPr>
      </w:pPr>
      <w:r>
        <w:rPr>
          <w:color w:val="000000"/>
        </w:rPr>
        <w:t>Cra</w:t>
      </w:r>
      <w:r w:rsidRPr="0086569B">
        <w:rPr>
          <w:color w:val="000000"/>
        </w:rPr>
        <w:t xml:space="preserve">ig, Gordon Alexander. </w:t>
      </w:r>
      <w:r w:rsidRPr="0086569B">
        <w:rPr>
          <w:i/>
          <w:iCs/>
          <w:color w:val="000000"/>
        </w:rPr>
        <w:t>Germany, 1866-1945</w:t>
      </w:r>
      <w:r w:rsidRPr="0086569B">
        <w:rPr>
          <w:color w:val="000000"/>
        </w:rPr>
        <w:t>. New York: Oxford University Press, 1980.</w:t>
      </w:r>
    </w:p>
    <w:p w:rsidR="00202997" w:rsidRPr="0086569B" w:rsidRDefault="00202997"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 </w:t>
      </w:r>
      <w:r w:rsidRPr="0086569B">
        <w:rPr>
          <w:i/>
          <w:iCs/>
          <w:color w:val="000000"/>
        </w:rPr>
        <w:t>The Politics of the Prussian Army 1640-1945</w:t>
      </w:r>
      <w:r w:rsidRPr="0086569B">
        <w:rPr>
          <w:color w:val="000000"/>
        </w:rPr>
        <w:t>. Oxford: Clarendon Press, 1955.</w:t>
      </w:r>
    </w:p>
    <w:p w:rsidR="00202997" w:rsidRPr="0086569B" w:rsidRDefault="00202997"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Das Reichsmarineamt. </w:t>
      </w:r>
      <w:r w:rsidRPr="0086569B">
        <w:rPr>
          <w:i/>
          <w:iCs/>
          <w:color w:val="000000"/>
        </w:rPr>
        <w:t>Die Seeinteressen des Deutschen Reichs.</w:t>
      </w:r>
      <w:r w:rsidRPr="0086569B">
        <w:rPr>
          <w:color w:val="000000"/>
        </w:rPr>
        <w:t xml:space="preserve"> Berlin, 1898.</w:t>
      </w:r>
    </w:p>
    <w:p w:rsidR="00641952" w:rsidRDefault="00641952" w:rsidP="00202997">
      <w:pPr>
        <w:widowControl w:val="0"/>
        <w:autoSpaceDE w:val="0"/>
        <w:autoSpaceDN w:val="0"/>
        <w:adjustRightInd w:val="0"/>
        <w:ind w:left="720" w:hanging="720"/>
        <w:rPr>
          <w:color w:val="000000"/>
        </w:rPr>
      </w:pPr>
    </w:p>
    <w:p w:rsidR="00641952" w:rsidRDefault="00641952" w:rsidP="00641952">
      <w:pPr>
        <w:widowControl w:val="0"/>
        <w:autoSpaceDE w:val="0"/>
        <w:autoSpaceDN w:val="0"/>
        <w:adjustRightInd w:val="0"/>
        <w:ind w:left="720" w:hanging="720"/>
        <w:rPr>
          <w:color w:val="000000"/>
        </w:rPr>
      </w:pPr>
      <w:r w:rsidRPr="0086569B">
        <w:rPr>
          <w:color w:val="000000"/>
        </w:rPr>
        <w:t>“Denkschrift des Staatssekretärs des Reichsmarineamts, Kontreadmiral Tirpitz, vom Juli 1897</w:t>
      </w:r>
      <w:r>
        <w:rPr>
          <w:color w:val="000000"/>
        </w:rPr>
        <w:t>,</w:t>
      </w:r>
      <w:r w:rsidRPr="0086569B">
        <w:rPr>
          <w:color w:val="000000"/>
        </w:rPr>
        <w:t>”</w:t>
      </w:r>
      <w:r>
        <w:rPr>
          <w:color w:val="000000"/>
        </w:rPr>
        <w:t xml:space="preserve"> i</w:t>
      </w:r>
      <w:r w:rsidRPr="0086569B">
        <w:rPr>
          <w:color w:val="000000"/>
        </w:rPr>
        <w:t xml:space="preserve">n </w:t>
      </w:r>
      <w:r w:rsidRPr="0086569B">
        <w:rPr>
          <w:i/>
          <w:iCs/>
          <w:color w:val="000000"/>
        </w:rPr>
        <w:t>Rüstung im Zeichen der wilhelmischen Weltpolitik: Grundlegende Dokumente 1890-1914</w:t>
      </w:r>
      <w:r w:rsidRPr="0086569B">
        <w:rPr>
          <w:color w:val="000000"/>
        </w:rPr>
        <w:t xml:space="preserve">, </w:t>
      </w:r>
      <w:r>
        <w:rPr>
          <w:color w:val="000000"/>
        </w:rPr>
        <w:t>edited by Volker R. Berghahn and Wilhelm Deist</w:t>
      </w:r>
      <w:r w:rsidRPr="0086569B">
        <w:rPr>
          <w:color w:val="000000"/>
        </w:rPr>
        <w:t>. Düsseldorf: Droste Verlag GmbH, 1988.</w:t>
      </w:r>
      <w:r>
        <w:rPr>
          <w:color w:val="000000"/>
        </w:rPr>
        <w:t xml:space="preserve"> 122-127.</w:t>
      </w:r>
    </w:p>
    <w:p w:rsidR="00C53938" w:rsidRDefault="00C53938" w:rsidP="00202997">
      <w:pPr>
        <w:widowControl w:val="0"/>
        <w:autoSpaceDE w:val="0"/>
        <w:autoSpaceDN w:val="0"/>
        <w:adjustRightInd w:val="0"/>
        <w:ind w:left="720" w:hanging="720"/>
        <w:rPr>
          <w:color w:val="000000"/>
        </w:rPr>
      </w:pPr>
    </w:p>
    <w:p w:rsidR="00C53938" w:rsidRDefault="00C53938" w:rsidP="00202997">
      <w:pPr>
        <w:widowControl w:val="0"/>
        <w:autoSpaceDE w:val="0"/>
        <w:autoSpaceDN w:val="0"/>
        <w:adjustRightInd w:val="0"/>
        <w:ind w:left="720" w:hanging="720"/>
        <w:rPr>
          <w:color w:val="000000"/>
        </w:rPr>
      </w:pPr>
      <w:r>
        <w:t xml:space="preserve">Dolan, Ronald E., ed. “Spanish-American War: Outbreak of War, 1898,” in </w:t>
      </w:r>
      <w:r>
        <w:rPr>
          <w:i/>
        </w:rPr>
        <w:t xml:space="preserve">Philippines: A </w:t>
      </w:r>
      <w:r>
        <w:rPr>
          <w:i/>
        </w:rPr>
        <w:lastRenderedPageBreak/>
        <w:t>Country Study</w:t>
      </w:r>
      <w:r>
        <w:t xml:space="preserve">. Washington: Government Printing Office, 1991. </w:t>
      </w:r>
      <w:r w:rsidRPr="00C639CA">
        <w:t>http://countrystudies.us/philippines/13.htm</w:t>
      </w:r>
    </w:p>
    <w:p w:rsidR="00202997" w:rsidRPr="0086569B" w:rsidRDefault="00202997"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Dunlap, Thomas, trans. “Elections to the Reichstag (1890-1912).” Online Document Archive. </w:t>
      </w:r>
      <w:r w:rsidRPr="0086569B">
        <w:rPr>
          <w:i/>
          <w:iCs/>
          <w:color w:val="000000"/>
        </w:rPr>
        <w:t>German History in Documents and Images</w:t>
      </w:r>
      <w:r w:rsidRPr="0086569B">
        <w:rPr>
          <w:color w:val="000000"/>
        </w:rPr>
        <w:t xml:space="preserve">. </w:t>
      </w:r>
      <w:r w:rsidRPr="00202997">
        <w:rPr>
          <w:color w:val="000000"/>
        </w:rPr>
        <w:t>http://germanhistorydocs.ghi-dc.org/docpage.cfm?docpage_id=1332</w:t>
      </w:r>
      <w:r>
        <w:rPr>
          <w:color w:val="000000"/>
        </w:rPr>
        <w:t>.</w:t>
      </w:r>
    </w:p>
    <w:p w:rsidR="00202997" w:rsidRPr="0086569B" w:rsidRDefault="00202997"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Fischer, Fritz. </w:t>
      </w:r>
      <w:r w:rsidRPr="0086569B">
        <w:rPr>
          <w:i/>
          <w:iCs/>
          <w:color w:val="000000"/>
        </w:rPr>
        <w:t>Germany's Aims in the First World War</w:t>
      </w:r>
      <w:r>
        <w:rPr>
          <w:color w:val="000000"/>
        </w:rPr>
        <w:t>. Translator</w:t>
      </w:r>
      <w:r w:rsidRPr="0086569B">
        <w:rPr>
          <w:color w:val="000000"/>
        </w:rPr>
        <w:t xml:space="preserve"> not given. </w:t>
      </w:r>
      <w:r w:rsidR="004522AA">
        <w:rPr>
          <w:color w:val="000000"/>
        </w:rPr>
        <w:t xml:space="preserve">New York: </w:t>
      </w:r>
      <w:r w:rsidRPr="0086569B">
        <w:rPr>
          <w:color w:val="000000"/>
        </w:rPr>
        <w:t>W. W. Norton &amp; Company, 1968.</w:t>
      </w:r>
    </w:p>
    <w:p w:rsidR="00435051" w:rsidRPr="0086569B" w:rsidRDefault="00435051"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Forbes, Ian L. D. “Social Imperialism and Wilhelmine G</w:t>
      </w:r>
      <w:r>
        <w:rPr>
          <w:color w:val="000000"/>
        </w:rPr>
        <w:t>ermany,</w:t>
      </w:r>
      <w:r w:rsidRPr="0086569B">
        <w:rPr>
          <w:color w:val="000000"/>
        </w:rPr>
        <w:t xml:space="preserve">” </w:t>
      </w:r>
      <w:r>
        <w:rPr>
          <w:color w:val="000000"/>
        </w:rPr>
        <w:t xml:space="preserve">in </w:t>
      </w:r>
      <w:r w:rsidRPr="0086569B">
        <w:rPr>
          <w:i/>
          <w:iCs/>
          <w:color w:val="000000"/>
        </w:rPr>
        <w:t>The Historical Journal</w:t>
      </w:r>
      <w:r w:rsidRPr="0086569B">
        <w:rPr>
          <w:color w:val="000000"/>
        </w:rPr>
        <w:t xml:space="preserve"> 22, no. 2 (June 1979): 331-349.</w:t>
      </w:r>
    </w:p>
    <w:p w:rsidR="00202997" w:rsidRDefault="00202997" w:rsidP="00202997">
      <w:pPr>
        <w:widowControl w:val="0"/>
        <w:autoSpaceDE w:val="0"/>
        <w:autoSpaceDN w:val="0"/>
        <w:adjustRightInd w:val="0"/>
        <w:ind w:left="720" w:hanging="720"/>
        <w:rPr>
          <w:color w:val="000000"/>
        </w:rPr>
      </w:pPr>
    </w:p>
    <w:p w:rsidR="001F593D" w:rsidRDefault="001F593D" w:rsidP="00202997">
      <w:pPr>
        <w:widowControl w:val="0"/>
        <w:autoSpaceDE w:val="0"/>
        <w:autoSpaceDN w:val="0"/>
        <w:adjustRightInd w:val="0"/>
        <w:ind w:left="720" w:hanging="720"/>
        <w:rPr>
          <w:color w:val="000000"/>
        </w:rPr>
      </w:pPr>
      <w:r>
        <w:rPr>
          <w:color w:val="000000"/>
        </w:rPr>
        <w:t xml:space="preserve">Hollstein, Friedrich von, </w:t>
      </w:r>
      <w:r>
        <w:rPr>
          <w:i/>
          <w:color w:val="000000"/>
        </w:rPr>
        <w:t>The Holstein Paper</w:t>
      </w:r>
      <w:r w:rsidR="00FB15A1">
        <w:rPr>
          <w:i/>
          <w:color w:val="000000"/>
        </w:rPr>
        <w:t>s: Volume IV</w:t>
      </w:r>
      <w:r w:rsidR="00FB15A1">
        <w:rPr>
          <w:color w:val="000000"/>
        </w:rPr>
        <w:t>.</w:t>
      </w:r>
      <w:r>
        <w:rPr>
          <w:color w:val="000000"/>
        </w:rPr>
        <w:t xml:space="preserve"> Translator not given. Edited by Norman Rich and M.H. Fischer. Cambridge: University Press</w:t>
      </w:r>
      <w:r w:rsidR="00FB15A1">
        <w:rPr>
          <w:color w:val="000000"/>
        </w:rPr>
        <w:t>.</w:t>
      </w:r>
    </w:p>
    <w:p w:rsidR="00FB15A1" w:rsidRPr="001F593D" w:rsidRDefault="00FB15A1"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Kehr, Eckart. </w:t>
      </w:r>
      <w:r w:rsidRPr="0086569B">
        <w:rPr>
          <w:i/>
          <w:iCs/>
          <w:color w:val="000000"/>
        </w:rPr>
        <w:t>Schlachtflottenbau und Partei-Politik 1894-1901; Versuch eines Querschnitts durch die innenpolitischen, sozialen und ideologischen Voraussetzungen des deutschen Imperialismus</w:t>
      </w:r>
      <w:r w:rsidRPr="0086569B">
        <w:rPr>
          <w:color w:val="000000"/>
        </w:rPr>
        <w:t>. Berlin: E. Ebering, 1930.</w:t>
      </w:r>
    </w:p>
    <w:p w:rsidR="00202997" w:rsidRPr="0086569B" w:rsidRDefault="00202997"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Kennedy, Paul M. </w:t>
      </w:r>
      <w:r w:rsidRPr="0086569B">
        <w:rPr>
          <w:i/>
          <w:iCs/>
          <w:color w:val="000000"/>
        </w:rPr>
        <w:t>The Rise of the Anglo-German Antagonism, 1860-1914</w:t>
      </w:r>
      <w:r w:rsidRPr="0086569B">
        <w:rPr>
          <w:color w:val="000000"/>
        </w:rPr>
        <w:t>. London: Allen &amp; Unwin, 1980.</w:t>
      </w:r>
    </w:p>
    <w:p w:rsidR="00202997" w:rsidRPr="0086569B" w:rsidRDefault="00202997"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“Tirpitz, England and the Second Navy Law of 1900: A Strategica</w:t>
      </w:r>
      <w:r w:rsidR="00435051">
        <w:rPr>
          <w:color w:val="000000"/>
        </w:rPr>
        <w:t>l Critique,</w:t>
      </w:r>
      <w:r w:rsidRPr="0086569B">
        <w:rPr>
          <w:color w:val="000000"/>
        </w:rPr>
        <w:t>”</w:t>
      </w:r>
      <w:r w:rsidR="00435051">
        <w:rPr>
          <w:color w:val="000000"/>
        </w:rPr>
        <w:t xml:space="preserve"> in </w:t>
      </w:r>
      <w:r w:rsidRPr="0086569B">
        <w:rPr>
          <w:i/>
          <w:iCs/>
          <w:color w:val="000000"/>
        </w:rPr>
        <w:t>Militärgeschichtliche Mitteilung</w:t>
      </w:r>
      <w:r w:rsidRPr="0086569B">
        <w:rPr>
          <w:color w:val="000000"/>
        </w:rPr>
        <w:t xml:space="preserve"> 2 (1970).</w:t>
      </w:r>
    </w:p>
    <w:p w:rsidR="00202997" w:rsidRPr="0086569B" w:rsidRDefault="00202997"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Massie, Robert K. </w:t>
      </w:r>
      <w:r w:rsidRPr="0086569B">
        <w:rPr>
          <w:i/>
          <w:iCs/>
          <w:color w:val="000000"/>
        </w:rPr>
        <w:t>Dreadnought: Britain, Germany, and the Coming of the Great War</w:t>
      </w:r>
      <w:r w:rsidRPr="0086569B">
        <w:rPr>
          <w:color w:val="000000"/>
        </w:rPr>
        <w:t>. New York: Random House, 1991.</w:t>
      </w:r>
    </w:p>
    <w:p w:rsidR="006D1421" w:rsidRPr="0086569B" w:rsidRDefault="006D1421" w:rsidP="00202997">
      <w:pPr>
        <w:widowControl w:val="0"/>
        <w:autoSpaceDE w:val="0"/>
        <w:autoSpaceDN w:val="0"/>
        <w:adjustRightInd w:val="0"/>
        <w:ind w:left="720" w:hanging="720"/>
        <w:rPr>
          <w:color w:val="000000"/>
        </w:rPr>
      </w:pPr>
    </w:p>
    <w:p w:rsidR="00202997" w:rsidRDefault="006D1421" w:rsidP="00202997">
      <w:pPr>
        <w:widowControl w:val="0"/>
        <w:autoSpaceDE w:val="0"/>
        <w:autoSpaceDN w:val="0"/>
        <w:adjustRightInd w:val="0"/>
        <w:ind w:left="720" w:hanging="720"/>
        <w:rPr>
          <w:color w:val="000000"/>
        </w:rPr>
      </w:pPr>
      <w:r>
        <w:rPr>
          <w:color w:val="000000"/>
        </w:rPr>
        <w:t>———</w:t>
      </w:r>
      <w:r w:rsidR="00202997" w:rsidRPr="0086569B">
        <w:rPr>
          <w:color w:val="000000"/>
        </w:rPr>
        <w:t xml:space="preserve">. </w:t>
      </w:r>
      <w:r w:rsidR="00202997" w:rsidRPr="0086569B">
        <w:rPr>
          <w:i/>
          <w:iCs/>
          <w:color w:val="000000"/>
        </w:rPr>
        <w:t>Castles of Steel: Britain, Germany, and the Winning of the Great War at Sea</w:t>
      </w:r>
      <w:r w:rsidR="00202997" w:rsidRPr="0086569B">
        <w:rPr>
          <w:color w:val="000000"/>
        </w:rPr>
        <w:t>. New York: Ballantine Books, 2004.</w:t>
      </w:r>
    </w:p>
    <w:p w:rsidR="00435051" w:rsidRPr="0086569B" w:rsidRDefault="00435051" w:rsidP="00202997">
      <w:pPr>
        <w:widowControl w:val="0"/>
        <w:autoSpaceDE w:val="0"/>
        <w:autoSpaceDN w:val="0"/>
        <w:adjustRightInd w:val="0"/>
        <w:ind w:left="720" w:hanging="720"/>
        <w:rPr>
          <w:color w:val="000000"/>
        </w:rPr>
      </w:pPr>
    </w:p>
    <w:p w:rsidR="00202997" w:rsidRDefault="00435051" w:rsidP="00202997">
      <w:pPr>
        <w:widowControl w:val="0"/>
        <w:autoSpaceDE w:val="0"/>
        <w:autoSpaceDN w:val="0"/>
        <w:adjustRightInd w:val="0"/>
        <w:ind w:left="720" w:hanging="720"/>
        <w:rPr>
          <w:color w:val="000000"/>
        </w:rPr>
      </w:pPr>
      <w:r>
        <w:rPr>
          <w:color w:val="000000"/>
        </w:rPr>
        <w:t>Meyer, Jü</w:t>
      </w:r>
      <w:r w:rsidR="00202997" w:rsidRPr="0086569B">
        <w:rPr>
          <w:color w:val="000000"/>
        </w:rPr>
        <w:t xml:space="preserve">rg. </w:t>
      </w:r>
      <w:r w:rsidR="00202997" w:rsidRPr="0086569B">
        <w:rPr>
          <w:i/>
          <w:iCs/>
          <w:color w:val="000000"/>
        </w:rPr>
        <w:t xml:space="preserve">Die Propaganda </w:t>
      </w:r>
      <w:r>
        <w:rPr>
          <w:i/>
          <w:iCs/>
          <w:color w:val="000000"/>
        </w:rPr>
        <w:t>der d</w:t>
      </w:r>
      <w:r w:rsidR="00202997" w:rsidRPr="0086569B">
        <w:rPr>
          <w:i/>
          <w:iCs/>
          <w:color w:val="000000"/>
        </w:rPr>
        <w:t>eutschen Flottenbewegung 1897-1900</w:t>
      </w:r>
      <w:r w:rsidR="00202997" w:rsidRPr="0086569B">
        <w:rPr>
          <w:color w:val="000000"/>
        </w:rPr>
        <w:t>. Bern: F. Pochon-Jent, 1967.</w:t>
      </w:r>
    </w:p>
    <w:p w:rsidR="00435051" w:rsidRPr="0086569B" w:rsidRDefault="00435051"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Nauticus. </w:t>
      </w:r>
      <w:r w:rsidRPr="0086569B">
        <w:rPr>
          <w:i/>
          <w:iCs/>
          <w:color w:val="000000"/>
        </w:rPr>
        <w:t>Beiträge Zur Flotten Novelle</w:t>
      </w:r>
      <w:r w:rsidRPr="0086569B">
        <w:rPr>
          <w:color w:val="000000"/>
        </w:rPr>
        <w:t>. Berlin: Ernst Sigfried Mittler und Sohn, 1900.</w:t>
      </w:r>
    </w:p>
    <w:p w:rsidR="00641952" w:rsidRDefault="00641952" w:rsidP="00202997">
      <w:pPr>
        <w:widowControl w:val="0"/>
        <w:autoSpaceDE w:val="0"/>
        <w:autoSpaceDN w:val="0"/>
        <w:adjustRightInd w:val="0"/>
        <w:ind w:left="720" w:hanging="720"/>
        <w:rPr>
          <w:color w:val="000000"/>
        </w:rPr>
      </w:pPr>
    </w:p>
    <w:p w:rsidR="00641952" w:rsidRDefault="00641952" w:rsidP="00641952">
      <w:pPr>
        <w:widowControl w:val="0"/>
        <w:autoSpaceDE w:val="0"/>
        <w:autoSpaceDN w:val="0"/>
        <w:adjustRightInd w:val="0"/>
        <w:ind w:left="720" w:hanging="720"/>
        <w:rPr>
          <w:color w:val="000000"/>
        </w:rPr>
      </w:pPr>
      <w:r w:rsidRPr="0086569B">
        <w:rPr>
          <w:color w:val="000000"/>
        </w:rPr>
        <w:t>“Notizen des Staatssekretärs des Reichsmarineamts, Kontreadmiral Tirpitz, zum Immediatvortrag am 28. September 1899 über die Vorbereitung und Zielsetzun</w:t>
      </w:r>
      <w:r>
        <w:rPr>
          <w:color w:val="000000"/>
        </w:rPr>
        <w:t>g der Novelle zum Flottengesetz,” i</w:t>
      </w:r>
      <w:r w:rsidRPr="0086569B">
        <w:rPr>
          <w:color w:val="000000"/>
        </w:rPr>
        <w:t xml:space="preserve">n </w:t>
      </w:r>
      <w:r w:rsidRPr="0086569B">
        <w:rPr>
          <w:i/>
          <w:iCs/>
          <w:color w:val="000000"/>
        </w:rPr>
        <w:t>Rüstung im Zeichen der wilhelmischen Weltpolitik: Grundlegende Dokumente 1890-1914</w:t>
      </w:r>
      <w:r w:rsidRPr="0086569B">
        <w:rPr>
          <w:color w:val="000000"/>
        </w:rPr>
        <w:t>,</w:t>
      </w:r>
      <w:r>
        <w:rPr>
          <w:color w:val="000000"/>
        </w:rPr>
        <w:t xml:space="preserve"> edited by</w:t>
      </w:r>
      <w:r w:rsidRPr="00641952">
        <w:rPr>
          <w:color w:val="000000"/>
        </w:rPr>
        <w:t xml:space="preserve"> </w:t>
      </w:r>
      <w:r>
        <w:rPr>
          <w:color w:val="000000"/>
        </w:rPr>
        <w:t xml:space="preserve">Volker R. Berghahn and Wilhelm Deist. </w:t>
      </w:r>
      <w:r w:rsidRPr="0086569B">
        <w:rPr>
          <w:color w:val="000000"/>
        </w:rPr>
        <w:t>Düsseldorf: Droste Verlag GmbH, 1988.</w:t>
      </w:r>
      <w:r>
        <w:rPr>
          <w:color w:val="000000"/>
        </w:rPr>
        <w:t xml:space="preserve"> 159-162.</w:t>
      </w:r>
    </w:p>
    <w:p w:rsidR="00435051" w:rsidRPr="0086569B" w:rsidRDefault="00435051"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Puhle, Hans-Jürgen. </w:t>
      </w:r>
      <w:r w:rsidRPr="0086569B">
        <w:rPr>
          <w:i/>
          <w:iCs/>
          <w:color w:val="000000"/>
        </w:rPr>
        <w:t>Agrarische Interessenpolitik und preußischer Konservatismus</w:t>
      </w:r>
      <w:r w:rsidRPr="0086569B">
        <w:rPr>
          <w:color w:val="000000"/>
        </w:rPr>
        <w:t>. Hannover: Verlag für Literatur und Zeitgeschehen, 1966.</w:t>
      </w:r>
    </w:p>
    <w:p w:rsidR="00435051" w:rsidRPr="0086569B" w:rsidRDefault="00435051"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lastRenderedPageBreak/>
        <w:t xml:space="preserve">Ritter, Gerhard. </w:t>
      </w:r>
      <w:r w:rsidRPr="0086569B">
        <w:rPr>
          <w:i/>
          <w:iCs/>
          <w:color w:val="000000"/>
        </w:rPr>
        <w:t>The Schlieffen Plan: Critique of a Myth</w:t>
      </w:r>
      <w:r w:rsidRPr="0086569B">
        <w:rPr>
          <w:color w:val="000000"/>
        </w:rPr>
        <w:t>. Translated by Andrew and Eva Wilson. New York: Praeger, 1958.</w:t>
      </w:r>
    </w:p>
    <w:p w:rsidR="00435051" w:rsidRDefault="00435051" w:rsidP="00202997">
      <w:pPr>
        <w:widowControl w:val="0"/>
        <w:autoSpaceDE w:val="0"/>
        <w:autoSpaceDN w:val="0"/>
        <w:adjustRightInd w:val="0"/>
        <w:ind w:left="720" w:hanging="720"/>
        <w:rPr>
          <w:color w:val="000000"/>
        </w:rPr>
      </w:pPr>
    </w:p>
    <w:p w:rsidR="00D90ABC" w:rsidRDefault="00D90ABC" w:rsidP="00202997">
      <w:pPr>
        <w:widowControl w:val="0"/>
        <w:autoSpaceDE w:val="0"/>
        <w:autoSpaceDN w:val="0"/>
        <w:adjustRightInd w:val="0"/>
        <w:ind w:left="720" w:hanging="720"/>
        <w:rPr>
          <w:color w:val="000000"/>
        </w:rPr>
      </w:pPr>
      <w:r>
        <w:rPr>
          <w:color w:val="000000"/>
        </w:rPr>
        <w:t>*See below for Reichstagsprotokolle</w:t>
      </w:r>
    </w:p>
    <w:p w:rsidR="00D90ABC" w:rsidRDefault="00D90ABC" w:rsidP="00202997">
      <w:pPr>
        <w:widowControl w:val="0"/>
        <w:autoSpaceDE w:val="0"/>
        <w:autoSpaceDN w:val="0"/>
        <w:adjustRightInd w:val="0"/>
        <w:ind w:left="720" w:hanging="720"/>
        <w:rPr>
          <w:color w:val="000000"/>
        </w:rPr>
      </w:pPr>
    </w:p>
    <w:p w:rsidR="001F14C5" w:rsidRPr="001F14C5" w:rsidRDefault="001F14C5" w:rsidP="00202997">
      <w:pPr>
        <w:widowControl w:val="0"/>
        <w:autoSpaceDE w:val="0"/>
        <w:autoSpaceDN w:val="0"/>
        <w:adjustRightInd w:val="0"/>
        <w:ind w:left="720" w:hanging="720"/>
        <w:rPr>
          <w:color w:val="000000"/>
        </w:rPr>
      </w:pPr>
      <w:r>
        <w:rPr>
          <w:color w:val="000000"/>
        </w:rPr>
        <w:t xml:space="preserve">Röhl, John C. G., </w:t>
      </w:r>
      <w:r>
        <w:rPr>
          <w:i/>
          <w:color w:val="000000"/>
        </w:rPr>
        <w:t>Wilhelm II: The Kaiser’s Personal Monarchy, 1888-1900</w:t>
      </w:r>
      <w:r>
        <w:rPr>
          <w:color w:val="000000"/>
        </w:rPr>
        <w:t>. Cambridge: Cambridge University Press, 2004.</w:t>
      </w:r>
    </w:p>
    <w:p w:rsidR="001F14C5" w:rsidRPr="0086569B" w:rsidRDefault="001F14C5" w:rsidP="00202997">
      <w:pPr>
        <w:widowControl w:val="0"/>
        <w:autoSpaceDE w:val="0"/>
        <w:autoSpaceDN w:val="0"/>
        <w:adjustRightInd w:val="0"/>
        <w:ind w:left="720" w:hanging="720"/>
        <w:rPr>
          <w:color w:val="000000"/>
        </w:rPr>
      </w:pPr>
    </w:p>
    <w:p w:rsidR="00202997" w:rsidRDefault="00435051" w:rsidP="00202997">
      <w:pPr>
        <w:widowControl w:val="0"/>
        <w:autoSpaceDE w:val="0"/>
        <w:autoSpaceDN w:val="0"/>
        <w:adjustRightInd w:val="0"/>
        <w:ind w:left="720" w:hanging="720"/>
        <w:rPr>
          <w:color w:val="000000"/>
        </w:rPr>
      </w:pPr>
      <w:r>
        <w:rPr>
          <w:color w:val="000000"/>
        </w:rPr>
        <w:t>Rü</w:t>
      </w:r>
      <w:r w:rsidR="00202997" w:rsidRPr="0086569B">
        <w:rPr>
          <w:color w:val="000000"/>
        </w:rPr>
        <w:t xml:space="preserve">ger, Jan. </w:t>
      </w:r>
      <w:r w:rsidR="00202997" w:rsidRPr="0086569B">
        <w:rPr>
          <w:i/>
          <w:iCs/>
          <w:color w:val="000000"/>
        </w:rPr>
        <w:t>The Great Naval Game: Britain and Germany in the Age of Empire</w:t>
      </w:r>
      <w:r w:rsidR="00202997" w:rsidRPr="0086569B">
        <w:rPr>
          <w:color w:val="000000"/>
        </w:rPr>
        <w:t>. Cambridge: Cambridge University Press, 2007.</w:t>
      </w:r>
    </w:p>
    <w:p w:rsidR="005B54F0" w:rsidRDefault="005B54F0" w:rsidP="005B54F0">
      <w:pPr>
        <w:widowControl w:val="0"/>
        <w:autoSpaceDE w:val="0"/>
        <w:autoSpaceDN w:val="0"/>
        <w:adjustRightInd w:val="0"/>
        <w:rPr>
          <w:color w:val="000000"/>
        </w:rPr>
      </w:pPr>
    </w:p>
    <w:p w:rsidR="00641952" w:rsidRDefault="00641952" w:rsidP="00641952">
      <w:pPr>
        <w:widowControl w:val="0"/>
        <w:autoSpaceDE w:val="0"/>
        <w:autoSpaceDN w:val="0"/>
        <w:adjustRightInd w:val="0"/>
        <w:ind w:left="720" w:hanging="720"/>
        <w:rPr>
          <w:color w:val="000000"/>
        </w:rPr>
      </w:pPr>
      <w:r w:rsidRPr="0086569B">
        <w:rPr>
          <w:color w:val="000000"/>
        </w:rPr>
        <w:t>“Schreiben des Korvettenkapitäns v. Heeringen an den Staatssekretär des Reichsmarineamts, Kontreadmiral Tirpitz, vom 6. Juli 1897 über Wirtschafts</w:t>
      </w:r>
      <w:r>
        <w:rPr>
          <w:color w:val="000000"/>
        </w:rPr>
        <w:t>interesse und Flottenpolitik,” i</w:t>
      </w:r>
      <w:r w:rsidRPr="0086569B">
        <w:rPr>
          <w:color w:val="000000"/>
        </w:rPr>
        <w:t xml:space="preserve">n </w:t>
      </w:r>
      <w:r w:rsidRPr="0086569B">
        <w:rPr>
          <w:i/>
          <w:iCs/>
          <w:color w:val="000000"/>
        </w:rPr>
        <w:t>Rüstung im Zeichen der wilhelmischen Weltpolitik: Grundlegende Dokumente 1890-1914</w:t>
      </w:r>
      <w:r w:rsidRPr="0086569B">
        <w:rPr>
          <w:color w:val="000000"/>
        </w:rPr>
        <w:t xml:space="preserve">, </w:t>
      </w:r>
      <w:r>
        <w:rPr>
          <w:color w:val="000000"/>
        </w:rPr>
        <w:t xml:space="preserve">edited by Volker R. Berghahn and Wilhelm Deist. </w:t>
      </w:r>
      <w:r w:rsidRPr="0086569B">
        <w:rPr>
          <w:color w:val="000000"/>
        </w:rPr>
        <w:t>Düsseldorf: Droste Verlag GmbH, 1988.</w:t>
      </w:r>
      <w:r>
        <w:rPr>
          <w:color w:val="000000"/>
        </w:rPr>
        <w:t xml:space="preserve"> 198-200.</w:t>
      </w:r>
    </w:p>
    <w:p w:rsidR="00435051" w:rsidRPr="0086569B" w:rsidRDefault="00435051" w:rsidP="00D90ABC">
      <w:pPr>
        <w:widowControl w:val="0"/>
        <w:autoSpaceDE w:val="0"/>
        <w:autoSpaceDN w:val="0"/>
        <w:adjustRightInd w:val="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Steinberg, Jonathan. </w:t>
      </w:r>
      <w:r w:rsidRPr="0086569B">
        <w:rPr>
          <w:i/>
          <w:iCs/>
          <w:color w:val="000000"/>
        </w:rPr>
        <w:t>Yesterday's Deterrent: Tirpitz and the Birth of the German Battle Fleet</w:t>
      </w:r>
      <w:r w:rsidRPr="0086569B">
        <w:rPr>
          <w:color w:val="000000"/>
        </w:rPr>
        <w:t>. London: Macdonald, 1965.</w:t>
      </w:r>
    </w:p>
    <w:p w:rsidR="00435051" w:rsidRPr="0086569B" w:rsidRDefault="00435051" w:rsidP="00D90ABC">
      <w:pPr>
        <w:widowControl w:val="0"/>
        <w:autoSpaceDE w:val="0"/>
        <w:autoSpaceDN w:val="0"/>
        <w:adjustRightInd w:val="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“The Problem of Democratisation: German Catholics and the Rol</w:t>
      </w:r>
      <w:r w:rsidR="00435051">
        <w:rPr>
          <w:color w:val="000000"/>
        </w:rPr>
        <w:t>e of the Centre Party,” i</w:t>
      </w:r>
      <w:r w:rsidRPr="0086569B">
        <w:rPr>
          <w:color w:val="000000"/>
        </w:rPr>
        <w:t xml:space="preserve">n </w:t>
      </w:r>
      <w:r w:rsidRPr="0086569B">
        <w:rPr>
          <w:i/>
          <w:iCs/>
          <w:color w:val="000000"/>
        </w:rPr>
        <w:t>Society and Politics in Wilhelmine Germany</w:t>
      </w:r>
      <w:r w:rsidRPr="0086569B">
        <w:rPr>
          <w:color w:val="000000"/>
        </w:rPr>
        <w:t>, 161-185. London: Croom Helm, 1978.</w:t>
      </w:r>
    </w:p>
    <w:p w:rsidR="00435051" w:rsidRPr="0086569B" w:rsidRDefault="00435051" w:rsidP="00202997">
      <w:pPr>
        <w:widowControl w:val="0"/>
        <w:autoSpaceDE w:val="0"/>
        <w:autoSpaceDN w:val="0"/>
        <w:adjustRightInd w:val="0"/>
        <w:ind w:left="720" w:hanging="72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Tirpitz, Alfred von. </w:t>
      </w:r>
      <w:r w:rsidRPr="0086569B">
        <w:rPr>
          <w:i/>
          <w:iCs/>
          <w:color w:val="000000"/>
        </w:rPr>
        <w:t>My Memoirs: Volume 1</w:t>
      </w:r>
      <w:r w:rsidRPr="0086569B">
        <w:rPr>
          <w:color w:val="000000"/>
        </w:rPr>
        <w:t xml:space="preserve">. </w:t>
      </w:r>
      <w:r w:rsidR="00435051">
        <w:rPr>
          <w:color w:val="000000"/>
        </w:rPr>
        <w:t>Translator</w:t>
      </w:r>
      <w:r w:rsidRPr="0086569B">
        <w:rPr>
          <w:color w:val="000000"/>
        </w:rPr>
        <w:t xml:space="preserve"> not given. 2 </w:t>
      </w:r>
      <w:r w:rsidR="00435051">
        <w:rPr>
          <w:color w:val="000000"/>
        </w:rPr>
        <w:t>Volumes</w:t>
      </w:r>
      <w:r w:rsidRPr="0086569B">
        <w:rPr>
          <w:color w:val="000000"/>
        </w:rPr>
        <w:t>. New York: AMS Press, 1970.</w:t>
      </w:r>
    </w:p>
    <w:p w:rsidR="00435051" w:rsidRDefault="00435051" w:rsidP="00D90ABC">
      <w:pPr>
        <w:widowControl w:val="0"/>
        <w:autoSpaceDE w:val="0"/>
        <w:autoSpaceDN w:val="0"/>
        <w:adjustRightInd w:val="0"/>
        <w:rPr>
          <w:color w:val="000000"/>
        </w:rPr>
      </w:pPr>
    </w:p>
    <w:p w:rsidR="00EC0054" w:rsidRPr="00EC0054" w:rsidRDefault="00EC0054" w:rsidP="00D90ABC">
      <w:pPr>
        <w:widowControl w:val="0"/>
        <w:autoSpaceDE w:val="0"/>
        <w:autoSpaceDN w:val="0"/>
        <w:adjustRightInd w:val="0"/>
        <w:rPr>
          <w:color w:val="000000"/>
        </w:rPr>
      </w:pPr>
      <w:r>
        <w:rPr>
          <w:i/>
          <w:color w:val="000000"/>
        </w:rPr>
        <w:t>The New York Times</w:t>
      </w:r>
      <w:r>
        <w:rPr>
          <w:color w:val="000000"/>
        </w:rPr>
        <w:t>.</w:t>
      </w:r>
    </w:p>
    <w:p w:rsidR="00EC0054" w:rsidRDefault="00EC0054" w:rsidP="00D90ABC">
      <w:pPr>
        <w:widowControl w:val="0"/>
        <w:autoSpaceDE w:val="0"/>
        <w:autoSpaceDN w:val="0"/>
        <w:adjustRightInd w:val="0"/>
        <w:rPr>
          <w:color w:val="000000"/>
        </w:rPr>
      </w:pPr>
    </w:p>
    <w:p w:rsidR="00641952" w:rsidRDefault="00641952" w:rsidP="00D90ABC">
      <w:pPr>
        <w:widowControl w:val="0"/>
        <w:autoSpaceDE w:val="0"/>
        <w:autoSpaceDN w:val="0"/>
        <w:adjustRightInd w:val="0"/>
        <w:rPr>
          <w:color w:val="000000"/>
        </w:rPr>
      </w:pPr>
      <w:r>
        <w:rPr>
          <w:i/>
          <w:color w:val="000000"/>
        </w:rPr>
        <w:t>The Times (London)</w:t>
      </w:r>
      <w:r>
        <w:rPr>
          <w:color w:val="000000"/>
        </w:rPr>
        <w:t>.</w:t>
      </w:r>
    </w:p>
    <w:p w:rsidR="00641952" w:rsidRPr="00641952" w:rsidRDefault="00641952" w:rsidP="00D90ABC">
      <w:pPr>
        <w:widowControl w:val="0"/>
        <w:autoSpaceDE w:val="0"/>
        <w:autoSpaceDN w:val="0"/>
        <w:adjustRightInd w:val="0"/>
        <w:rPr>
          <w:color w:val="000000"/>
        </w:rPr>
      </w:pPr>
    </w:p>
    <w:p w:rsidR="00202997" w:rsidRDefault="00202997" w:rsidP="00202997">
      <w:pPr>
        <w:widowControl w:val="0"/>
        <w:autoSpaceDE w:val="0"/>
        <w:autoSpaceDN w:val="0"/>
        <w:adjustRightInd w:val="0"/>
        <w:ind w:left="720" w:hanging="720"/>
        <w:rPr>
          <w:color w:val="000000"/>
        </w:rPr>
      </w:pPr>
      <w:r w:rsidRPr="0086569B">
        <w:rPr>
          <w:color w:val="000000"/>
        </w:rPr>
        <w:t xml:space="preserve">Weir, Gary E. </w:t>
      </w:r>
      <w:r w:rsidRPr="0086569B">
        <w:rPr>
          <w:i/>
          <w:iCs/>
          <w:color w:val="000000"/>
        </w:rPr>
        <w:t>Building the Kaiser's Navy: The Imperial Naval Office and German Industry in the Tirpitz Era, 1890-1919</w:t>
      </w:r>
      <w:r w:rsidR="00435051">
        <w:rPr>
          <w:color w:val="000000"/>
        </w:rPr>
        <w:t>. Annapolis</w:t>
      </w:r>
      <w:r w:rsidRPr="0086569B">
        <w:rPr>
          <w:color w:val="000000"/>
        </w:rPr>
        <w:t>: Naval Institute Press, 1992.</w:t>
      </w:r>
    </w:p>
    <w:p w:rsidR="00435051" w:rsidRPr="0086569B" w:rsidRDefault="00435051" w:rsidP="00202997">
      <w:pPr>
        <w:widowControl w:val="0"/>
        <w:autoSpaceDE w:val="0"/>
        <w:autoSpaceDN w:val="0"/>
        <w:adjustRightInd w:val="0"/>
        <w:ind w:left="720" w:hanging="720"/>
        <w:rPr>
          <w:color w:val="000000"/>
        </w:rPr>
      </w:pPr>
    </w:p>
    <w:p w:rsidR="00202997" w:rsidRDefault="007B434A" w:rsidP="00202997">
      <w:pPr>
        <w:widowControl w:val="0"/>
        <w:autoSpaceDE w:val="0"/>
        <w:autoSpaceDN w:val="0"/>
        <w:adjustRightInd w:val="0"/>
        <w:ind w:left="720" w:hanging="720"/>
        <w:rPr>
          <w:color w:val="000000"/>
        </w:rPr>
      </w:pPr>
      <w:r>
        <w:rPr>
          <w:color w:val="000000"/>
        </w:rPr>
        <w:t>Wilhelm II</w:t>
      </w:r>
      <w:r w:rsidR="00202997" w:rsidRPr="0086569B">
        <w:rPr>
          <w:color w:val="000000"/>
        </w:rPr>
        <w:t xml:space="preserve">. </w:t>
      </w:r>
      <w:r>
        <w:rPr>
          <w:i/>
          <w:iCs/>
          <w:color w:val="000000"/>
        </w:rPr>
        <w:t>The Kaiser's Memoirs</w:t>
      </w:r>
      <w:r>
        <w:rPr>
          <w:iCs/>
          <w:color w:val="000000"/>
        </w:rPr>
        <w:t>.</w:t>
      </w:r>
      <w:r>
        <w:rPr>
          <w:i/>
          <w:iCs/>
          <w:color w:val="000000"/>
        </w:rPr>
        <w:t xml:space="preserve"> </w:t>
      </w:r>
      <w:r>
        <w:rPr>
          <w:iCs/>
          <w:color w:val="000000"/>
        </w:rPr>
        <w:t>Translated</w:t>
      </w:r>
      <w:r w:rsidR="00202997" w:rsidRPr="007B434A">
        <w:rPr>
          <w:iCs/>
          <w:color w:val="000000"/>
        </w:rPr>
        <w:t xml:space="preserve"> by Thomas R. Ybarra</w:t>
      </w:r>
      <w:r w:rsidR="00202997" w:rsidRPr="007B434A">
        <w:rPr>
          <w:color w:val="000000"/>
        </w:rPr>
        <w:t>.</w:t>
      </w:r>
      <w:r w:rsidR="00202997" w:rsidRPr="0086569B">
        <w:rPr>
          <w:color w:val="000000"/>
        </w:rPr>
        <w:t xml:space="preserve"> 1st ed. New York: Harper, 1922.</w:t>
      </w:r>
    </w:p>
    <w:p w:rsidR="00435051" w:rsidRPr="0086569B" w:rsidRDefault="00435051" w:rsidP="00202997">
      <w:pPr>
        <w:widowControl w:val="0"/>
        <w:autoSpaceDE w:val="0"/>
        <w:autoSpaceDN w:val="0"/>
        <w:adjustRightInd w:val="0"/>
        <w:ind w:left="720" w:hanging="720"/>
        <w:rPr>
          <w:color w:val="000000"/>
        </w:rPr>
      </w:pPr>
    </w:p>
    <w:p w:rsidR="00202997" w:rsidRPr="0086569B" w:rsidRDefault="00202997" w:rsidP="00202997">
      <w:pPr>
        <w:widowControl w:val="0"/>
        <w:autoSpaceDE w:val="0"/>
        <w:autoSpaceDN w:val="0"/>
        <w:adjustRightInd w:val="0"/>
        <w:ind w:left="720" w:hanging="720"/>
        <w:rPr>
          <w:color w:val="000000"/>
        </w:rPr>
      </w:pPr>
      <w:r w:rsidRPr="0086569B">
        <w:rPr>
          <w:color w:val="000000"/>
        </w:rPr>
        <w:t>Witt, Peter-Christian. “Reichsfinanzen un</w:t>
      </w:r>
      <w:r w:rsidR="00435051">
        <w:rPr>
          <w:color w:val="000000"/>
        </w:rPr>
        <w:t>d Rüstungspolitik 1898-1914,” in</w:t>
      </w:r>
      <w:r w:rsidRPr="0086569B">
        <w:rPr>
          <w:color w:val="000000"/>
        </w:rPr>
        <w:t xml:space="preserve"> </w:t>
      </w:r>
      <w:r w:rsidRPr="0086569B">
        <w:rPr>
          <w:i/>
          <w:iCs/>
          <w:color w:val="000000"/>
        </w:rPr>
        <w:t>Marine und Marinepolitik im Kaiserlichen Deutschland 1871-1914</w:t>
      </w:r>
      <w:r w:rsidRPr="0086569B">
        <w:rPr>
          <w:color w:val="000000"/>
        </w:rPr>
        <w:t>, edited by Herbert Schottelius and Wilhelm Deist. 146-177.</w:t>
      </w:r>
    </w:p>
    <w:p w:rsidR="002A38A8" w:rsidRPr="00121201" w:rsidRDefault="002A38A8" w:rsidP="002A38A8">
      <w:pPr>
        <w:pStyle w:val="ListParagraph"/>
        <w:tabs>
          <w:tab w:val="left" w:pos="720"/>
          <w:tab w:val="left" w:pos="1440"/>
          <w:tab w:val="left" w:pos="2160"/>
          <w:tab w:val="left" w:pos="2880"/>
          <w:tab w:val="left" w:pos="3600"/>
          <w:tab w:val="left" w:pos="4320"/>
        </w:tabs>
        <w:spacing w:line="480" w:lineRule="auto"/>
        <w:ind w:left="0"/>
        <w:jc w:val="both"/>
      </w:pPr>
    </w:p>
    <w:p w:rsidR="006462EF" w:rsidRDefault="00FA396A">
      <w:r w:rsidRPr="00435051">
        <w:rPr>
          <w:u w:val="single"/>
        </w:rPr>
        <w:t>Reichstagsprotokolle</w:t>
      </w:r>
      <w:r>
        <w:t>:</w:t>
      </w:r>
    </w:p>
    <w:p w:rsidR="00FA396A" w:rsidRDefault="00FA396A"/>
    <w:p w:rsidR="00FA396A" w:rsidRDefault="00FA396A" w:rsidP="00FA396A">
      <w:pPr>
        <w:pStyle w:val="FootnoteText"/>
      </w:pPr>
      <w:r>
        <w:rPr>
          <w:rFonts w:eastAsia="Times New Roman"/>
        </w:rPr>
        <w:t xml:space="preserve">Reichstagsprotokolle, 1897/98,1, /Verhandlungen des Deutschen Reichstags/, (6 December 1897), 56, available at: </w:t>
      </w:r>
      <w:r w:rsidRPr="00FA396A">
        <w:rPr>
          <w:rFonts w:eastAsia="Times New Roman"/>
        </w:rPr>
        <w:t>http://www.reichstagsprotokolle.de/Blatt_k9_bsb00002771_00108.html</w:t>
      </w:r>
      <w:r>
        <w:t xml:space="preserve"> </w:t>
      </w:r>
    </w:p>
    <w:p w:rsidR="00B15CC8" w:rsidRDefault="00B15CC8"/>
    <w:p w:rsidR="005A49F2" w:rsidRDefault="00B15CC8">
      <w:r w:rsidRPr="00B15CC8">
        <w:rPr>
          <w:rFonts w:eastAsia="Times New Roman"/>
        </w:rPr>
        <w:lastRenderedPageBreak/>
        <w:t>Reichstagsprotokolle, 1898/1900,5, /Verhandlungen des Deutschen Reic</w:t>
      </w:r>
      <w:r w:rsidR="00697852">
        <w:rPr>
          <w:rFonts w:eastAsia="Times New Roman"/>
        </w:rPr>
        <w:t>hstags/, (8 February 1900), 3961</w:t>
      </w:r>
      <w:r>
        <w:rPr>
          <w:rFonts w:eastAsia="Times New Roman"/>
        </w:rPr>
        <w:t>, available at: h</w:t>
      </w:r>
      <w:r w:rsidRPr="00B15CC8">
        <w:rPr>
          <w:rFonts w:eastAsia="Times New Roman"/>
        </w:rPr>
        <w:t>ttp://www.reichstagsprotokolle.de/Blatt_k10_bsb00002780_00310.html</w:t>
      </w:r>
      <w:r w:rsidRPr="00B15CC8">
        <w:t xml:space="preserve"> </w:t>
      </w:r>
    </w:p>
    <w:p w:rsidR="005A49F2" w:rsidRDefault="005A49F2"/>
    <w:p w:rsidR="005A49F2" w:rsidRPr="005A49F2" w:rsidRDefault="005A49F2">
      <w:r w:rsidRPr="005A49F2">
        <w:rPr>
          <w:rFonts w:eastAsia="Times New Roman"/>
        </w:rPr>
        <w:t>Reichstagsprotokolle, 1898,1900, /Verhandlungen des Deutschen Reichstags/, (8 February 1900), 3962, available at: http://www.reichstagsprotokolle.de/Blatt_k10_bsb00002780_00314.html</w:t>
      </w:r>
      <w:r w:rsidRPr="005A49F2">
        <w:t>.</w:t>
      </w:r>
    </w:p>
    <w:p w:rsidR="005A49F2" w:rsidRPr="005A49F2" w:rsidRDefault="005A49F2"/>
    <w:p w:rsidR="00B81766" w:rsidRDefault="005A49F2" w:rsidP="003D7F97">
      <w:r w:rsidRPr="005A49F2">
        <w:rPr>
          <w:rFonts w:eastAsia="Times New Roman"/>
        </w:rPr>
        <w:t>Reichstagsprotokolle, 1898,1900, /Verhandlungen des Deutschen Reichstags/, (9 February 1900), 3980, available at: http://www.reichstagsprotokolle.de/Blatt_k10_bsb00002780_00332.html</w:t>
      </w:r>
      <w:r w:rsidRPr="005A49F2">
        <w:t>.</w:t>
      </w:r>
    </w:p>
    <w:p w:rsidR="00FA396A" w:rsidRDefault="00FA396A"/>
    <w:sectPr w:rsidR="00FA396A" w:rsidSect="006462EF">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333B" w:rsidRDefault="00D6333B" w:rsidP="00BC3A0D">
      <w:r>
        <w:separator/>
      </w:r>
    </w:p>
  </w:endnote>
  <w:endnote w:type="continuationSeparator" w:id="0">
    <w:p w:rsidR="00D6333B" w:rsidRDefault="00D6333B" w:rsidP="00BC3A0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4D"/>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333B" w:rsidRDefault="00060760" w:rsidP="006462EF">
    <w:pPr>
      <w:pStyle w:val="Footer"/>
      <w:framePr w:wrap="around" w:vAnchor="text" w:hAnchor="margin" w:xAlign="right" w:y="1"/>
      <w:rPr>
        <w:rStyle w:val="PageNumber"/>
      </w:rPr>
    </w:pPr>
    <w:r>
      <w:rPr>
        <w:rStyle w:val="PageNumber"/>
      </w:rPr>
      <w:fldChar w:fldCharType="begin"/>
    </w:r>
    <w:r w:rsidR="00D6333B">
      <w:rPr>
        <w:rStyle w:val="PageNumber"/>
      </w:rPr>
      <w:instrText xml:space="preserve">PAGE  </w:instrText>
    </w:r>
    <w:r>
      <w:rPr>
        <w:rStyle w:val="PageNumber"/>
      </w:rPr>
      <w:fldChar w:fldCharType="separate"/>
    </w:r>
    <w:r w:rsidR="00D6333B">
      <w:rPr>
        <w:rStyle w:val="PageNumber"/>
        <w:noProof/>
      </w:rPr>
      <w:t>4</w:t>
    </w:r>
    <w:r>
      <w:rPr>
        <w:rStyle w:val="PageNumber"/>
      </w:rPr>
      <w:fldChar w:fldCharType="end"/>
    </w:r>
  </w:p>
  <w:p w:rsidR="00D6333B" w:rsidRDefault="00D6333B" w:rsidP="006462E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333B" w:rsidRDefault="00060760" w:rsidP="006462EF">
    <w:pPr>
      <w:pStyle w:val="Footer"/>
      <w:framePr w:wrap="around" w:vAnchor="text" w:hAnchor="margin" w:xAlign="right" w:y="1"/>
      <w:rPr>
        <w:rStyle w:val="PageNumber"/>
      </w:rPr>
    </w:pPr>
    <w:r>
      <w:rPr>
        <w:rStyle w:val="PageNumber"/>
      </w:rPr>
      <w:fldChar w:fldCharType="begin"/>
    </w:r>
    <w:r w:rsidR="00D6333B">
      <w:rPr>
        <w:rStyle w:val="PageNumber"/>
      </w:rPr>
      <w:instrText xml:space="preserve">PAGE  </w:instrText>
    </w:r>
    <w:r>
      <w:rPr>
        <w:rStyle w:val="PageNumber"/>
      </w:rPr>
      <w:fldChar w:fldCharType="separate"/>
    </w:r>
    <w:r w:rsidR="00331BCF">
      <w:rPr>
        <w:rStyle w:val="PageNumber"/>
        <w:noProof/>
      </w:rPr>
      <w:t>80</w:t>
    </w:r>
    <w:r>
      <w:rPr>
        <w:rStyle w:val="PageNumber"/>
      </w:rPr>
      <w:fldChar w:fldCharType="end"/>
    </w:r>
  </w:p>
  <w:p w:rsidR="00D6333B" w:rsidRDefault="00D6333B" w:rsidP="006462E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333B" w:rsidRDefault="00D6333B" w:rsidP="00BC3A0D">
      <w:r>
        <w:separator/>
      </w:r>
    </w:p>
  </w:footnote>
  <w:footnote w:type="continuationSeparator" w:id="0">
    <w:p w:rsidR="00D6333B" w:rsidRDefault="00D6333B" w:rsidP="00BC3A0D">
      <w:r>
        <w:continuationSeparator/>
      </w:r>
    </w:p>
  </w:footnote>
  <w:footnote w:id="1">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{"citationID":"yJiJIsep","citationItems":[{"locator":"143","uri":["http://zotero.org/users/414388/items/WMM9ZJJC"]}]} </w:instrText>
      </w:r>
      <w:r w:rsidR="00060760" w:rsidRPr="00EC184A">
        <w:rPr>
          <w:sz w:val="20"/>
          <w:szCs w:val="20"/>
        </w:rPr>
        <w:fldChar w:fldCharType="separate"/>
      </w:r>
      <w:r w:rsidRPr="00EC184A">
        <w:rPr>
          <w:color w:val="000000"/>
          <w:sz w:val="20"/>
          <w:szCs w:val="20"/>
        </w:rPr>
        <w:t xml:space="preserve">Alfred von Tirpitz, </w:t>
      </w:r>
      <w:r w:rsidRPr="00EC184A">
        <w:rPr>
          <w:i/>
          <w:iCs/>
          <w:color w:val="000000"/>
          <w:sz w:val="20"/>
          <w:szCs w:val="20"/>
        </w:rPr>
        <w:t>My Memoirs: Volume 1</w:t>
      </w:r>
      <w:r w:rsidRPr="00EC184A">
        <w:rPr>
          <w:color w:val="000000"/>
          <w:sz w:val="20"/>
          <w:szCs w:val="20"/>
        </w:rPr>
        <w:t>, trans. not given (New York: AMS Press, 1970), 143.</w:t>
      </w:r>
      <w:r w:rsidR="00060760" w:rsidRPr="00EC184A">
        <w:rPr>
          <w:sz w:val="20"/>
          <w:szCs w:val="20"/>
        </w:rPr>
        <w:fldChar w:fldCharType="end"/>
      </w:r>
    </w:p>
  </w:footnote>
  <w:footnote w:id="2">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Pr="00EC184A">
        <w:rPr>
          <w:i/>
          <w:sz w:val="20"/>
          <w:szCs w:val="20"/>
        </w:rPr>
        <w:t>Kleindeutschland</w:t>
      </w:r>
      <w:r w:rsidRPr="00EC184A">
        <w:rPr>
          <w:sz w:val="20"/>
          <w:szCs w:val="20"/>
        </w:rPr>
        <w:t xml:space="preserve"> refers to the unification of German states with the exclusion of Austria.</w:t>
      </w:r>
    </w:p>
  </w:footnote>
  <w:footnote w:id="3">
    <w:p w:rsidR="00D6333B" w:rsidRPr="00EC184A" w:rsidRDefault="00D6333B" w:rsidP="00BE3CCC">
      <w:pPr>
        <w:pStyle w:val="FootnoteText"/>
        <w:rPr>
          <w:i/>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{"citationID":"2qLgnm0D","citationItems":[{"locator":"126","uri":["http://zotero.org/users/414388/items/V8UWCB3A"]}]} </w:instrText>
      </w:r>
      <w:r w:rsidR="00060760" w:rsidRPr="00EC184A">
        <w:rPr>
          <w:sz w:val="20"/>
          <w:szCs w:val="20"/>
        </w:rPr>
        <w:fldChar w:fldCharType="separate"/>
      </w:r>
      <w:r w:rsidRPr="00EC184A">
        <w:rPr>
          <w:color w:val="000000"/>
          <w:sz w:val="20"/>
          <w:szCs w:val="20"/>
        </w:rPr>
        <w:t xml:space="preserve">Jonathan Steinberg, </w:t>
      </w:r>
      <w:r w:rsidRPr="00EC184A">
        <w:rPr>
          <w:i/>
          <w:iCs/>
          <w:color w:val="000000"/>
          <w:sz w:val="20"/>
          <w:szCs w:val="20"/>
        </w:rPr>
        <w:t>Yesterday’s Deterrent: Tirpitz and the Birth of the German Battle Fleet</w:t>
      </w:r>
      <w:r w:rsidRPr="00EC184A">
        <w:rPr>
          <w:color w:val="000000"/>
          <w:sz w:val="20"/>
          <w:szCs w:val="20"/>
        </w:rPr>
        <w:t xml:space="preserve"> (London: Macdonald, 1965), 126</w:t>
      </w:r>
      <w:r w:rsidR="00060760" w:rsidRPr="00EC184A">
        <w:rPr>
          <w:sz w:val="20"/>
          <w:szCs w:val="20"/>
        </w:rPr>
        <w:fldChar w:fldCharType="end"/>
      </w:r>
      <w:r w:rsidRPr="00EC184A">
        <w:rPr>
          <w:sz w:val="20"/>
          <w:szCs w:val="20"/>
        </w:rPr>
        <w:t>; a discrepancy exists with regard to the dating of this Tirpitz Memorandum: Steinberg states that the Admiral presented it to Wilhelm on the 15</w:t>
      </w:r>
      <w:r w:rsidRPr="00EC184A">
        <w:rPr>
          <w:sz w:val="20"/>
          <w:szCs w:val="20"/>
          <w:vertAlign w:val="superscript"/>
        </w:rPr>
        <w:t>th</w:t>
      </w:r>
      <w:r w:rsidRPr="00EC184A">
        <w:rPr>
          <w:sz w:val="20"/>
          <w:szCs w:val="20"/>
        </w:rPr>
        <w:t xml:space="preserve"> of June, whereas Volker Berghahn and Wilhelm Deist place it in July in</w:t>
      </w:r>
      <w:r w:rsidRPr="00CE4036">
        <w:rPr>
          <w:sz w:val="20"/>
          <w:szCs w:val="20"/>
        </w:rPr>
        <w:t xml:space="preserve"> </w:t>
      </w:r>
      <w:r w:rsidRPr="00EC184A">
        <w:rPr>
          <w:sz w:val="20"/>
          <w:szCs w:val="20"/>
        </w:rPr>
        <w:t xml:space="preserve">their collection of Wilhelmine documents, published in </w:t>
      </w:r>
      <w:r w:rsidR="00060760" w:rsidRPr="00EC184A">
        <w:rPr>
          <w:i/>
          <w:sz w:val="20"/>
          <w:szCs w:val="20"/>
        </w:rPr>
        <w:fldChar w:fldCharType="begin"/>
      </w:r>
      <w:r w:rsidRPr="00EC184A">
        <w:rPr>
          <w:i/>
          <w:sz w:val="20"/>
          <w:szCs w:val="20"/>
        </w:rPr>
        <w:instrText xml:space="preserve"> ADDIN ZOTERO_ITEM {"citationID":"3EmAOTlT","citationItems":[{"locator":"122","uri":["http://zotero.org/users/414388/items/2WE6BXTU"]}]} </w:instrText>
      </w:r>
      <w:r w:rsidR="00060760" w:rsidRPr="00EC184A">
        <w:rPr>
          <w:i/>
          <w:sz w:val="20"/>
          <w:szCs w:val="20"/>
        </w:rPr>
        <w:fldChar w:fldCharType="separate"/>
      </w:r>
      <w:r w:rsidRPr="00EC184A">
        <w:rPr>
          <w:i/>
          <w:iCs/>
          <w:color w:val="000000"/>
          <w:sz w:val="20"/>
          <w:szCs w:val="20"/>
        </w:rPr>
        <w:t>Rüstung im Zeichen der wilhelminischen Weltpolitik: Grundlegende Dokumente 1890-1914</w:t>
      </w:r>
      <w:r w:rsidRPr="00EC184A">
        <w:rPr>
          <w:color w:val="000000"/>
          <w:sz w:val="20"/>
          <w:szCs w:val="20"/>
        </w:rPr>
        <w:t xml:space="preserve"> (Düsseldorf: Droste, 1988), 122.</w:t>
      </w:r>
      <w:r w:rsidR="00060760" w:rsidRPr="00EC184A">
        <w:rPr>
          <w:i/>
          <w:sz w:val="20"/>
          <w:szCs w:val="20"/>
        </w:rPr>
        <w:fldChar w:fldCharType="end"/>
      </w:r>
    </w:p>
  </w:footnote>
  <w:footnote w:id="4">
    <w:p w:rsidR="00D6333B" w:rsidRPr="00EC184A" w:rsidRDefault="00D6333B" w:rsidP="00BE3CCC">
      <w:pPr>
        <w:pStyle w:val="FootnoteText"/>
        <w:rPr>
          <w:i/>
          <w:sz w:val="20"/>
          <w:szCs w:val="20"/>
        </w:rPr>
      </w:pPr>
      <w:r w:rsidRPr="00EC184A">
        <w:rPr>
          <w:rStyle w:val="FootnoteReference"/>
          <w:sz w:val="20"/>
          <w:szCs w:val="20"/>
        </w:rPr>
        <w:footnoteRef/>
      </w:r>
      <w:r w:rsidRPr="00EC184A">
        <w:rPr>
          <w:sz w:val="20"/>
          <w:szCs w:val="20"/>
        </w:rPr>
        <w:t xml:space="preserve"> Tirpitz would not publicly articulate </w:t>
      </w:r>
      <w:r w:rsidRPr="00EC184A">
        <w:rPr>
          <w:i/>
          <w:sz w:val="20"/>
          <w:szCs w:val="20"/>
        </w:rPr>
        <w:t>Risk Theory</w:t>
      </w:r>
      <w:r w:rsidRPr="00EC184A">
        <w:rPr>
          <w:sz w:val="20"/>
          <w:szCs w:val="20"/>
        </w:rPr>
        <w:t xml:space="preserve"> and the anti-British nature of his naval plans until the debate on the Second Navy Law of 1900, though they had been conceived well beforehand. Instead, until the Second Navy Law he focused primarily on the need for German naval expansion to protect the nation’s coasts and growing overseas interests.</w:t>
      </w:r>
    </w:p>
  </w:footnote>
  <w:footnote w:id="5">
    <w:p w:rsidR="00D6333B" w:rsidRPr="00922622"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For the text of the Tirpitz Memorandum, see ‘Appendix,’ </w:t>
      </w:r>
      <w:r w:rsidR="00060760" w:rsidRPr="00EC184A">
        <w:rPr>
          <w:sz w:val="20"/>
          <w:szCs w:val="20"/>
        </w:rPr>
        <w:fldChar w:fldCharType="begin"/>
      </w:r>
      <w:r w:rsidRPr="00EC184A">
        <w:rPr>
          <w:sz w:val="20"/>
          <w:szCs w:val="20"/>
        </w:rPr>
        <w:instrText xml:space="preserve"> ADDIN ZOTERO_ITEM {"citationID":"nMr39Sfc","citationItems":[{"locator":"208-221","uri":["http://zotero.org/users/414388/items/V8UWCB3A"]}]} </w:instrText>
      </w:r>
      <w:r w:rsidR="00060760" w:rsidRPr="00EC184A">
        <w:rPr>
          <w:sz w:val="20"/>
          <w:szCs w:val="20"/>
        </w:rPr>
        <w:fldChar w:fldCharType="separate"/>
      </w:r>
      <w:r w:rsidRPr="00EC184A">
        <w:rPr>
          <w:color w:val="000000"/>
          <w:sz w:val="20"/>
          <w:szCs w:val="20"/>
        </w:rPr>
        <w:t xml:space="preserve">Steinberg, </w:t>
      </w:r>
      <w:r w:rsidRPr="00EC184A">
        <w:rPr>
          <w:i/>
          <w:iCs/>
          <w:color w:val="000000"/>
          <w:sz w:val="20"/>
          <w:szCs w:val="20"/>
        </w:rPr>
        <w:t>Yesterday’s Deterrent: Tirpitz and the Birth of the German Battle Fleet</w:t>
      </w:r>
      <w:r w:rsidRPr="00EC184A">
        <w:rPr>
          <w:color w:val="000000"/>
          <w:sz w:val="20"/>
          <w:szCs w:val="20"/>
        </w:rPr>
        <w:t>, 208-221.</w:t>
      </w:r>
      <w:r w:rsidR="00060760" w:rsidRPr="00EC184A">
        <w:rPr>
          <w:sz w:val="20"/>
          <w:szCs w:val="20"/>
        </w:rPr>
        <w:fldChar w:fldCharType="end"/>
      </w:r>
    </w:p>
  </w:footnote>
  <w:footnote w:id="6">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{"citationID":"ouLbgTB2","citationItems":[{"locator":"201","uri":["http://zotero.org/users/414388/items/V8UWCB3A"]}]} </w:instrText>
      </w:r>
      <w:r w:rsidR="00060760" w:rsidRPr="00EC184A">
        <w:rPr>
          <w:sz w:val="20"/>
          <w:szCs w:val="20"/>
        </w:rPr>
        <w:fldChar w:fldCharType="separate"/>
      </w:r>
      <w:r w:rsidRPr="00EC184A">
        <w:rPr>
          <w:color w:val="000000"/>
          <w:sz w:val="20"/>
          <w:szCs w:val="20"/>
        </w:rPr>
        <w:t>Ibid., 201.</w:t>
      </w:r>
      <w:r w:rsidR="00060760" w:rsidRPr="00EC184A">
        <w:rPr>
          <w:sz w:val="20"/>
          <w:szCs w:val="20"/>
        </w:rPr>
        <w:fldChar w:fldCharType="end"/>
      </w:r>
    </w:p>
  </w:footnote>
  <w:footnote w:id="7">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{"citationID":"epTBeivl","citationItems":[{"locator":"56","uri":["http://zotero.org/users/414388/items/V8UWCB3A"]}]} </w:instrText>
      </w:r>
      <w:r w:rsidR="00060760" w:rsidRPr="00EC184A">
        <w:rPr>
          <w:sz w:val="20"/>
          <w:szCs w:val="20"/>
        </w:rPr>
        <w:fldChar w:fldCharType="separate"/>
      </w:r>
      <w:r w:rsidRPr="00EC184A">
        <w:rPr>
          <w:noProof/>
          <w:sz w:val="20"/>
          <w:szCs w:val="20"/>
        </w:rPr>
        <w:t>Ibid., 56</w:t>
      </w:r>
      <w:r w:rsidR="00060760" w:rsidRPr="00EC184A">
        <w:rPr>
          <w:sz w:val="20"/>
          <w:szCs w:val="20"/>
        </w:rPr>
        <w:fldChar w:fldCharType="end"/>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{"citationID":"Q7EAhq9O","citationItems":[{"locator":"17","uri":["http://zotero.org/users/414388/items/KTKT4Z84"]}]} </w:instrText>
      </w:r>
      <w:r w:rsidR="00060760" w:rsidRPr="00EC184A">
        <w:rPr>
          <w:sz w:val="20"/>
          <w:szCs w:val="20"/>
        </w:rPr>
        <w:fldChar w:fldCharType="separate"/>
      </w:r>
      <w:r w:rsidRPr="00EC184A">
        <w:rPr>
          <w:color w:val="000000"/>
          <w:sz w:val="20"/>
          <w:szCs w:val="20"/>
        </w:rPr>
        <w:t xml:space="preserve">Bernhard Bülow, </w:t>
      </w:r>
      <w:r w:rsidRPr="00EC184A">
        <w:rPr>
          <w:i/>
          <w:iCs/>
          <w:color w:val="000000"/>
          <w:sz w:val="20"/>
          <w:szCs w:val="20"/>
        </w:rPr>
        <w:t>Imperial Germany</w:t>
      </w:r>
      <w:r w:rsidRPr="00EC184A">
        <w:rPr>
          <w:color w:val="000000"/>
          <w:sz w:val="20"/>
          <w:szCs w:val="20"/>
        </w:rPr>
        <w:t>, trans. Marie A. Lewenz (New York: AMS Press, 1971), 17</w:t>
      </w:r>
      <w:r w:rsidR="00060760" w:rsidRPr="00EC184A">
        <w:rPr>
          <w:sz w:val="20"/>
          <w:szCs w:val="20"/>
        </w:rPr>
        <w:fldChar w:fldCharType="end"/>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{"citationID":"Te6Iwqmw","citationItems":[{"locator":"8","uri":["http://zotero.org/users/414388/items/XFAU2FNW"]}]} </w:instrText>
      </w:r>
      <w:r w:rsidR="00060760" w:rsidRPr="00EC184A">
        <w:rPr>
          <w:sz w:val="20"/>
          <w:szCs w:val="20"/>
        </w:rPr>
        <w:fldChar w:fldCharType="separate"/>
      </w:r>
      <w:r w:rsidRPr="00EC184A">
        <w:rPr>
          <w:color w:val="000000"/>
          <w:sz w:val="20"/>
          <w:szCs w:val="20"/>
        </w:rPr>
        <w:t xml:space="preserve">Robert K. Massie, </w:t>
      </w:r>
      <w:r w:rsidRPr="00EC184A">
        <w:rPr>
          <w:i/>
          <w:iCs/>
          <w:color w:val="000000"/>
          <w:sz w:val="20"/>
          <w:szCs w:val="20"/>
        </w:rPr>
        <w:t>Castles of Steel: Britain, Germany, and the Winning of the Great War at Sea</w:t>
      </w:r>
      <w:r w:rsidRPr="00EC184A">
        <w:rPr>
          <w:color w:val="000000"/>
          <w:sz w:val="20"/>
          <w:szCs w:val="20"/>
        </w:rPr>
        <w:t xml:space="preserve"> (New York: Ballantine Books, 2004), 8.</w:t>
      </w:r>
      <w:r w:rsidR="00060760" w:rsidRPr="00EC184A">
        <w:rPr>
          <w:sz w:val="20"/>
          <w:szCs w:val="20"/>
        </w:rPr>
        <w:fldChar w:fldCharType="end"/>
      </w:r>
    </w:p>
  </w:footnote>
  <w:footnote w:id="8">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{"citationID":"wOOquyHP","citationItems":[{"locator":"11","uri":["http://zotero.org/users/414388/items/I4EVE32P"]}]} </w:instrText>
      </w:r>
      <w:r w:rsidR="00060760" w:rsidRPr="00EC184A">
        <w:rPr>
          <w:sz w:val="20"/>
          <w:szCs w:val="20"/>
        </w:rPr>
        <w:fldChar w:fldCharType="separate"/>
      </w:r>
      <w:r w:rsidRPr="00EC184A">
        <w:rPr>
          <w:color w:val="000000"/>
          <w:sz w:val="20"/>
          <w:szCs w:val="20"/>
        </w:rPr>
        <w:t xml:space="preserve">Fritz Fischer, </w:t>
      </w:r>
      <w:r w:rsidRPr="00EC184A">
        <w:rPr>
          <w:i/>
          <w:iCs/>
          <w:color w:val="000000"/>
          <w:sz w:val="20"/>
          <w:szCs w:val="20"/>
        </w:rPr>
        <w:t>Germany’s Aims in the First World War</w:t>
      </w:r>
      <w:r w:rsidRPr="00EC184A">
        <w:rPr>
          <w:color w:val="000000"/>
          <w:sz w:val="20"/>
          <w:szCs w:val="20"/>
        </w:rPr>
        <w:t>, trans. not given (New York: W. W. Norton &amp; Company, 1968), 11.</w:t>
      </w:r>
      <w:r w:rsidR="00060760" w:rsidRPr="00EC184A">
        <w:rPr>
          <w:sz w:val="20"/>
          <w:szCs w:val="20"/>
        </w:rPr>
        <w:fldChar w:fldCharType="end"/>
      </w:r>
      <w:r w:rsidRPr="00EC184A">
        <w:rPr>
          <w:sz w:val="20"/>
          <w:szCs w:val="20"/>
        </w:rPr>
        <w:t xml:space="preserve"> </w:t>
      </w:r>
    </w:p>
  </w:footnote>
  <w:footnote w:id="9">
    <w:p w:rsidR="00D6333B" w:rsidRPr="00A65436"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{"citationID":"OpHgO0kq","citationItems":[{"locator":"17","uri":["http://zotero.org/users/414388/items/KTKT4Z84"]}]} </w:instrText>
      </w:r>
      <w:r w:rsidR="00060760" w:rsidRPr="00EC184A">
        <w:rPr>
          <w:sz w:val="20"/>
          <w:szCs w:val="20"/>
        </w:rPr>
        <w:fldChar w:fldCharType="separate"/>
      </w:r>
      <w:r w:rsidRPr="00EC184A">
        <w:rPr>
          <w:color w:val="000000"/>
          <w:sz w:val="20"/>
          <w:szCs w:val="20"/>
        </w:rPr>
        <w:t xml:space="preserve">Bülow, </w:t>
      </w:r>
      <w:r w:rsidRPr="00EC184A">
        <w:rPr>
          <w:i/>
          <w:iCs/>
          <w:color w:val="000000"/>
          <w:sz w:val="20"/>
          <w:szCs w:val="20"/>
        </w:rPr>
        <w:t>Imperial Germany</w:t>
      </w:r>
      <w:r w:rsidRPr="00EC184A">
        <w:rPr>
          <w:color w:val="000000"/>
          <w:sz w:val="20"/>
          <w:szCs w:val="20"/>
        </w:rPr>
        <w:t>, 17.</w:t>
      </w:r>
      <w:r w:rsidR="00060760" w:rsidRPr="00EC184A">
        <w:rPr>
          <w:sz w:val="20"/>
          <w:szCs w:val="20"/>
        </w:rPr>
        <w:fldChar w:fldCharType="end"/>
      </w:r>
    </w:p>
  </w:footnote>
  <w:footnote w:id="10">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{"citationID":"FnhOThcP","citationItems":[{"locator":"11","uri":["http://zotero.org/users/414388/items/I4EVE32P"]}]} </w:instrText>
      </w:r>
      <w:r w:rsidR="00060760" w:rsidRPr="00EC184A">
        <w:rPr>
          <w:sz w:val="20"/>
          <w:szCs w:val="20"/>
        </w:rPr>
        <w:fldChar w:fldCharType="separate"/>
      </w:r>
      <w:r w:rsidRPr="00EC184A">
        <w:rPr>
          <w:color w:val="000000"/>
          <w:sz w:val="20"/>
          <w:szCs w:val="20"/>
        </w:rPr>
        <w:t xml:space="preserve">Fischer, </w:t>
      </w:r>
      <w:r w:rsidRPr="00EC184A">
        <w:rPr>
          <w:i/>
          <w:iCs/>
          <w:color w:val="000000"/>
          <w:sz w:val="20"/>
          <w:szCs w:val="20"/>
        </w:rPr>
        <w:t>Germany’s Aims in the First World War</w:t>
      </w:r>
      <w:r w:rsidRPr="00EC184A">
        <w:rPr>
          <w:color w:val="000000"/>
          <w:sz w:val="20"/>
          <w:szCs w:val="20"/>
        </w:rPr>
        <w:t>, 11.</w:t>
      </w:r>
      <w:r w:rsidR="00060760" w:rsidRPr="00EC184A">
        <w:rPr>
          <w:sz w:val="20"/>
          <w:szCs w:val="20"/>
        </w:rPr>
        <w:fldChar w:fldCharType="end"/>
      </w:r>
    </w:p>
  </w:footnote>
  <w:footnote w:id="11">
    <w:p w:rsidR="00D6333B" w:rsidRPr="00C251DD"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{"citationID":"wxhN1v9a","citationItems":[{"locator":"8","uri":["http://zotero.org/users/414388/items/XFAU2FNW"]}]} </w:instrText>
      </w:r>
      <w:r w:rsidR="00060760" w:rsidRPr="00EC184A">
        <w:rPr>
          <w:sz w:val="20"/>
          <w:szCs w:val="20"/>
        </w:rPr>
        <w:fldChar w:fldCharType="separate"/>
      </w:r>
      <w:r w:rsidRPr="00EC184A">
        <w:rPr>
          <w:color w:val="000000"/>
          <w:sz w:val="20"/>
          <w:szCs w:val="20"/>
        </w:rPr>
        <w:t xml:space="preserve">Massie, </w:t>
      </w:r>
      <w:r w:rsidRPr="00EC184A">
        <w:rPr>
          <w:i/>
          <w:iCs/>
          <w:color w:val="000000"/>
          <w:sz w:val="20"/>
          <w:szCs w:val="20"/>
        </w:rPr>
        <w:t>Castles of Steel</w:t>
      </w:r>
      <w:r w:rsidRPr="00EC184A">
        <w:rPr>
          <w:color w:val="000000"/>
          <w:sz w:val="20"/>
          <w:szCs w:val="20"/>
        </w:rPr>
        <w:t>, 8.</w:t>
      </w:r>
      <w:r w:rsidR="00060760" w:rsidRPr="00EC184A">
        <w:rPr>
          <w:sz w:val="20"/>
          <w:szCs w:val="20"/>
        </w:rPr>
        <w:fldChar w:fldCharType="end"/>
      </w:r>
    </w:p>
  </w:footnote>
  <w:footnote w:id="12">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{"citationID":"dPyKKyNp","citationItems":[{"locator":"56","uri":["http://zotero.org/users/414388/items/V8UWCB3A"]}]} </w:instrText>
      </w:r>
      <w:r w:rsidR="00060760" w:rsidRPr="00EC184A">
        <w:rPr>
          <w:sz w:val="20"/>
          <w:szCs w:val="20"/>
        </w:rPr>
        <w:fldChar w:fldCharType="separate"/>
      </w:r>
      <w:r w:rsidRPr="00EC184A">
        <w:rPr>
          <w:color w:val="000000"/>
          <w:sz w:val="20"/>
          <w:szCs w:val="20"/>
        </w:rPr>
        <w:t xml:space="preserve">Steinberg, </w:t>
      </w:r>
      <w:r w:rsidRPr="00EC184A">
        <w:rPr>
          <w:i/>
          <w:iCs/>
          <w:color w:val="000000"/>
          <w:sz w:val="20"/>
          <w:szCs w:val="20"/>
        </w:rPr>
        <w:t>Yesterday’s Deterrent: Tirpitz and the Birth of the German Battle Fleet</w:t>
      </w:r>
      <w:r w:rsidRPr="00EC184A">
        <w:rPr>
          <w:color w:val="000000"/>
          <w:sz w:val="20"/>
          <w:szCs w:val="20"/>
        </w:rPr>
        <w:t>, 56</w:t>
      </w:r>
      <w:r w:rsidR="00060760" w:rsidRPr="00EC184A">
        <w:rPr>
          <w:sz w:val="20"/>
          <w:szCs w:val="20"/>
        </w:rPr>
        <w:fldChar w:fldCharType="end"/>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{"citationID":"tS8DgRHn","citationItems":[{"locator":"12","uri":["http://zotero.org/users/414388/items/I4EVE32P"]}]} </w:instrText>
      </w:r>
      <w:r w:rsidR="00060760" w:rsidRPr="00EC184A">
        <w:rPr>
          <w:sz w:val="20"/>
          <w:szCs w:val="20"/>
        </w:rPr>
        <w:fldChar w:fldCharType="separate"/>
      </w:r>
      <w:r w:rsidRPr="00EC184A">
        <w:rPr>
          <w:color w:val="000000"/>
          <w:sz w:val="20"/>
          <w:szCs w:val="20"/>
        </w:rPr>
        <w:t xml:space="preserve">Fischer, </w:t>
      </w:r>
      <w:r w:rsidRPr="00EC184A">
        <w:rPr>
          <w:i/>
          <w:iCs/>
          <w:color w:val="000000"/>
          <w:sz w:val="20"/>
          <w:szCs w:val="20"/>
        </w:rPr>
        <w:t>Germany’s Aims in the First World War</w:t>
      </w:r>
      <w:r w:rsidRPr="00EC184A">
        <w:rPr>
          <w:color w:val="000000"/>
          <w:sz w:val="20"/>
          <w:szCs w:val="20"/>
        </w:rPr>
        <w:t>, 12.</w:t>
      </w:r>
      <w:r w:rsidR="00060760" w:rsidRPr="00EC184A">
        <w:rPr>
          <w:sz w:val="20"/>
          <w:szCs w:val="20"/>
        </w:rPr>
        <w:fldChar w:fldCharType="end"/>
      </w:r>
    </w:p>
  </w:footnote>
  <w:footnote w:id="13">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{"citationID":"3H1QhJTb","citationItems":[{"locator":"12","uri":["http://zotero.org/users/414388/items/I4EVE32P"]}]} </w:instrText>
      </w:r>
      <w:r w:rsidR="00060760" w:rsidRPr="00EC184A">
        <w:rPr>
          <w:sz w:val="20"/>
          <w:szCs w:val="20"/>
        </w:rPr>
        <w:fldChar w:fldCharType="separate"/>
      </w:r>
      <w:r w:rsidRPr="00EC184A">
        <w:rPr>
          <w:noProof/>
          <w:sz w:val="20"/>
          <w:szCs w:val="20"/>
        </w:rPr>
        <w:t>Ibid.</w:t>
      </w:r>
      <w:r w:rsidR="00060760" w:rsidRPr="00EC184A">
        <w:rPr>
          <w:sz w:val="20"/>
          <w:szCs w:val="20"/>
        </w:rPr>
        <w:fldChar w:fldCharType="end"/>
      </w:r>
    </w:p>
  </w:footnote>
  <w:footnote w:id="14">
    <w:p w:rsidR="00D6333B" w:rsidRDefault="00D6333B">
      <w:pPr>
        <w:pStyle w:val="FootnoteText"/>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{"citationID":"9EdAu3oR","citationItems":[{"locator":"161","uri":["http://zotero.org/users/414388/items/4AF3BKEA"]}]} </w:instrText>
      </w:r>
      <w:r w:rsidR="00060760" w:rsidRPr="00EC184A">
        <w:rPr>
          <w:sz w:val="20"/>
          <w:szCs w:val="20"/>
        </w:rPr>
        <w:fldChar w:fldCharType="separate"/>
      </w:r>
      <w:r w:rsidRPr="00EC184A">
        <w:rPr>
          <w:color w:val="000000"/>
          <w:sz w:val="20"/>
          <w:szCs w:val="20"/>
        </w:rPr>
        <w:t xml:space="preserve">Volker R. Berghahn, eds., “Notizen des Staatssekretärs des Reichsmarineamts, Kontreadmiral Tirpitz, zum Immediatvortrag am 28. September 1899 über die Vorbereitung und Zielsetzung der Novelle zum Flottengesetz,” in </w:t>
      </w:r>
      <w:r w:rsidRPr="00EC184A">
        <w:rPr>
          <w:i/>
          <w:iCs/>
          <w:color w:val="000000"/>
          <w:sz w:val="20"/>
          <w:szCs w:val="20"/>
        </w:rPr>
        <w:t>Rüstung im Zeichen der wilhelmischen Weltpolitik: Grundlegende Dokumente 1890-1914</w:t>
      </w:r>
      <w:r w:rsidRPr="00EC184A">
        <w:rPr>
          <w:color w:val="000000"/>
          <w:sz w:val="20"/>
          <w:szCs w:val="20"/>
        </w:rPr>
        <w:t xml:space="preserve"> (Düsseldorf: Droste Verlag GmbH, 1988), 161.</w:t>
      </w:r>
      <w:r w:rsidR="00060760" w:rsidRPr="00EC184A">
        <w:rPr>
          <w:sz w:val="20"/>
          <w:szCs w:val="20"/>
        </w:rPr>
        <w:fldChar w:fldCharType="end"/>
      </w:r>
    </w:p>
  </w:footnote>
  <w:footnote w:id="15">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{"citationID":"kvApyLN7","citationItems":[{"locator":"89","uri":["http://zotero.org/users/414388/items/Z54FWM4K"]}]} </w:instrText>
      </w:r>
      <w:r w:rsidR="00060760" w:rsidRPr="00EC184A">
        <w:rPr>
          <w:sz w:val="20"/>
          <w:szCs w:val="20"/>
        </w:rPr>
        <w:fldChar w:fldCharType="separate"/>
      </w:r>
      <w:r w:rsidRPr="00EC184A">
        <w:rPr>
          <w:color w:val="000000"/>
          <w:sz w:val="20"/>
          <w:szCs w:val="20"/>
        </w:rPr>
        <w:t xml:space="preserve">Robert K Massie, </w:t>
      </w:r>
      <w:r w:rsidRPr="00EC184A">
        <w:rPr>
          <w:i/>
          <w:iCs/>
          <w:color w:val="000000"/>
          <w:sz w:val="20"/>
          <w:szCs w:val="20"/>
        </w:rPr>
        <w:t>Dreadnought: Britain, Germany, and the Coming of the Great War</w:t>
      </w:r>
      <w:r w:rsidRPr="00EC184A">
        <w:rPr>
          <w:color w:val="000000"/>
          <w:sz w:val="20"/>
          <w:szCs w:val="20"/>
        </w:rPr>
        <w:t xml:space="preserve"> (New York: Random House, 1991), 89.</w:t>
      </w:r>
      <w:r w:rsidR="00060760" w:rsidRPr="00EC184A">
        <w:rPr>
          <w:sz w:val="20"/>
          <w:szCs w:val="20"/>
        </w:rPr>
        <w:fldChar w:fldCharType="end"/>
      </w:r>
    </w:p>
  </w:footnote>
  <w:footnote w:id="16">
    <w:p w:rsidR="00D6333B" w:rsidRPr="00ED7F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{"citationID":"NHVB9I6y","citationItems":[{"locator":"8","uri":["http://zotero.org/users/414388/items/XFAU2FNW"]}]} </w:instrText>
      </w:r>
      <w:r w:rsidR="00060760" w:rsidRPr="00EC184A">
        <w:rPr>
          <w:sz w:val="20"/>
          <w:szCs w:val="20"/>
        </w:rPr>
        <w:fldChar w:fldCharType="separate"/>
      </w:r>
      <w:r w:rsidRPr="00EC184A">
        <w:rPr>
          <w:color w:val="000000"/>
          <w:sz w:val="20"/>
          <w:szCs w:val="20"/>
        </w:rPr>
        <w:t xml:space="preserve">Massie, </w:t>
      </w:r>
      <w:r w:rsidRPr="00EC184A">
        <w:rPr>
          <w:i/>
          <w:iCs/>
          <w:color w:val="000000"/>
          <w:sz w:val="20"/>
          <w:szCs w:val="20"/>
        </w:rPr>
        <w:t>Castles of Steel</w:t>
      </w:r>
      <w:r w:rsidRPr="00EC184A">
        <w:rPr>
          <w:color w:val="000000"/>
          <w:sz w:val="20"/>
          <w:szCs w:val="20"/>
        </w:rPr>
        <w:t>, 8.</w:t>
      </w:r>
      <w:r w:rsidR="00060760" w:rsidRPr="00EC184A">
        <w:rPr>
          <w:sz w:val="20"/>
          <w:szCs w:val="20"/>
        </w:rPr>
        <w:fldChar w:fldCharType="end"/>
      </w:r>
    </w:p>
  </w:footnote>
  <w:footnote w:id="17">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{"citationID":"qHhlBTZ3","citationItems":[{"locator":"477","uri":["http://zotero.org/users/414388/items/HP3XRFM9"]}]} </w:instrText>
      </w:r>
      <w:r w:rsidR="00060760" w:rsidRPr="00EC184A">
        <w:rPr>
          <w:sz w:val="20"/>
          <w:szCs w:val="20"/>
        </w:rPr>
        <w:fldChar w:fldCharType="separate"/>
      </w:r>
      <w:r w:rsidRPr="00EC184A">
        <w:rPr>
          <w:color w:val="000000"/>
          <w:sz w:val="20"/>
          <w:szCs w:val="20"/>
        </w:rPr>
        <w:t xml:space="preserve">Bernhard Bülow, </w:t>
      </w:r>
      <w:r w:rsidRPr="00EC184A">
        <w:rPr>
          <w:i/>
          <w:iCs/>
          <w:color w:val="000000"/>
          <w:sz w:val="20"/>
          <w:szCs w:val="20"/>
        </w:rPr>
        <w:t>Memoirs of Prince Von Bülow</w:t>
      </w:r>
      <w:r w:rsidRPr="00EC184A">
        <w:rPr>
          <w:color w:val="000000"/>
          <w:sz w:val="20"/>
          <w:szCs w:val="20"/>
        </w:rPr>
        <w:t>, trans. F.A. Voigt (Boston: Little, Brown, and Company, 1931), 477.</w:t>
      </w:r>
      <w:r w:rsidR="00060760" w:rsidRPr="00EC184A">
        <w:rPr>
          <w:sz w:val="20"/>
          <w:szCs w:val="20"/>
        </w:rPr>
        <w:fldChar w:fldCharType="end"/>
      </w:r>
    </w:p>
  </w:footnote>
  <w:footnote w:id="18">
    <w:p w:rsidR="00D6333B" w:rsidRPr="00C206C3"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{"citationID":"f0FAe2nB","citationItems":[{"locator":"21","uri":["http://zotero.org/users/414388/items/WMM9ZJJC"]}]} </w:instrText>
      </w:r>
      <w:r w:rsidR="00060760" w:rsidRPr="00EC184A">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21</w:t>
      </w:r>
      <w:r w:rsidR="00060760" w:rsidRPr="00EC184A">
        <w:rPr>
          <w:sz w:val="20"/>
          <w:szCs w:val="20"/>
        </w:rPr>
        <w:fldChar w:fldCharType="end"/>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{"citationID":"MNgslhKm","citationItems":[{"locator":"154","uri":["http://zotero.org/users/414388/items/F8RG8XIN"]}]} </w:instrText>
      </w:r>
      <w:r w:rsidR="00060760" w:rsidRPr="00EC184A">
        <w:rPr>
          <w:sz w:val="20"/>
          <w:szCs w:val="20"/>
        </w:rPr>
        <w:fldChar w:fldCharType="separate"/>
      </w:r>
      <w:r w:rsidRPr="00EC184A">
        <w:rPr>
          <w:color w:val="000000"/>
          <w:sz w:val="20"/>
          <w:szCs w:val="20"/>
        </w:rPr>
        <w:t xml:space="preserve">Jan Rüger, </w:t>
      </w:r>
      <w:r w:rsidRPr="00EC184A">
        <w:rPr>
          <w:i/>
          <w:iCs/>
          <w:color w:val="000000"/>
          <w:sz w:val="20"/>
          <w:szCs w:val="20"/>
        </w:rPr>
        <w:t>The Great Naval Game: Britain and Germany in the Age of Empire</w:t>
      </w:r>
      <w:r w:rsidRPr="00EC184A">
        <w:rPr>
          <w:color w:val="000000"/>
          <w:sz w:val="20"/>
          <w:szCs w:val="20"/>
        </w:rPr>
        <w:t xml:space="preserve"> (Cambridge: Cambridge University Press, 2007), 154.</w:t>
      </w:r>
      <w:r w:rsidR="00060760" w:rsidRPr="00EC184A">
        <w:rPr>
          <w:sz w:val="20"/>
          <w:szCs w:val="20"/>
        </w:rPr>
        <w:fldChar w:fldCharType="end"/>
      </w:r>
    </w:p>
  </w:footnote>
  <w:footnote w:id="19">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For further information on the Schlieffen Plan, see </w:t>
      </w:r>
      <w:r w:rsidR="00060760" w:rsidRPr="00EC184A">
        <w:rPr>
          <w:sz w:val="20"/>
          <w:szCs w:val="20"/>
        </w:rPr>
        <w:fldChar w:fldCharType="begin"/>
      </w:r>
      <w:r w:rsidRPr="00EC184A">
        <w:rPr>
          <w:sz w:val="20"/>
          <w:szCs w:val="20"/>
        </w:rPr>
        <w:instrText xml:space="preserve"> ADDIN ZOTERO_ITEM {"citationID":"pTUUnmC6","citationItems":[{"uri":["http://zotero.org/users/414388/items/A2F33FPT"]}]} </w:instrText>
      </w:r>
      <w:r w:rsidR="00060760" w:rsidRPr="00EC184A">
        <w:rPr>
          <w:sz w:val="20"/>
          <w:szCs w:val="20"/>
        </w:rPr>
        <w:fldChar w:fldCharType="separate"/>
      </w:r>
      <w:r w:rsidRPr="00EC184A">
        <w:rPr>
          <w:color w:val="000000"/>
          <w:sz w:val="20"/>
          <w:szCs w:val="20"/>
        </w:rPr>
        <w:t xml:space="preserve">Gerhard Ritter, </w:t>
      </w:r>
      <w:r w:rsidRPr="00EC184A">
        <w:rPr>
          <w:i/>
          <w:iCs/>
          <w:color w:val="000000"/>
          <w:sz w:val="20"/>
          <w:szCs w:val="20"/>
        </w:rPr>
        <w:t>The Schlieffen Plan: Critique of a Myth</w:t>
      </w:r>
      <w:r w:rsidRPr="00EC184A">
        <w:rPr>
          <w:color w:val="000000"/>
          <w:sz w:val="20"/>
          <w:szCs w:val="20"/>
        </w:rPr>
        <w:t>, trans. Andrew and Eva Wilson (New York: Praeger, 1958).</w:t>
      </w:r>
      <w:r w:rsidR="00060760" w:rsidRPr="00EC184A">
        <w:rPr>
          <w:sz w:val="20"/>
          <w:szCs w:val="20"/>
        </w:rPr>
        <w:fldChar w:fldCharType="end"/>
      </w:r>
    </w:p>
  </w:footnote>
  <w:footnote w:id="20">
    <w:p w:rsidR="00D6333B" w:rsidRPr="007045E5"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For an excellent work breaking down the evolution of Anglo-German relations, see Paul Kennedy’s </w:t>
      </w:r>
      <w:r w:rsidRPr="00EC184A">
        <w:rPr>
          <w:i/>
          <w:sz w:val="20"/>
          <w:szCs w:val="20"/>
        </w:rPr>
        <w:t>The Rise of Anglo-German Relations 1860-1914</w:t>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{"citationID":"yNqFriJg","citationItems":[{"locator":"37","uri":["http://zotero.org/users/414388/items/ZF2TTM5D"]}]} </w:instrText>
      </w:r>
      <w:r w:rsidR="00060760" w:rsidRPr="00EC184A">
        <w:rPr>
          <w:sz w:val="20"/>
          <w:szCs w:val="20"/>
        </w:rPr>
        <w:fldChar w:fldCharType="separate"/>
      </w:r>
      <w:r w:rsidRPr="00EC184A">
        <w:rPr>
          <w:color w:val="000000"/>
          <w:sz w:val="20"/>
          <w:szCs w:val="20"/>
        </w:rPr>
        <w:t xml:space="preserve">Paul M Kennedy, </w:t>
      </w:r>
      <w:r w:rsidRPr="00EC184A">
        <w:rPr>
          <w:i/>
          <w:iCs/>
          <w:color w:val="000000"/>
          <w:sz w:val="20"/>
          <w:szCs w:val="20"/>
        </w:rPr>
        <w:t>The Rise of the Anglo-German Antagonism, 1860-1914</w:t>
      </w:r>
      <w:r w:rsidRPr="00EC184A">
        <w:rPr>
          <w:color w:val="000000"/>
          <w:sz w:val="20"/>
          <w:szCs w:val="20"/>
        </w:rPr>
        <w:t xml:space="preserve"> (London: Allen &amp; Unwin, 1980), 37.</w:t>
      </w:r>
      <w:r w:rsidR="00060760" w:rsidRPr="00EC184A">
        <w:rPr>
          <w:sz w:val="20"/>
          <w:szCs w:val="20"/>
        </w:rPr>
        <w:fldChar w:fldCharType="end"/>
      </w:r>
    </w:p>
  </w:footnote>
  <w:footnote w:id="21">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{"citationID":"rBtkgh1x","citationItems":[{"locator":"217-218","uri":["http://zotero.org/users/414388/items/Z54FWM4K"]}]} </w:instrText>
      </w:r>
      <w:r w:rsidR="00060760" w:rsidRPr="00EC184A">
        <w:rPr>
          <w:sz w:val="20"/>
          <w:szCs w:val="20"/>
        </w:rPr>
        <w:fldChar w:fldCharType="separate"/>
      </w:r>
      <w:r w:rsidRPr="00EC184A">
        <w:rPr>
          <w:color w:val="000000"/>
          <w:sz w:val="20"/>
          <w:szCs w:val="20"/>
        </w:rPr>
        <w:t xml:space="preserve">Massie, </w:t>
      </w:r>
      <w:r w:rsidRPr="00EC184A">
        <w:rPr>
          <w:i/>
          <w:iCs/>
          <w:color w:val="000000"/>
          <w:sz w:val="20"/>
          <w:szCs w:val="20"/>
        </w:rPr>
        <w:t>Dreadnought</w:t>
      </w:r>
      <w:r w:rsidRPr="00EC184A">
        <w:rPr>
          <w:color w:val="000000"/>
          <w:sz w:val="20"/>
          <w:szCs w:val="20"/>
        </w:rPr>
        <w:t>, 217-218.</w:t>
      </w:r>
      <w:r w:rsidR="00060760" w:rsidRPr="00EC184A">
        <w:rPr>
          <w:sz w:val="20"/>
          <w:szCs w:val="20"/>
        </w:rPr>
        <w:fldChar w:fldCharType="end"/>
      </w:r>
    </w:p>
  </w:footnote>
  <w:footnote w:id="22">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{"citationID":"EEhiQsC1","citationItems":[{"locator":"83","uri":["http://zotero.org/users/414388/items/WSGFTFI2"]}]} </w:instrText>
      </w:r>
      <w:r w:rsidR="00060760" w:rsidRPr="00EC184A">
        <w:rPr>
          <w:sz w:val="20"/>
          <w:szCs w:val="20"/>
        </w:rPr>
        <w:fldChar w:fldCharType="separate"/>
      </w:r>
      <w:r w:rsidRPr="00EC184A">
        <w:rPr>
          <w:color w:val="000000"/>
          <w:sz w:val="20"/>
          <w:szCs w:val="20"/>
        </w:rPr>
        <w:t xml:space="preserve">Wilhelm, </w:t>
      </w:r>
      <w:r w:rsidRPr="00EC184A">
        <w:rPr>
          <w:i/>
          <w:iCs/>
          <w:color w:val="000000"/>
          <w:sz w:val="20"/>
          <w:szCs w:val="20"/>
        </w:rPr>
        <w:t>The Kaiser’s Memoirs</w:t>
      </w:r>
      <w:r w:rsidRPr="00EC184A">
        <w:rPr>
          <w:color w:val="000000"/>
          <w:sz w:val="20"/>
          <w:szCs w:val="20"/>
        </w:rPr>
        <w:t>, 1st ed. trans. Thomas R. Ybarra (New York: Harper, 1922), 83.</w:t>
      </w:r>
      <w:r w:rsidR="00060760" w:rsidRPr="00EC184A">
        <w:rPr>
          <w:sz w:val="20"/>
          <w:szCs w:val="20"/>
        </w:rPr>
        <w:fldChar w:fldCharType="end"/>
      </w:r>
    </w:p>
  </w:footnote>
  <w:footnote w:id="23">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{"citationID":"2wmppttr","citationItems":[{"locator":"221","uri":["http://zotero.org/users/414388/items/Z54FWM4K"]}]} </w:instrText>
      </w:r>
      <w:r w:rsidR="00060760" w:rsidRPr="00EC184A">
        <w:rPr>
          <w:sz w:val="20"/>
          <w:szCs w:val="20"/>
        </w:rPr>
        <w:fldChar w:fldCharType="separate"/>
      </w:r>
      <w:r w:rsidRPr="00EC184A">
        <w:rPr>
          <w:color w:val="000000"/>
          <w:sz w:val="20"/>
          <w:szCs w:val="20"/>
        </w:rPr>
        <w:t xml:space="preserve">Massie, </w:t>
      </w:r>
      <w:r w:rsidRPr="00EC184A">
        <w:rPr>
          <w:i/>
          <w:iCs/>
          <w:color w:val="000000"/>
          <w:sz w:val="20"/>
          <w:szCs w:val="20"/>
        </w:rPr>
        <w:t>Dreadnought</w:t>
      </w:r>
      <w:r w:rsidRPr="00EC184A">
        <w:rPr>
          <w:color w:val="000000"/>
          <w:sz w:val="20"/>
          <w:szCs w:val="20"/>
        </w:rPr>
        <w:t>, 221.</w:t>
      </w:r>
      <w:r w:rsidR="00060760" w:rsidRPr="00EC184A">
        <w:rPr>
          <w:sz w:val="20"/>
          <w:szCs w:val="20"/>
        </w:rPr>
        <w:fldChar w:fldCharType="end"/>
      </w:r>
    </w:p>
  </w:footnote>
  <w:footnote w:id="24">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{"citationID":"cnwBFhMZ","citationItems":[{"locator":"223","uri":["http://zotero.org/users/414388/items/Z54FWM4K"]}]} </w:instrText>
      </w:r>
      <w:r w:rsidR="00060760" w:rsidRPr="00EC184A">
        <w:rPr>
          <w:sz w:val="20"/>
          <w:szCs w:val="20"/>
        </w:rPr>
        <w:fldChar w:fldCharType="separate"/>
      </w:r>
      <w:r w:rsidRPr="00EC184A">
        <w:rPr>
          <w:noProof/>
          <w:sz w:val="20"/>
          <w:szCs w:val="20"/>
        </w:rPr>
        <w:t>Ibid., 223.</w:t>
      </w:r>
      <w:r w:rsidR="00060760" w:rsidRPr="00EC184A">
        <w:rPr>
          <w:sz w:val="20"/>
          <w:szCs w:val="20"/>
        </w:rPr>
        <w:fldChar w:fldCharType="end"/>
      </w:r>
    </w:p>
  </w:footnote>
  <w:footnote w:id="25">
    <w:p w:rsidR="00D6333B" w:rsidRPr="00EA79C6"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{"citationID":"7C3UX2Fs","citationItems":[{"locator":"220","uri":["http://zotero.org/users/414388/items/ZF2TTM5D"]}]} </w:instrText>
      </w:r>
      <w:r w:rsidR="00060760" w:rsidRPr="00EC184A">
        <w:rPr>
          <w:sz w:val="20"/>
          <w:szCs w:val="20"/>
        </w:rPr>
        <w:fldChar w:fldCharType="separate"/>
      </w:r>
      <w:r w:rsidRPr="00EC184A">
        <w:rPr>
          <w:color w:val="000000"/>
          <w:sz w:val="20"/>
          <w:szCs w:val="20"/>
        </w:rPr>
        <w:t xml:space="preserve">Kennedy, </w:t>
      </w:r>
      <w:r w:rsidRPr="00EC184A">
        <w:rPr>
          <w:i/>
          <w:iCs/>
          <w:color w:val="000000"/>
          <w:sz w:val="20"/>
          <w:szCs w:val="20"/>
        </w:rPr>
        <w:t>The Rise of the Anglo-German Antagonism, 1860-1914</w:t>
      </w:r>
      <w:r w:rsidRPr="00EC184A">
        <w:rPr>
          <w:color w:val="000000"/>
          <w:sz w:val="20"/>
          <w:szCs w:val="20"/>
        </w:rPr>
        <w:t>, 220.</w:t>
      </w:r>
      <w:r w:rsidR="00060760" w:rsidRPr="00EC184A">
        <w:rPr>
          <w:sz w:val="20"/>
          <w:szCs w:val="20"/>
        </w:rPr>
        <w:fldChar w:fldCharType="end"/>
      </w:r>
    </w:p>
  </w:footnote>
  <w:footnote w:id="26">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The Kaiser was also the King of the state of Prussia, the principle state that unified Germany.</w:t>
      </w:r>
    </w:p>
  </w:footnote>
  <w:footnote w:id="27">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{"citationID":"5ar8ME22","citationItems":[{"locator":"40-41","uri":["http://zotero.org/users/414388/items/MU3AN7J3"]}]} </w:instrText>
      </w:r>
      <w:r w:rsidR="00060760" w:rsidRPr="00EC184A">
        <w:rPr>
          <w:sz w:val="20"/>
          <w:szCs w:val="20"/>
        </w:rPr>
        <w:fldChar w:fldCharType="separate"/>
      </w:r>
      <w:r w:rsidRPr="00EC184A">
        <w:rPr>
          <w:color w:val="000000"/>
          <w:sz w:val="20"/>
          <w:szCs w:val="20"/>
        </w:rPr>
        <w:t xml:space="preserve">Gordon Alexander Craig, </w:t>
      </w:r>
      <w:r w:rsidRPr="00EC184A">
        <w:rPr>
          <w:i/>
          <w:iCs/>
          <w:color w:val="000000"/>
          <w:sz w:val="20"/>
          <w:szCs w:val="20"/>
        </w:rPr>
        <w:t>Germany, 1866-1945</w:t>
      </w:r>
      <w:r w:rsidRPr="00EC184A">
        <w:rPr>
          <w:color w:val="000000"/>
          <w:sz w:val="20"/>
          <w:szCs w:val="20"/>
        </w:rPr>
        <w:t xml:space="preserve"> (New York: Oxford University Press, 1980), 40-41.</w:t>
      </w:r>
      <w:r w:rsidR="00060760" w:rsidRPr="00EC184A">
        <w:rPr>
          <w:sz w:val="20"/>
          <w:szCs w:val="20"/>
        </w:rPr>
        <w:fldChar w:fldCharType="end"/>
      </w:r>
    </w:p>
  </w:footnote>
  <w:footnote w:id="28">
    <w:p w:rsidR="00D6333B" w:rsidRPr="00CE4036"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Bismarck stipulated this authority in the Imperial Constitution. During his tenure as Chancellor, he dominated the Empire’s government and asserted his authority in all issues. He had both the support Kaiser Wilhelm I and the power to control the Reichstag. With the ascension of Wilhelm II and his dismissal of Bismarck, the Reichstag began acting much more in defiance of the Kaiser and against his ministers’ policies.</w:t>
      </w:r>
      <w:r w:rsidRPr="00CE4036">
        <w:rPr>
          <w:sz w:val="20"/>
          <w:szCs w:val="20"/>
        </w:rPr>
        <w:t xml:space="preserve"> </w:t>
      </w:r>
    </w:p>
  </w:footnote>
  <w:footnote w:id="29">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{"citationID":"DXg9fX0b","citationItems":[{"locator":"40","uri":["http://zotero.org/users/414388/items/MU3AN7J3"]}]} </w:instrText>
      </w:r>
      <w:r w:rsidR="00060760" w:rsidRPr="00EC184A">
        <w:rPr>
          <w:sz w:val="20"/>
          <w:szCs w:val="20"/>
        </w:rPr>
        <w:fldChar w:fldCharType="separate"/>
      </w:r>
      <w:r w:rsidRPr="00EC184A">
        <w:rPr>
          <w:color w:val="000000"/>
          <w:sz w:val="20"/>
          <w:szCs w:val="20"/>
        </w:rPr>
        <w:t xml:space="preserve">Craig, </w:t>
      </w:r>
      <w:r w:rsidRPr="00EC184A">
        <w:rPr>
          <w:i/>
          <w:iCs/>
          <w:color w:val="000000"/>
          <w:sz w:val="20"/>
          <w:szCs w:val="20"/>
        </w:rPr>
        <w:t>Germany, 1866-1945</w:t>
      </w:r>
      <w:r w:rsidRPr="00EC184A">
        <w:rPr>
          <w:color w:val="000000"/>
          <w:sz w:val="20"/>
          <w:szCs w:val="20"/>
        </w:rPr>
        <w:t>, 40.</w:t>
      </w:r>
      <w:r w:rsidR="00060760" w:rsidRPr="00EC184A">
        <w:rPr>
          <w:sz w:val="20"/>
          <w:szCs w:val="20"/>
        </w:rPr>
        <w:fldChar w:fldCharType="end"/>
      </w:r>
      <w:r w:rsidRPr="00EC184A">
        <w:rPr>
          <w:sz w:val="20"/>
          <w:szCs w:val="20"/>
        </w:rPr>
        <w:t xml:space="preserve">     </w:t>
      </w:r>
    </w:p>
  </w:footnote>
  <w:footnote w:id="30">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{"citationID":"F46CfnZ9","citationItems":[{"uri":["http://zotero.org/users/414388/items/JDK9UGIS"]}]} </w:instrText>
      </w:r>
      <w:r w:rsidR="00060760" w:rsidRPr="00EC184A">
        <w:rPr>
          <w:sz w:val="20"/>
          <w:szCs w:val="20"/>
        </w:rPr>
        <w:fldChar w:fldCharType="separate"/>
      </w:r>
      <w:r w:rsidRPr="00EC184A">
        <w:rPr>
          <w:color w:val="000000"/>
          <w:sz w:val="20"/>
          <w:szCs w:val="20"/>
        </w:rPr>
        <w:t xml:space="preserve">“The German Navy Bill,” </w:t>
      </w:r>
      <w:r w:rsidRPr="00EC184A">
        <w:rPr>
          <w:i/>
          <w:iCs/>
          <w:color w:val="000000"/>
          <w:sz w:val="20"/>
          <w:szCs w:val="20"/>
        </w:rPr>
        <w:t>The Times (London)</w:t>
      </w:r>
      <w:r w:rsidRPr="00EC184A">
        <w:rPr>
          <w:color w:val="000000"/>
          <w:sz w:val="20"/>
          <w:szCs w:val="20"/>
        </w:rPr>
        <w:t>, December 8, 1897.</w:t>
      </w:r>
      <w:r w:rsidR="00060760" w:rsidRPr="00EC184A">
        <w:rPr>
          <w:sz w:val="20"/>
          <w:szCs w:val="20"/>
        </w:rPr>
        <w:fldChar w:fldCharType="end"/>
      </w:r>
    </w:p>
  </w:footnote>
  <w:footnote w:id="31">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For more information on Hollmann’s bill, see </w:t>
      </w:r>
      <w:r w:rsidR="00060760" w:rsidRPr="00EC184A">
        <w:rPr>
          <w:sz w:val="20"/>
          <w:szCs w:val="20"/>
        </w:rPr>
        <w:fldChar w:fldCharType="begin"/>
      </w:r>
      <w:r w:rsidRPr="00EC184A">
        <w:rPr>
          <w:sz w:val="20"/>
          <w:szCs w:val="20"/>
        </w:rPr>
        <w:instrText xml:space="preserve"> ADDIN ZOTERO_ITEM {"citationID":"eVXz6BU9","citationItems":[{"locator":"97-124","uri":["http://zotero.org/users/414388/items/V8UWCB3A"]}]} </w:instrText>
      </w:r>
      <w:r w:rsidR="00060760" w:rsidRPr="00EC184A">
        <w:rPr>
          <w:sz w:val="20"/>
          <w:szCs w:val="20"/>
        </w:rPr>
        <w:fldChar w:fldCharType="separate"/>
      </w:r>
      <w:r w:rsidRPr="00EC184A">
        <w:rPr>
          <w:color w:val="000000"/>
          <w:sz w:val="20"/>
          <w:szCs w:val="20"/>
        </w:rPr>
        <w:t xml:space="preserve">Steinberg, </w:t>
      </w:r>
      <w:r w:rsidRPr="00EC184A">
        <w:rPr>
          <w:i/>
          <w:iCs/>
          <w:color w:val="000000"/>
          <w:sz w:val="20"/>
          <w:szCs w:val="20"/>
        </w:rPr>
        <w:t>Yesterday’s Deterrent: Tirpitz and the Birth of the German Battle Fleet</w:t>
      </w:r>
      <w:r w:rsidRPr="00EC184A">
        <w:rPr>
          <w:color w:val="000000"/>
          <w:sz w:val="20"/>
          <w:szCs w:val="20"/>
        </w:rPr>
        <w:t>, 97-124.</w:t>
      </w:r>
      <w:r w:rsidR="00060760" w:rsidRPr="00EC184A">
        <w:rPr>
          <w:sz w:val="20"/>
          <w:szCs w:val="20"/>
        </w:rPr>
        <w:fldChar w:fldCharType="end"/>
      </w:r>
    </w:p>
  </w:footnote>
  <w:footnote w:id="32">
    <w:p w:rsidR="00D6333B" w:rsidRPr="00B269C0"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{"citationID":"HIblrcJS","citationItems":[{"locator":"62-63","uri":["http://zotero.org/users/414388/items/MU3AN7J3"]}]} </w:instrText>
      </w:r>
      <w:r w:rsidR="00060760" w:rsidRPr="00EC184A">
        <w:rPr>
          <w:sz w:val="20"/>
          <w:szCs w:val="20"/>
        </w:rPr>
        <w:fldChar w:fldCharType="separate"/>
      </w:r>
      <w:r w:rsidRPr="00EC184A">
        <w:rPr>
          <w:color w:val="000000"/>
          <w:sz w:val="20"/>
          <w:szCs w:val="20"/>
        </w:rPr>
        <w:t xml:space="preserve">Craig, </w:t>
      </w:r>
      <w:r w:rsidRPr="00EC184A">
        <w:rPr>
          <w:i/>
          <w:iCs/>
          <w:color w:val="000000"/>
          <w:sz w:val="20"/>
          <w:szCs w:val="20"/>
        </w:rPr>
        <w:t>Germany, 1866-1945</w:t>
      </w:r>
      <w:r w:rsidRPr="00EC184A">
        <w:rPr>
          <w:color w:val="000000"/>
          <w:sz w:val="20"/>
          <w:szCs w:val="20"/>
        </w:rPr>
        <w:t>, 62-63.</w:t>
      </w:r>
      <w:r w:rsidR="00060760" w:rsidRPr="00EC184A">
        <w:rPr>
          <w:noProof/>
          <w:sz w:val="20"/>
          <w:szCs w:val="20"/>
        </w:rPr>
        <w:fldChar w:fldCharType="end"/>
      </w:r>
    </w:p>
  </w:footnote>
  <w:footnote w:id="33">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{"citationID":"igfZHpIe","citationItems":[{"locator":"21, 24","uri":["http://zotero.org/users/414388/items/8MDVMGKQ"]}]} </w:instrText>
      </w:r>
      <w:r w:rsidR="00060760" w:rsidRPr="00EC184A">
        <w:rPr>
          <w:sz w:val="20"/>
          <w:szCs w:val="20"/>
        </w:rPr>
        <w:fldChar w:fldCharType="separate"/>
      </w:r>
      <w:r w:rsidRPr="00EC184A">
        <w:rPr>
          <w:color w:val="000000"/>
          <w:sz w:val="20"/>
          <w:szCs w:val="20"/>
        </w:rPr>
        <w:t xml:space="preserve">David Blackbourn, </w:t>
      </w:r>
      <w:r w:rsidRPr="00EC184A">
        <w:rPr>
          <w:i/>
          <w:iCs/>
          <w:color w:val="000000"/>
          <w:sz w:val="20"/>
          <w:szCs w:val="20"/>
        </w:rPr>
        <w:t>Class, Religion, and Local Politics in Wilhelmine Germany: The Centre Party in Württemberg Before 1914</w:t>
      </w:r>
      <w:r w:rsidRPr="00EC184A">
        <w:rPr>
          <w:color w:val="000000"/>
          <w:sz w:val="20"/>
          <w:szCs w:val="20"/>
        </w:rPr>
        <w:t xml:space="preserve"> (New Haven: Yale University Press, 1980), 21, 24</w:t>
      </w:r>
      <w:r w:rsidR="00060760" w:rsidRPr="00EC184A">
        <w:rPr>
          <w:sz w:val="20"/>
          <w:szCs w:val="20"/>
        </w:rPr>
        <w:fldChar w:fldCharType="end"/>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{"citationID":"NKZlV0Ry","citationItems":[{"locator":"257","uri":["http://zotero.org/users/414388/items/AUGFBTW8"]}]} </w:instrText>
      </w:r>
      <w:r w:rsidR="00060760" w:rsidRPr="00EC184A">
        <w:rPr>
          <w:sz w:val="20"/>
          <w:szCs w:val="20"/>
        </w:rPr>
        <w:fldChar w:fldCharType="separate"/>
      </w:r>
      <w:r w:rsidRPr="00EC184A">
        <w:rPr>
          <w:color w:val="000000"/>
          <w:sz w:val="20"/>
          <w:szCs w:val="20"/>
        </w:rPr>
        <w:t xml:space="preserve">David Blackbourn, </w:t>
      </w:r>
      <w:r w:rsidRPr="00EC184A">
        <w:rPr>
          <w:i/>
          <w:iCs/>
          <w:color w:val="000000"/>
          <w:sz w:val="20"/>
          <w:szCs w:val="20"/>
        </w:rPr>
        <w:t>History of Germany, 1780-1918: The Long Nineteenth Century</w:t>
      </w:r>
      <w:r w:rsidRPr="00EC184A">
        <w:rPr>
          <w:color w:val="000000"/>
          <w:sz w:val="20"/>
          <w:szCs w:val="20"/>
        </w:rPr>
        <w:t>, 2nd ed. (Malden: Blackwell Publishing, 2003), 257.</w:t>
      </w:r>
      <w:r w:rsidR="00060760" w:rsidRPr="00EC184A">
        <w:rPr>
          <w:sz w:val="20"/>
          <w:szCs w:val="20"/>
        </w:rPr>
        <w:fldChar w:fldCharType="end"/>
      </w:r>
    </w:p>
  </w:footnote>
  <w:footnote w:id="34">
    <w:p w:rsidR="00D6333B" w:rsidRPr="002C1779"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{"citationID":"EA3dx0OC","citationItems":[{"locator":"64","uri":["http://zotero.org/users/414388/items/MU3AN7J3"]}]} </w:instrText>
      </w:r>
      <w:r w:rsidR="00060760" w:rsidRPr="00EC184A">
        <w:rPr>
          <w:sz w:val="20"/>
          <w:szCs w:val="20"/>
        </w:rPr>
        <w:fldChar w:fldCharType="separate"/>
      </w:r>
      <w:r w:rsidRPr="00EC184A">
        <w:rPr>
          <w:color w:val="000000"/>
          <w:sz w:val="20"/>
          <w:szCs w:val="20"/>
        </w:rPr>
        <w:t xml:space="preserve">Craig, </w:t>
      </w:r>
      <w:r w:rsidRPr="00EC184A">
        <w:rPr>
          <w:i/>
          <w:iCs/>
          <w:color w:val="000000"/>
          <w:sz w:val="20"/>
          <w:szCs w:val="20"/>
        </w:rPr>
        <w:t>Germany, 1866-1945</w:t>
      </w:r>
      <w:r w:rsidRPr="00EC184A">
        <w:rPr>
          <w:color w:val="000000"/>
          <w:sz w:val="20"/>
          <w:szCs w:val="20"/>
        </w:rPr>
        <w:t>, 64.</w:t>
      </w:r>
      <w:r w:rsidR="00060760" w:rsidRPr="00EC184A">
        <w:rPr>
          <w:sz w:val="20"/>
          <w:szCs w:val="20"/>
        </w:rPr>
        <w:fldChar w:fldCharType="end"/>
      </w:r>
    </w:p>
  </w:footnote>
  <w:footnote w:id="35">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{"citationID":"o3rWTDVF","citationItems":[{"locator":"201","uri":["http://zotero.org/users/414388/items/V8UWCB3A"]}]} </w:instrText>
      </w:r>
      <w:r w:rsidR="00060760" w:rsidRPr="00EC184A">
        <w:rPr>
          <w:sz w:val="20"/>
          <w:szCs w:val="20"/>
        </w:rPr>
        <w:fldChar w:fldCharType="separate"/>
      </w:r>
      <w:r w:rsidRPr="00EC184A">
        <w:rPr>
          <w:color w:val="000000"/>
          <w:sz w:val="20"/>
          <w:szCs w:val="20"/>
        </w:rPr>
        <w:t xml:space="preserve">Steinberg, </w:t>
      </w:r>
      <w:r w:rsidRPr="00EC184A">
        <w:rPr>
          <w:i/>
          <w:iCs/>
          <w:color w:val="000000"/>
          <w:sz w:val="20"/>
          <w:szCs w:val="20"/>
        </w:rPr>
        <w:t>Yesterday’s Deterrent: Tirpitz and the Birth of the German Battle Fleet</w:t>
      </w:r>
      <w:r w:rsidRPr="00EC184A">
        <w:rPr>
          <w:color w:val="000000"/>
          <w:sz w:val="20"/>
          <w:szCs w:val="20"/>
        </w:rPr>
        <w:t>, 201</w:t>
      </w:r>
      <w:r w:rsidR="00060760" w:rsidRPr="00EC184A">
        <w:rPr>
          <w:sz w:val="20"/>
          <w:szCs w:val="20"/>
        </w:rPr>
        <w:fldChar w:fldCharType="end"/>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{"citationID":"15pNZV5O","citationItems":[{"locator":"201","uri":["http://zotero.org/users/414388/items/IZXI3CQ2"]}]} </w:instrText>
      </w:r>
      <w:r w:rsidR="00060760" w:rsidRPr="00EC184A">
        <w:rPr>
          <w:sz w:val="20"/>
          <w:szCs w:val="20"/>
        </w:rPr>
        <w:fldChar w:fldCharType="separate"/>
      </w:r>
      <w:r w:rsidRPr="00EC184A">
        <w:rPr>
          <w:color w:val="000000"/>
          <w:sz w:val="20"/>
          <w:szCs w:val="20"/>
        </w:rPr>
        <w:t xml:space="preserve">Paul M Kennedy, “Tirpitz, England and the Second Navy Law of 1900: A Strategical Critique,” </w:t>
      </w:r>
      <w:r w:rsidRPr="00EC184A">
        <w:rPr>
          <w:i/>
          <w:iCs/>
          <w:color w:val="000000"/>
          <w:sz w:val="20"/>
          <w:szCs w:val="20"/>
        </w:rPr>
        <w:t>Militärgeschichtliche Mitteilung</w:t>
      </w:r>
      <w:r w:rsidRPr="00EC184A">
        <w:rPr>
          <w:color w:val="000000"/>
          <w:sz w:val="20"/>
          <w:szCs w:val="20"/>
        </w:rPr>
        <w:t xml:space="preserve"> 2 (1970), 201.</w:t>
      </w:r>
      <w:r w:rsidR="00060760" w:rsidRPr="00EC184A">
        <w:rPr>
          <w:sz w:val="20"/>
          <w:szCs w:val="20"/>
        </w:rPr>
        <w:fldChar w:fldCharType="end"/>
      </w:r>
    </w:p>
  </w:footnote>
  <w:footnote w:id="36">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{"citationID":"iVKir1tZ","citationItems":[{"locator":"87","uri":["http://zotero.org/users/414388/items/WMM9ZJJC"]}]} </w:instrText>
      </w:r>
      <w:r w:rsidR="00060760" w:rsidRPr="00EC184A">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87.</w:t>
      </w:r>
      <w:r w:rsidR="00060760" w:rsidRPr="00EC184A">
        <w:rPr>
          <w:sz w:val="20"/>
          <w:szCs w:val="20"/>
        </w:rPr>
        <w:fldChar w:fldCharType="end"/>
      </w:r>
    </w:p>
  </w:footnote>
  <w:footnote w:id="37">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{"citationID":"Kkru4hB6","citationItems":[{"locator":"144","uri":["http://zotero.org/users/414388/items/V8UWCB3A"]}]} </w:instrText>
      </w:r>
      <w:r w:rsidR="00060760" w:rsidRPr="00EC184A">
        <w:rPr>
          <w:sz w:val="20"/>
          <w:szCs w:val="20"/>
        </w:rPr>
        <w:fldChar w:fldCharType="separate"/>
      </w:r>
      <w:r w:rsidRPr="00EC184A">
        <w:rPr>
          <w:color w:val="000000"/>
          <w:sz w:val="20"/>
          <w:szCs w:val="20"/>
        </w:rPr>
        <w:t xml:space="preserve">Steinberg, </w:t>
      </w:r>
      <w:r w:rsidRPr="00EC184A">
        <w:rPr>
          <w:i/>
          <w:iCs/>
          <w:color w:val="000000"/>
          <w:sz w:val="20"/>
          <w:szCs w:val="20"/>
        </w:rPr>
        <w:t>Yesterday’s Deterrent: Tirpitz and the Birth of the German Battle Fleet</w:t>
      </w:r>
      <w:r w:rsidRPr="00EC184A">
        <w:rPr>
          <w:color w:val="000000"/>
          <w:sz w:val="20"/>
          <w:szCs w:val="20"/>
        </w:rPr>
        <w:t>, 144</w:t>
      </w:r>
      <w:r w:rsidR="00060760" w:rsidRPr="00EC184A">
        <w:rPr>
          <w:noProof/>
          <w:sz w:val="20"/>
          <w:szCs w:val="20"/>
        </w:rPr>
        <w:fldChar w:fldCharType="end"/>
      </w:r>
      <w:r w:rsidRPr="00EC184A">
        <w:rPr>
          <w:noProof/>
          <w:sz w:val="20"/>
          <w:szCs w:val="20"/>
        </w:rPr>
        <w:t>; the Bundesrath was the second legislative body within the German Empire, whose members were ranking government officials appointed by each of the states. All federal legislation required approval by the Bundesrath, making it equal to the popularly elected Reichstag. The Bundesrath largely followed the aims of the government and Kaiser</w:t>
      </w:r>
      <w:r w:rsidRPr="00CE4036">
        <w:rPr>
          <w:noProof/>
          <w:sz w:val="20"/>
          <w:szCs w:val="20"/>
        </w:rPr>
        <w:t xml:space="preserve"> (who was also king of</w:t>
      </w:r>
      <w:r w:rsidRPr="00B269C0">
        <w:rPr>
          <w:noProof/>
          <w:sz w:val="20"/>
          <w:szCs w:val="20"/>
        </w:rPr>
        <w:t xml:space="preserve"> </w:t>
      </w:r>
      <w:r w:rsidRPr="00EC184A">
        <w:rPr>
          <w:noProof/>
          <w:sz w:val="20"/>
          <w:szCs w:val="20"/>
        </w:rPr>
        <w:t xml:space="preserve">Prussia) as Prussia provided seventeen of the thirty members needed to pass legislation in the fifty-eight person chamber. </w:t>
      </w:r>
    </w:p>
  </w:footnote>
  <w:footnote w:id="38">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Steinberg points out that this number would increase to eleven as the four battleships of the “Sachsen” class were already so archaic that they would require replacement by 1902-03; </w:t>
      </w:r>
      <w:r w:rsidR="00060760" w:rsidRPr="00EC184A">
        <w:rPr>
          <w:sz w:val="20"/>
          <w:szCs w:val="20"/>
        </w:rPr>
        <w:fldChar w:fldCharType="begin"/>
      </w:r>
      <w:r w:rsidRPr="00EC184A">
        <w:rPr>
          <w:sz w:val="20"/>
          <w:szCs w:val="20"/>
        </w:rPr>
        <w:instrText xml:space="preserve"> ADDIN ZOTERO_ITEM {"citationID":"RufRCsxT","citationItems":[{"locator":"146","uri":["http://zotero.org/users/414388/items/V8UWCB3A"]}]} </w:instrText>
      </w:r>
      <w:r w:rsidR="00060760" w:rsidRPr="00EC184A">
        <w:rPr>
          <w:sz w:val="20"/>
          <w:szCs w:val="20"/>
        </w:rPr>
        <w:fldChar w:fldCharType="separate"/>
      </w:r>
      <w:r w:rsidRPr="00EC184A">
        <w:rPr>
          <w:noProof/>
          <w:sz w:val="20"/>
          <w:szCs w:val="20"/>
        </w:rPr>
        <w:t>Ibid., 146.</w:t>
      </w:r>
      <w:r w:rsidR="00060760" w:rsidRPr="00EC184A">
        <w:rPr>
          <w:sz w:val="20"/>
          <w:szCs w:val="20"/>
        </w:rPr>
        <w:fldChar w:fldCharType="end"/>
      </w:r>
    </w:p>
  </w:footnote>
  <w:footnote w:id="39">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{"citationID":"xisHHzB1","citationItems":[{"uri":["http://zotero.org/users/414388/items/CJVCJ58K"]}]} </w:instrText>
      </w:r>
      <w:r w:rsidR="00060760" w:rsidRPr="00EC184A">
        <w:rPr>
          <w:sz w:val="20"/>
          <w:szCs w:val="20"/>
        </w:rPr>
        <w:fldChar w:fldCharType="separate"/>
      </w:r>
      <w:r w:rsidRPr="00EC184A">
        <w:rPr>
          <w:color w:val="000000"/>
          <w:sz w:val="20"/>
          <w:szCs w:val="20"/>
        </w:rPr>
        <w:t xml:space="preserve">“The German Navy Bill,” </w:t>
      </w:r>
      <w:r w:rsidRPr="00EC184A">
        <w:rPr>
          <w:i/>
          <w:iCs/>
          <w:color w:val="000000"/>
          <w:sz w:val="20"/>
          <w:szCs w:val="20"/>
        </w:rPr>
        <w:t>The Times (London)</w:t>
      </w:r>
      <w:r w:rsidRPr="00EC184A">
        <w:rPr>
          <w:color w:val="000000"/>
          <w:sz w:val="20"/>
          <w:szCs w:val="20"/>
        </w:rPr>
        <w:t>, November 29, 1897.</w:t>
      </w:r>
      <w:r w:rsidR="00060760" w:rsidRPr="00EC184A">
        <w:rPr>
          <w:sz w:val="20"/>
          <w:szCs w:val="20"/>
        </w:rPr>
        <w:fldChar w:fldCharType="end"/>
      </w:r>
    </w:p>
  </w:footnote>
  <w:footnote w:id="40">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{"citationID":"Ux6EKhCd","citationItems":[{"uri":["http://zotero.org/users/414388/items/CJVCJ58K"]}]} </w:instrText>
      </w:r>
      <w:r w:rsidR="00060760" w:rsidRPr="00EC184A">
        <w:rPr>
          <w:sz w:val="20"/>
          <w:szCs w:val="20"/>
        </w:rPr>
        <w:fldChar w:fldCharType="separate"/>
      </w:r>
      <w:r w:rsidRPr="00EC184A">
        <w:rPr>
          <w:color w:val="000000"/>
          <w:sz w:val="20"/>
          <w:szCs w:val="20"/>
        </w:rPr>
        <w:t>Ibid.</w:t>
      </w:r>
      <w:r w:rsidR="00060760" w:rsidRPr="00EC184A">
        <w:rPr>
          <w:sz w:val="20"/>
          <w:szCs w:val="20"/>
        </w:rPr>
        <w:fldChar w:fldCharType="end"/>
      </w:r>
    </w:p>
  </w:footnote>
  <w:footnote w:id="41">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{"citationID":"UWsfhqTL","citationItems":[{"locator":"106","uri":["http://zotero.org/users/414388/items/V8UWCB3A"]}]} </w:instrText>
      </w:r>
      <w:r w:rsidR="00060760" w:rsidRPr="00EC184A">
        <w:rPr>
          <w:sz w:val="20"/>
          <w:szCs w:val="20"/>
        </w:rPr>
        <w:fldChar w:fldCharType="separate"/>
      </w:r>
      <w:r w:rsidRPr="00EC184A">
        <w:rPr>
          <w:color w:val="000000"/>
          <w:sz w:val="20"/>
          <w:szCs w:val="20"/>
        </w:rPr>
        <w:t xml:space="preserve">Steinberg, </w:t>
      </w:r>
      <w:r w:rsidRPr="00EC184A">
        <w:rPr>
          <w:i/>
          <w:iCs/>
          <w:color w:val="000000"/>
          <w:sz w:val="20"/>
          <w:szCs w:val="20"/>
        </w:rPr>
        <w:t>Yesterday’s Deterrent: Tirpitz and the Birth of the German Battle Fleet</w:t>
      </w:r>
      <w:r w:rsidRPr="00EC184A">
        <w:rPr>
          <w:color w:val="000000"/>
          <w:sz w:val="20"/>
          <w:szCs w:val="20"/>
        </w:rPr>
        <w:t>, 106.</w:t>
      </w:r>
      <w:r w:rsidR="00060760" w:rsidRPr="00EC184A">
        <w:rPr>
          <w:sz w:val="20"/>
          <w:szCs w:val="20"/>
        </w:rPr>
        <w:fldChar w:fldCharType="end"/>
      </w:r>
    </w:p>
  </w:footnote>
  <w:footnote w:id="42">
    <w:p w:rsidR="00D6333B" w:rsidRPr="00754F05"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{"citationID":"B0SVXTy9","citationItems":[{"uri":["http://zotero.org/users/414388/items/CJVCJ58K"]}]} </w:instrText>
      </w:r>
      <w:r w:rsidR="00060760" w:rsidRPr="00EC184A">
        <w:rPr>
          <w:sz w:val="20"/>
          <w:szCs w:val="20"/>
        </w:rPr>
        <w:fldChar w:fldCharType="separate"/>
      </w:r>
      <w:r w:rsidRPr="00EC184A">
        <w:rPr>
          <w:color w:val="000000"/>
          <w:sz w:val="20"/>
          <w:szCs w:val="20"/>
        </w:rPr>
        <w:t>“The German Navy Bill.”</w:t>
      </w:r>
      <w:r w:rsidR="00060760" w:rsidRPr="00EC184A">
        <w:rPr>
          <w:sz w:val="20"/>
          <w:szCs w:val="20"/>
        </w:rPr>
        <w:fldChar w:fldCharType="end"/>
      </w:r>
    </w:p>
  </w:footnote>
  <w:footnote w:id="43">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{"citationID":"1b61ri20vf","citationItems":[{"locator":"188","label":"page","uri":["http://zotero.org/users/414388/items/V8UWCB3A"]}]} </w:instrText>
      </w:r>
      <w:r w:rsidR="00060760" w:rsidRPr="00EC184A">
        <w:rPr>
          <w:sz w:val="20"/>
          <w:szCs w:val="20"/>
        </w:rPr>
        <w:fldChar w:fldCharType="separate"/>
      </w:r>
      <w:r w:rsidRPr="00EC184A">
        <w:rPr>
          <w:sz w:val="20"/>
          <w:szCs w:val="20"/>
        </w:rPr>
        <w:t xml:space="preserve">Steinberg, </w:t>
      </w:r>
      <w:r w:rsidRPr="00EC184A">
        <w:rPr>
          <w:i/>
          <w:iCs/>
          <w:sz w:val="20"/>
          <w:szCs w:val="20"/>
        </w:rPr>
        <w:t>Yesterday’s Deterrent: Tirpitz and the Birth of the German Battle Fleet</w:t>
      </w:r>
      <w:r w:rsidRPr="00EC184A">
        <w:rPr>
          <w:sz w:val="20"/>
          <w:szCs w:val="20"/>
        </w:rPr>
        <w:t>, 188.</w:t>
      </w:r>
      <w:r w:rsidR="00060760" w:rsidRPr="00EC184A">
        <w:rPr>
          <w:sz w:val="20"/>
          <w:szCs w:val="20"/>
        </w:rPr>
        <w:fldChar w:fldCharType="end"/>
      </w:r>
    </w:p>
  </w:footnote>
  <w:footnote w:id="44">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{"citationID":"232nsrnuki","citationItems":[{"uri":["http://zotero.org/users/414388/items/ZVA9R6E6"]}]} </w:instrText>
      </w:r>
      <w:r w:rsidR="00060760" w:rsidRPr="00EC184A">
        <w:rPr>
          <w:sz w:val="20"/>
          <w:szCs w:val="20"/>
        </w:rPr>
        <w:fldChar w:fldCharType="separate"/>
      </w:r>
      <w:r w:rsidRPr="00EC184A">
        <w:rPr>
          <w:sz w:val="20"/>
          <w:szCs w:val="20"/>
        </w:rPr>
        <w:t xml:space="preserve">“The German Navy Bill,” </w:t>
      </w:r>
      <w:r w:rsidRPr="00EC184A">
        <w:rPr>
          <w:i/>
          <w:iCs/>
          <w:sz w:val="20"/>
          <w:szCs w:val="20"/>
        </w:rPr>
        <w:t>The Times (London)</w:t>
      </w:r>
      <w:r w:rsidRPr="00EC184A">
        <w:rPr>
          <w:sz w:val="20"/>
          <w:szCs w:val="20"/>
        </w:rPr>
        <w:t>, March 25, 1898.</w:t>
      </w:r>
      <w:r w:rsidR="00060760" w:rsidRPr="00EC184A">
        <w:rPr>
          <w:sz w:val="20"/>
          <w:szCs w:val="20"/>
        </w:rPr>
        <w:fldChar w:fldCharType="end"/>
      </w:r>
    </w:p>
  </w:footnote>
  <w:footnote w:id="45">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{"citationID":"CGE2xD4H","citationItems":[{"locator":"147","uri":["http://zotero.org/users/414388/items/V8UWCB3A"]}]} </w:instrText>
      </w:r>
      <w:r w:rsidR="00060760" w:rsidRPr="00EC184A">
        <w:rPr>
          <w:sz w:val="20"/>
          <w:szCs w:val="20"/>
        </w:rPr>
        <w:fldChar w:fldCharType="separate"/>
      </w:r>
      <w:r w:rsidRPr="00EC184A">
        <w:rPr>
          <w:color w:val="000000"/>
          <w:sz w:val="20"/>
          <w:szCs w:val="20"/>
        </w:rPr>
        <w:t xml:space="preserve">Steinberg, </w:t>
      </w:r>
      <w:r w:rsidRPr="00EC184A">
        <w:rPr>
          <w:i/>
          <w:iCs/>
          <w:color w:val="000000"/>
          <w:sz w:val="20"/>
          <w:szCs w:val="20"/>
        </w:rPr>
        <w:t>Yesterday’s Deterrent: Tirpitz and the Birth of the German Battle Fleet</w:t>
      </w:r>
      <w:r w:rsidRPr="00EC184A">
        <w:rPr>
          <w:color w:val="000000"/>
          <w:sz w:val="20"/>
          <w:szCs w:val="20"/>
        </w:rPr>
        <w:t>, 147.</w:t>
      </w:r>
      <w:r w:rsidR="00060760" w:rsidRPr="00EC184A">
        <w:rPr>
          <w:sz w:val="20"/>
          <w:szCs w:val="20"/>
        </w:rPr>
        <w:fldChar w:fldCharType="end"/>
      </w:r>
    </w:p>
  </w:footnote>
  <w:footnote w:id="46">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{"citationID":"tMTl9bIJ","citationItems":[{"locator":"147-148","uri":["http://zotero.org/users/414388/items/V8UWCB3A"]}]} </w:instrText>
      </w:r>
      <w:r w:rsidR="00060760" w:rsidRPr="00EC184A">
        <w:rPr>
          <w:sz w:val="20"/>
          <w:szCs w:val="20"/>
        </w:rPr>
        <w:fldChar w:fldCharType="separate"/>
      </w:r>
      <w:r w:rsidRPr="00EC184A">
        <w:rPr>
          <w:color w:val="000000"/>
          <w:sz w:val="20"/>
          <w:szCs w:val="20"/>
        </w:rPr>
        <w:t>Ibid., 147-148</w:t>
      </w:r>
      <w:r w:rsidR="00060760" w:rsidRPr="00EC184A">
        <w:rPr>
          <w:sz w:val="20"/>
          <w:szCs w:val="20"/>
        </w:rPr>
        <w:fldChar w:fldCharType="end"/>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{"citationID":"0uuyWP8i","citationItems":[{"locator":"33","uri":["http://zotero.org/users/414388/items/IZXI3CQ2"]}]} </w:instrText>
      </w:r>
      <w:r w:rsidR="00060760" w:rsidRPr="00EC184A">
        <w:rPr>
          <w:sz w:val="20"/>
          <w:szCs w:val="20"/>
        </w:rPr>
        <w:fldChar w:fldCharType="separate"/>
      </w:r>
      <w:r w:rsidRPr="00EC184A">
        <w:rPr>
          <w:color w:val="000000"/>
          <w:sz w:val="20"/>
          <w:szCs w:val="20"/>
        </w:rPr>
        <w:t>Kennedy, “Tirpitz, England and the Second Navy Law of 1900: A Strategical Critique,” 33.</w:t>
      </w:r>
      <w:r w:rsidR="00060760" w:rsidRPr="00EC184A">
        <w:rPr>
          <w:sz w:val="20"/>
          <w:szCs w:val="20"/>
        </w:rPr>
        <w:fldChar w:fldCharType="end"/>
      </w:r>
    </w:p>
  </w:footnote>
  <w:footnote w:id="47">
    <w:p w:rsidR="00D6333B" w:rsidRPr="000E1BDC"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The Tirpitz Memorandum specified the necessary ability for the German fleet to function against France and Russia, not just England. See </w:t>
      </w:r>
      <w:r w:rsidR="00060760" w:rsidRPr="00EC184A">
        <w:rPr>
          <w:sz w:val="20"/>
          <w:szCs w:val="20"/>
        </w:rPr>
        <w:fldChar w:fldCharType="begin"/>
      </w:r>
      <w:r w:rsidRPr="00EC184A">
        <w:rPr>
          <w:sz w:val="20"/>
          <w:szCs w:val="20"/>
        </w:rPr>
        <w:instrText xml:space="preserve"> ADDIN ZOTERO_ITEM {"citationID":"tTC4b9Dl","citationItems":[{"locator":"122","uri":["http://zotero.org/users/414388/items/T3HH3NWS"]}]} </w:instrText>
      </w:r>
      <w:r w:rsidR="00060760" w:rsidRPr="00EC184A">
        <w:rPr>
          <w:sz w:val="20"/>
          <w:szCs w:val="20"/>
        </w:rPr>
        <w:fldChar w:fldCharType="separate"/>
      </w:r>
      <w:r w:rsidRPr="00EC184A">
        <w:rPr>
          <w:color w:val="000000"/>
          <w:sz w:val="20"/>
          <w:szCs w:val="20"/>
        </w:rPr>
        <w:t xml:space="preserve">Volker R. Berghahn, eds., “Denkschrift des Staatssekretärs des Reichsmarineamts, Kontreadmiral Tirpitz, vom Juli 1897,” in </w:t>
      </w:r>
      <w:r w:rsidRPr="00EC184A">
        <w:rPr>
          <w:i/>
          <w:iCs/>
          <w:color w:val="000000"/>
          <w:sz w:val="20"/>
          <w:szCs w:val="20"/>
        </w:rPr>
        <w:t>Rüstung im Zeichen der wilhelmischen Weltpolitik: Grundlegende Dokumente 1890-1914</w:t>
      </w:r>
      <w:r w:rsidRPr="00EC184A">
        <w:rPr>
          <w:color w:val="000000"/>
          <w:sz w:val="20"/>
          <w:szCs w:val="20"/>
        </w:rPr>
        <w:t xml:space="preserve"> (Düsseldorf: Droste Verlag GmbH, 1988), 122.</w:t>
      </w:r>
      <w:r w:rsidR="00060760" w:rsidRPr="00EC184A">
        <w:rPr>
          <w:sz w:val="20"/>
          <w:szCs w:val="20"/>
        </w:rPr>
        <w:fldChar w:fldCharType="end"/>
      </w:r>
    </w:p>
  </w:footnote>
  <w:footnote w:id="48">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{"citationID":"6UR9F8Jb","citationItems":[{"locator":"122","uri":["http://zotero.org/users/414388/items/T3HH3NWS"]}]} </w:instrText>
      </w:r>
      <w:r w:rsidR="00060760" w:rsidRPr="00EC184A">
        <w:rPr>
          <w:sz w:val="20"/>
          <w:szCs w:val="20"/>
        </w:rPr>
        <w:fldChar w:fldCharType="separate"/>
      </w:r>
      <w:r w:rsidRPr="00EC184A">
        <w:rPr>
          <w:color w:val="000000"/>
          <w:sz w:val="20"/>
          <w:szCs w:val="20"/>
        </w:rPr>
        <w:t>Ibid.</w:t>
      </w:r>
      <w:r w:rsidR="00060760" w:rsidRPr="00EC184A">
        <w:rPr>
          <w:sz w:val="20"/>
          <w:szCs w:val="20"/>
        </w:rPr>
        <w:fldChar w:fldCharType="end"/>
      </w:r>
    </w:p>
  </w:footnote>
  <w:footnote w:id="49">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{"citationID":"wlUXUvDw","citationItems":[{"locator":"150","uri":["http://zotero.org/users/414388/items/WMM9ZJJC"]}]} </w:instrText>
      </w:r>
      <w:r w:rsidR="00060760" w:rsidRPr="00EC184A">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150.</w:t>
      </w:r>
      <w:r w:rsidR="00060760" w:rsidRPr="00EC184A">
        <w:rPr>
          <w:sz w:val="20"/>
          <w:szCs w:val="20"/>
        </w:rPr>
        <w:fldChar w:fldCharType="end"/>
      </w:r>
    </w:p>
  </w:footnote>
  <w:footnote w:id="50">
    <w:p w:rsidR="00D6333B" w:rsidRPr="00492BCC"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{"citationID":"hz8r1Mra","citationItems":[{"locator":"160-161","uri":["http://zotero.org/users/414388/items/HJAAUPJQ"]}]} </w:instrText>
      </w:r>
      <w:r w:rsidR="00060760" w:rsidRPr="00EC184A">
        <w:rPr>
          <w:sz w:val="20"/>
          <w:szCs w:val="20"/>
        </w:rPr>
        <w:fldChar w:fldCharType="separate"/>
      </w:r>
      <w:r w:rsidRPr="00EC184A">
        <w:rPr>
          <w:color w:val="000000"/>
          <w:sz w:val="20"/>
          <w:szCs w:val="20"/>
        </w:rPr>
        <w:t xml:space="preserve">“The Problem of Democratisation: German Catholics and the Role of the Centre Party,” in </w:t>
      </w:r>
      <w:r w:rsidRPr="00EC184A">
        <w:rPr>
          <w:i/>
          <w:iCs/>
          <w:color w:val="000000"/>
          <w:sz w:val="20"/>
          <w:szCs w:val="20"/>
        </w:rPr>
        <w:t>Society and Politics in Wilhelmine Germany</w:t>
      </w:r>
      <w:r w:rsidRPr="00EC184A">
        <w:rPr>
          <w:color w:val="000000"/>
          <w:sz w:val="20"/>
          <w:szCs w:val="20"/>
        </w:rPr>
        <w:t xml:space="preserve"> (London: Croom Helm, 1978), 160-161.</w:t>
      </w:r>
      <w:r w:rsidR="00060760" w:rsidRPr="00EC184A">
        <w:rPr>
          <w:sz w:val="20"/>
          <w:szCs w:val="20"/>
        </w:rPr>
        <w:fldChar w:fldCharType="end"/>
      </w:r>
    </w:p>
  </w:footnote>
  <w:footnote w:id="51">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{"citationID":"I1387QF1","citationItems":[{"locator":"331","uri":["http://zotero.org/users/414388/items/ITUZTTS9"]}]} </w:instrText>
      </w:r>
      <w:r w:rsidR="00060760" w:rsidRPr="00EC184A">
        <w:rPr>
          <w:sz w:val="20"/>
          <w:szCs w:val="20"/>
        </w:rPr>
        <w:fldChar w:fldCharType="separate"/>
      </w:r>
      <w:r w:rsidRPr="00EC184A">
        <w:rPr>
          <w:color w:val="000000"/>
          <w:sz w:val="20"/>
          <w:szCs w:val="20"/>
        </w:rPr>
        <w:t xml:space="preserve">Ian L. D. Forbes, “Social Imperialism and Wilhelmine Germany,” in </w:t>
      </w:r>
      <w:r w:rsidRPr="00EC184A">
        <w:rPr>
          <w:i/>
          <w:iCs/>
          <w:color w:val="000000"/>
          <w:sz w:val="20"/>
          <w:szCs w:val="20"/>
        </w:rPr>
        <w:t>The Historical Journal</w:t>
      </w:r>
      <w:r w:rsidRPr="00EC184A">
        <w:rPr>
          <w:color w:val="000000"/>
          <w:sz w:val="20"/>
          <w:szCs w:val="20"/>
        </w:rPr>
        <w:t xml:space="preserve"> 22, no. 2 (June 1979), 331.</w:t>
      </w:r>
      <w:r w:rsidR="00060760" w:rsidRPr="00EC184A">
        <w:rPr>
          <w:sz w:val="20"/>
          <w:szCs w:val="20"/>
        </w:rPr>
        <w:fldChar w:fldCharType="end"/>
      </w:r>
    </w:p>
  </w:footnote>
  <w:footnote w:id="52">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{"citationID":"W5o3N9DO","citationItems":[{"locator":"149","uri":["http://zotero.org/users/414388/items/HDJHNQA8"]}]} </w:instrText>
      </w:r>
      <w:r w:rsidR="00060760" w:rsidRPr="00EC184A">
        <w:rPr>
          <w:sz w:val="20"/>
          <w:szCs w:val="20"/>
        </w:rPr>
        <w:fldChar w:fldCharType="separate"/>
      </w:r>
      <w:r w:rsidRPr="00EC184A">
        <w:rPr>
          <w:color w:val="000000"/>
          <w:sz w:val="20"/>
          <w:szCs w:val="20"/>
        </w:rPr>
        <w:t xml:space="preserve">Peter-Christian Witt, “Reichsfinanzen und Rüstungspolitik 1898-1914,” in </w:t>
      </w:r>
      <w:r w:rsidRPr="00EC184A">
        <w:rPr>
          <w:i/>
          <w:iCs/>
          <w:color w:val="000000"/>
          <w:sz w:val="20"/>
          <w:szCs w:val="20"/>
        </w:rPr>
        <w:t>Marine und Marinepolitik im Kaiserlichen Deutschland 1871-1914</w:t>
      </w:r>
      <w:r w:rsidRPr="00EC184A">
        <w:rPr>
          <w:color w:val="000000"/>
          <w:sz w:val="20"/>
          <w:szCs w:val="20"/>
        </w:rPr>
        <w:t>, ed. Herbert Schottelius and Wilhelm Deist (146-177), 149.</w:t>
      </w:r>
      <w:r w:rsidR="00060760" w:rsidRPr="00EC184A">
        <w:rPr>
          <w:sz w:val="20"/>
          <w:szCs w:val="20"/>
        </w:rPr>
        <w:fldChar w:fldCharType="end"/>
      </w:r>
    </w:p>
  </w:footnote>
  <w:footnote w:id="53">
    <w:p w:rsidR="00D6333B" w:rsidRPr="000F7DF3"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{"citationID":"ZsBA2Tms","citationItems":[{"locator":"332-333","uri":["http://zotero.org/users/414388/items/GQQN78ET"]}]} </w:instrText>
      </w:r>
      <w:r w:rsidR="00060760" w:rsidRPr="00EC184A">
        <w:rPr>
          <w:sz w:val="20"/>
          <w:szCs w:val="20"/>
        </w:rPr>
        <w:fldChar w:fldCharType="separate"/>
      </w:r>
      <w:r w:rsidRPr="00EC184A">
        <w:rPr>
          <w:color w:val="000000"/>
          <w:sz w:val="20"/>
          <w:szCs w:val="20"/>
        </w:rPr>
        <w:t xml:space="preserve">Eckart Kehr, </w:t>
      </w:r>
      <w:r w:rsidRPr="00EC184A">
        <w:rPr>
          <w:i/>
          <w:iCs/>
          <w:color w:val="000000"/>
          <w:sz w:val="20"/>
          <w:szCs w:val="20"/>
        </w:rPr>
        <w:t>Schlachtflottenbau und Partei-Politik 1894-1901: Versuch eines Querschnitts durch die innenpolitischen, sozialen und ideologischen Voraussetzungen des deutschen Imperialismus</w:t>
      </w:r>
      <w:r w:rsidRPr="00EC184A">
        <w:rPr>
          <w:color w:val="000000"/>
          <w:sz w:val="20"/>
          <w:szCs w:val="20"/>
        </w:rPr>
        <w:t xml:space="preserve"> (Berlin: E. Ebering, 1930), 332-333.</w:t>
      </w:r>
      <w:r w:rsidR="00060760" w:rsidRPr="00EC184A">
        <w:rPr>
          <w:sz w:val="20"/>
          <w:szCs w:val="20"/>
        </w:rPr>
        <w:fldChar w:fldCharType="end"/>
      </w:r>
    </w:p>
  </w:footnote>
  <w:footnote w:id="54">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{"citationID":"8Zte9HpK","citationItems":[{"locator":"293-294","uri":["http://zotero.org/users/414388/items/GQQN78ET"]}]} </w:instrText>
      </w:r>
      <w:r w:rsidR="00060760" w:rsidRPr="00EC184A">
        <w:rPr>
          <w:sz w:val="20"/>
          <w:szCs w:val="20"/>
        </w:rPr>
        <w:fldChar w:fldCharType="separate"/>
      </w:r>
      <w:r w:rsidRPr="00EC184A">
        <w:rPr>
          <w:noProof/>
          <w:sz w:val="20"/>
          <w:szCs w:val="20"/>
        </w:rPr>
        <w:t>Ibid., 293-294.</w:t>
      </w:r>
      <w:r w:rsidR="00060760" w:rsidRPr="00EC184A">
        <w:rPr>
          <w:sz w:val="20"/>
          <w:szCs w:val="20"/>
        </w:rPr>
        <w:fldChar w:fldCharType="end"/>
      </w:r>
    </w:p>
  </w:footnote>
  <w:footnote w:id="55">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{"citationID":"5bCICHPL","citationItems":[{"locator":"301","uri":["http://zotero.org/users/414388/items/GQQN78ET"]}]} </w:instrText>
      </w:r>
      <w:r w:rsidR="00060760" w:rsidRPr="00EC184A">
        <w:rPr>
          <w:sz w:val="20"/>
          <w:szCs w:val="20"/>
        </w:rPr>
        <w:fldChar w:fldCharType="separate"/>
      </w:r>
      <w:r w:rsidRPr="00EC184A">
        <w:rPr>
          <w:noProof/>
          <w:sz w:val="20"/>
          <w:szCs w:val="20"/>
        </w:rPr>
        <w:t>Ibid., 301.</w:t>
      </w:r>
      <w:r w:rsidR="00060760" w:rsidRPr="00EC184A">
        <w:rPr>
          <w:sz w:val="20"/>
          <w:szCs w:val="20"/>
        </w:rPr>
        <w:fldChar w:fldCharType="end"/>
      </w:r>
    </w:p>
  </w:footnote>
  <w:footnote w:id="56">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{"citationID":"DkBI1yic","citationItems":[{"locator":"150","uri":["http://zotero.org/users/414388/items/WMM9ZJJC"]}]} </w:instrText>
      </w:r>
      <w:r w:rsidR="00060760" w:rsidRPr="00EC184A">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150.</w:t>
      </w:r>
      <w:r w:rsidR="00060760" w:rsidRPr="00EC184A">
        <w:rPr>
          <w:sz w:val="20"/>
          <w:szCs w:val="20"/>
        </w:rPr>
        <w:fldChar w:fldCharType="end"/>
      </w:r>
    </w:p>
  </w:footnote>
  <w:footnote w:id="57">
    <w:p w:rsidR="00D6333B" w:rsidRPr="00EC184A" w:rsidRDefault="00D6333B" w:rsidP="0044186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{"citationID":"uqbNtXcg","citationItems":[{"locator":"1-2","uri":["http://zotero.org/users/414388/items/9TVKN3TH"]}]} </w:instrText>
      </w:r>
      <w:r w:rsidR="00060760" w:rsidRPr="00EC184A">
        <w:rPr>
          <w:sz w:val="20"/>
          <w:szCs w:val="20"/>
        </w:rPr>
        <w:fldChar w:fldCharType="separate"/>
      </w:r>
      <w:r w:rsidRPr="00EC184A">
        <w:rPr>
          <w:color w:val="000000"/>
          <w:sz w:val="20"/>
          <w:szCs w:val="20"/>
        </w:rPr>
        <w:t xml:space="preserve">Thomas Dunlap, trans., “Elections to the Reichstag (1890-1912),” Online Document Archive, </w:t>
      </w:r>
      <w:r w:rsidRPr="00EC184A">
        <w:rPr>
          <w:i/>
          <w:iCs/>
          <w:color w:val="000000"/>
          <w:sz w:val="20"/>
          <w:szCs w:val="20"/>
        </w:rPr>
        <w:t>German History in Documents and Images</w:t>
      </w:r>
      <w:r w:rsidRPr="00EC184A">
        <w:rPr>
          <w:color w:val="000000"/>
          <w:sz w:val="20"/>
          <w:szCs w:val="20"/>
        </w:rPr>
        <w:t>, n.d., 1-2, http://germanhistorydocs.ghi-dc.org/docpage.cfm?docpage_id=1332</w:t>
      </w:r>
      <w:r w:rsidR="00060760" w:rsidRPr="00EC184A">
        <w:rPr>
          <w:sz w:val="20"/>
          <w:szCs w:val="20"/>
        </w:rPr>
        <w:fldChar w:fldCharType="end"/>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{"citationID":"qHeIFHOx","citationItems":[{"locator":"150","uri":["http://zotero.org/users/414388/items/WMM9ZJJC"]}]} </w:instrText>
      </w:r>
      <w:r w:rsidR="00060760" w:rsidRPr="00EC184A">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150.</w:t>
      </w:r>
      <w:r w:rsidR="00060760" w:rsidRPr="00EC184A">
        <w:rPr>
          <w:sz w:val="20"/>
          <w:szCs w:val="20"/>
        </w:rPr>
        <w:fldChar w:fldCharType="end"/>
      </w:r>
    </w:p>
  </w:footnote>
  <w:footnote w:id="58">
    <w:p w:rsidR="00D6333B" w:rsidRPr="00FF36A1"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{"citationID":"QytTOGxI","citationItems":[{"locator":"332","uri":["http://zotero.org/users/414388/items/ITUZTTS9"]}]} </w:instrText>
      </w:r>
      <w:r w:rsidR="00060760" w:rsidRPr="00EC184A">
        <w:rPr>
          <w:sz w:val="20"/>
          <w:szCs w:val="20"/>
        </w:rPr>
        <w:fldChar w:fldCharType="separate"/>
      </w:r>
      <w:r w:rsidRPr="00EC184A">
        <w:rPr>
          <w:color w:val="000000"/>
          <w:sz w:val="20"/>
          <w:szCs w:val="20"/>
        </w:rPr>
        <w:t>Forbes, “Social Imperialism and Wilhelmine Germany,” 332.</w:t>
      </w:r>
      <w:r w:rsidR="00060760" w:rsidRPr="00EC184A">
        <w:rPr>
          <w:sz w:val="20"/>
          <w:szCs w:val="20"/>
        </w:rPr>
        <w:fldChar w:fldCharType="end"/>
      </w:r>
    </w:p>
  </w:footnote>
  <w:footnote w:id="59">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Pr>
          <w:sz w:val="20"/>
          <w:szCs w:val="20"/>
        </w:rPr>
        <w:t xml:space="preserve">Translated by author. </w:t>
      </w:r>
      <w:r w:rsidR="00060760" w:rsidRPr="00EC184A">
        <w:rPr>
          <w:sz w:val="20"/>
          <w:szCs w:val="20"/>
        </w:rPr>
        <w:fldChar w:fldCharType="begin"/>
      </w:r>
      <w:r w:rsidRPr="00EC184A">
        <w:rPr>
          <w:sz w:val="20"/>
          <w:szCs w:val="20"/>
        </w:rPr>
        <w:instrText xml:space="preserve"> ADDIN ZOTERO_ITEM {"citationID":"GLE8Dfbe","citationItems":[{"locator":"199","uri":["http://zotero.org/users/414388/items/9JABCMP4"]}]} </w:instrText>
      </w:r>
      <w:r w:rsidR="00060760" w:rsidRPr="00EC184A">
        <w:rPr>
          <w:sz w:val="20"/>
          <w:szCs w:val="20"/>
        </w:rPr>
        <w:fldChar w:fldCharType="separate"/>
      </w:r>
      <w:r w:rsidRPr="00EC184A">
        <w:rPr>
          <w:color w:val="000000"/>
          <w:sz w:val="20"/>
          <w:szCs w:val="20"/>
        </w:rPr>
        <w:t xml:space="preserve">Volker R. Berghahn, eds., “Schreiben des Korvettenkapitäns v. Heeringen an den Staatssekretär des Reichsmarineamts, Kontreadmiral Tirpitz, vom 6. Juli 1897 über Wirtschaftsinteresse und Flottenpolitik,” in </w:t>
      </w:r>
      <w:r w:rsidRPr="00EC184A">
        <w:rPr>
          <w:i/>
          <w:iCs/>
          <w:color w:val="000000"/>
          <w:sz w:val="20"/>
          <w:szCs w:val="20"/>
        </w:rPr>
        <w:t>Rüstung im Zeichen der wilhelmischen Weltpolitik: Grundlegende Dokumente 1890-1914</w:t>
      </w:r>
      <w:r w:rsidRPr="00EC184A">
        <w:rPr>
          <w:color w:val="000000"/>
          <w:sz w:val="20"/>
          <w:szCs w:val="20"/>
        </w:rPr>
        <w:t xml:space="preserve"> (Düsseldorf: Droste Verlag GmbH, 1988), 199.</w:t>
      </w:r>
      <w:r w:rsidR="00060760" w:rsidRPr="00EC184A">
        <w:rPr>
          <w:sz w:val="20"/>
          <w:szCs w:val="20"/>
        </w:rPr>
        <w:fldChar w:fldCharType="end"/>
      </w:r>
    </w:p>
  </w:footnote>
  <w:footnote w:id="60">
    <w:p w:rsidR="00D6333B" w:rsidRPr="00B269C0"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{"citationID":"nr3ITdPX","citationItems":[{"uri":["http://zotero.org/users/414388/items/N7Q6AN3T"]}]} </w:instrText>
      </w:r>
      <w:r w:rsidR="00060760" w:rsidRPr="00EC184A">
        <w:rPr>
          <w:sz w:val="20"/>
          <w:szCs w:val="20"/>
        </w:rPr>
        <w:fldChar w:fldCharType="separate"/>
      </w:r>
      <w:r w:rsidRPr="00EC184A">
        <w:rPr>
          <w:color w:val="000000"/>
          <w:sz w:val="20"/>
          <w:szCs w:val="20"/>
        </w:rPr>
        <w:t xml:space="preserve">Das Reichsmarineamt, </w:t>
      </w:r>
      <w:r w:rsidRPr="00EC184A">
        <w:rPr>
          <w:i/>
          <w:iCs/>
          <w:color w:val="000000"/>
          <w:sz w:val="20"/>
          <w:szCs w:val="20"/>
        </w:rPr>
        <w:t>Die Seeinteressen des Deutschen Reichs.</w:t>
      </w:r>
      <w:r w:rsidRPr="00EC184A">
        <w:rPr>
          <w:color w:val="000000"/>
          <w:sz w:val="20"/>
          <w:szCs w:val="20"/>
        </w:rPr>
        <w:t xml:space="preserve"> (Berlin, 1898).</w:t>
      </w:r>
      <w:r w:rsidR="00060760" w:rsidRPr="00EC184A">
        <w:rPr>
          <w:sz w:val="20"/>
          <w:szCs w:val="20"/>
        </w:rPr>
        <w:fldChar w:fldCharType="end"/>
      </w:r>
    </w:p>
  </w:footnote>
  <w:footnote w:id="61">
    <w:p w:rsidR="00D6333B" w:rsidRPr="00611712"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Pr>
          <w:sz w:val="20"/>
          <w:szCs w:val="20"/>
        </w:rPr>
        <w:t xml:space="preserve">Translated by author. </w:t>
      </w:r>
      <w:r w:rsidRPr="00EC184A">
        <w:rPr>
          <w:rFonts w:eastAsia="Times New Roman"/>
          <w:sz w:val="20"/>
          <w:szCs w:val="20"/>
        </w:rPr>
        <w:t>Reichstagsprotokolle, 1897/98,1, /Verhandlungen des Deutschen Reichstags/, (6 December 1897), 56, available at: http://</w:t>
      </w:r>
      <w:r w:rsidRPr="00611712">
        <w:rPr>
          <w:rFonts w:eastAsia="Times New Roman"/>
          <w:sz w:val="20"/>
          <w:szCs w:val="20"/>
        </w:rPr>
        <w:t>www.reichstagsprotokolle.de/Blatt_k9_bsb00002771_00108.html</w:t>
      </w:r>
      <w:r w:rsidRPr="00611712">
        <w:rPr>
          <w:sz w:val="20"/>
          <w:szCs w:val="20"/>
        </w:rPr>
        <w:t>.</w:t>
      </w:r>
    </w:p>
  </w:footnote>
  <w:footnote w:id="62">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Pr="00EC184A">
        <w:rPr>
          <w:rFonts w:eastAsia="Times New Roman"/>
          <w:sz w:val="20"/>
          <w:szCs w:val="20"/>
        </w:rPr>
        <w:t xml:space="preserve">Ibid.; </w:t>
      </w:r>
      <w:r w:rsidR="00060760" w:rsidRPr="00EC184A">
        <w:rPr>
          <w:rFonts w:eastAsia="Times New Roman"/>
          <w:sz w:val="20"/>
          <w:szCs w:val="20"/>
        </w:rPr>
        <w:fldChar w:fldCharType="begin"/>
      </w:r>
      <w:r w:rsidRPr="00EC184A">
        <w:rPr>
          <w:rFonts w:eastAsia="Times New Roman"/>
          <w:sz w:val="20"/>
          <w:szCs w:val="20"/>
        </w:rPr>
        <w:instrText xml:space="preserve"> ADDIN ZOTERO_ITEM {"citationID":"6xM39FOB","citationItems":[{"uri":["http://zotero.org/users/414388/items/IBTWETET"]}]} </w:instrText>
      </w:r>
      <w:r w:rsidR="00060760" w:rsidRPr="00EC184A">
        <w:rPr>
          <w:rFonts w:eastAsia="Times New Roman"/>
          <w:sz w:val="20"/>
          <w:szCs w:val="20"/>
        </w:rPr>
        <w:fldChar w:fldCharType="separate"/>
      </w:r>
      <w:r w:rsidRPr="00EC184A">
        <w:rPr>
          <w:color w:val="000000"/>
          <w:sz w:val="20"/>
          <w:szCs w:val="20"/>
        </w:rPr>
        <w:t xml:space="preserve">“The German Navy Bill - Ministerial Speeches,” </w:t>
      </w:r>
      <w:r w:rsidRPr="00EC184A">
        <w:rPr>
          <w:i/>
          <w:iCs/>
          <w:color w:val="000000"/>
          <w:sz w:val="20"/>
          <w:szCs w:val="20"/>
        </w:rPr>
        <w:t>The Times (London)</w:t>
      </w:r>
      <w:r w:rsidRPr="00EC184A">
        <w:rPr>
          <w:color w:val="000000"/>
          <w:sz w:val="20"/>
          <w:szCs w:val="20"/>
        </w:rPr>
        <w:t>, December 7, 1897.</w:t>
      </w:r>
      <w:r w:rsidR="00060760" w:rsidRPr="00EC184A">
        <w:rPr>
          <w:rFonts w:eastAsia="Times New Roman"/>
          <w:sz w:val="20"/>
          <w:szCs w:val="20"/>
        </w:rPr>
        <w:fldChar w:fldCharType="end"/>
      </w:r>
    </w:p>
  </w:footnote>
  <w:footnote w:id="63">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{"citationID":"aDmfpLK0","citationItems":[{"locator":"262","uri":["http://zotero.org/users/414388/items/GQQN78ET"]}]} </w:instrText>
      </w:r>
      <w:r w:rsidR="00060760" w:rsidRPr="00EC184A">
        <w:rPr>
          <w:sz w:val="20"/>
          <w:szCs w:val="20"/>
        </w:rPr>
        <w:fldChar w:fldCharType="separate"/>
      </w:r>
      <w:r w:rsidRPr="00EC184A">
        <w:rPr>
          <w:color w:val="000000"/>
          <w:sz w:val="20"/>
          <w:szCs w:val="20"/>
        </w:rPr>
        <w:t xml:space="preserve">Kehr, </w:t>
      </w:r>
      <w:r w:rsidRPr="00EC184A">
        <w:rPr>
          <w:i/>
          <w:iCs/>
          <w:color w:val="000000"/>
          <w:sz w:val="20"/>
          <w:szCs w:val="20"/>
        </w:rPr>
        <w:t>Schlachtflottenbau und Partei-Politik 1894-1901: Versuch eines Querschnitts durch die innenpolitischen, sozialen und ideologischen Voraussetzungen des deutschen Imperialismus</w:t>
      </w:r>
      <w:r w:rsidRPr="00EC184A">
        <w:rPr>
          <w:color w:val="000000"/>
          <w:sz w:val="20"/>
          <w:szCs w:val="20"/>
        </w:rPr>
        <w:t>, 262.</w:t>
      </w:r>
      <w:r w:rsidR="00060760" w:rsidRPr="00EC184A">
        <w:rPr>
          <w:sz w:val="20"/>
          <w:szCs w:val="20"/>
        </w:rPr>
        <w:fldChar w:fldCharType="end"/>
      </w:r>
    </w:p>
  </w:footnote>
  <w:footnote w:id="64">
    <w:p w:rsidR="00D6333B" w:rsidRPr="00DD1835"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{"citationID":"pakIg4vK","citationItems":[{"locator":"237","uri":["http://zotero.org/users/414388/items/FT2V6BB5"]}]} </w:instrText>
      </w:r>
      <w:r w:rsidR="00060760" w:rsidRPr="00EC184A">
        <w:rPr>
          <w:sz w:val="20"/>
          <w:szCs w:val="20"/>
        </w:rPr>
        <w:fldChar w:fldCharType="separate"/>
      </w:r>
      <w:r w:rsidRPr="00EC184A">
        <w:rPr>
          <w:color w:val="000000"/>
          <w:sz w:val="20"/>
          <w:szCs w:val="20"/>
        </w:rPr>
        <w:t xml:space="preserve">Volker R Berghahn, </w:t>
      </w:r>
      <w:r w:rsidRPr="00EC184A">
        <w:rPr>
          <w:i/>
          <w:iCs/>
          <w:color w:val="000000"/>
          <w:sz w:val="20"/>
          <w:szCs w:val="20"/>
        </w:rPr>
        <w:t>Der Tirpitz-Plan: Genesis und Verfall einer innenpolitischen Krisenstrategie unter Wilhelm II</w:t>
      </w:r>
      <w:r w:rsidRPr="00EC184A">
        <w:rPr>
          <w:color w:val="000000"/>
          <w:sz w:val="20"/>
          <w:szCs w:val="20"/>
        </w:rPr>
        <w:t xml:space="preserve"> (Düsseldorf: Droste Verlag, 1971), 237</w:t>
      </w:r>
      <w:r w:rsidR="00060760" w:rsidRPr="00EC184A">
        <w:rPr>
          <w:sz w:val="20"/>
          <w:szCs w:val="20"/>
        </w:rPr>
        <w:fldChar w:fldCharType="end"/>
      </w:r>
      <w:r w:rsidRPr="00EC184A">
        <w:rPr>
          <w:sz w:val="20"/>
          <w:szCs w:val="20"/>
        </w:rPr>
        <w:t>; Germany was among the largest importers of grain from Russia, meaning that any introduction</w:t>
      </w:r>
      <w:r w:rsidRPr="00DD1835">
        <w:rPr>
          <w:sz w:val="20"/>
          <w:szCs w:val="20"/>
        </w:rPr>
        <w:t xml:space="preserve"> of protectionist tariffs </w:t>
      </w:r>
      <w:r>
        <w:rPr>
          <w:sz w:val="20"/>
          <w:szCs w:val="20"/>
        </w:rPr>
        <w:t xml:space="preserve">in Germany </w:t>
      </w:r>
      <w:r w:rsidRPr="00DD1835">
        <w:rPr>
          <w:sz w:val="20"/>
          <w:szCs w:val="20"/>
        </w:rPr>
        <w:t xml:space="preserve">would antagonize </w:t>
      </w:r>
      <w:r>
        <w:rPr>
          <w:sz w:val="20"/>
          <w:szCs w:val="20"/>
        </w:rPr>
        <w:t>the Tsardom to the east</w:t>
      </w:r>
      <w:r w:rsidRPr="00DD1835">
        <w:rPr>
          <w:sz w:val="20"/>
          <w:szCs w:val="20"/>
        </w:rPr>
        <w:t>.</w:t>
      </w:r>
    </w:p>
  </w:footnote>
  <w:footnote w:id="65">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{"citationID":"dRPfNFKm","citationItems":[{"locator":"24","uri":["http://zotero.org/users/414388/items/8MDVMGKQ"]},{"locator":"172","uri":["http://zotero.org/users/414388/items/KTKT4Z84"]}]} </w:instrText>
      </w:r>
      <w:r w:rsidR="00060760" w:rsidRPr="00EC184A">
        <w:rPr>
          <w:sz w:val="20"/>
          <w:szCs w:val="20"/>
        </w:rPr>
        <w:fldChar w:fldCharType="separate"/>
      </w:r>
      <w:r w:rsidRPr="00EC184A">
        <w:rPr>
          <w:color w:val="000000"/>
          <w:sz w:val="20"/>
          <w:szCs w:val="20"/>
        </w:rPr>
        <w:t xml:space="preserve">Blackbourn, </w:t>
      </w:r>
      <w:r w:rsidRPr="00EC184A">
        <w:rPr>
          <w:i/>
          <w:iCs/>
          <w:color w:val="000000"/>
          <w:sz w:val="20"/>
          <w:szCs w:val="20"/>
        </w:rPr>
        <w:t>Class, Religion, and Local Politics in Wilhelmine Germany</w:t>
      </w:r>
      <w:r w:rsidRPr="00EC184A">
        <w:rPr>
          <w:color w:val="000000"/>
          <w:sz w:val="20"/>
          <w:szCs w:val="20"/>
        </w:rPr>
        <w:t xml:space="preserve">, 24; Bülow, </w:t>
      </w:r>
      <w:r w:rsidRPr="00EC184A">
        <w:rPr>
          <w:i/>
          <w:iCs/>
          <w:color w:val="000000"/>
          <w:sz w:val="20"/>
          <w:szCs w:val="20"/>
        </w:rPr>
        <w:t>Imperial Germany</w:t>
      </w:r>
      <w:r w:rsidRPr="00EC184A">
        <w:rPr>
          <w:color w:val="000000"/>
          <w:sz w:val="20"/>
          <w:szCs w:val="20"/>
        </w:rPr>
        <w:t>, 172.</w:t>
      </w:r>
      <w:r w:rsidR="00060760" w:rsidRPr="00EC184A">
        <w:rPr>
          <w:sz w:val="20"/>
          <w:szCs w:val="20"/>
        </w:rPr>
        <w:fldChar w:fldCharType="end"/>
      </w:r>
      <w:r w:rsidRPr="00EC184A">
        <w:rPr>
          <w:sz w:val="20"/>
          <w:szCs w:val="20"/>
        </w:rPr>
        <w:t xml:space="preserve"> </w:t>
      </w:r>
    </w:p>
  </w:footnote>
  <w:footnote w:id="66">
    <w:p w:rsidR="00D6333B" w:rsidRPr="00EC184A" w:rsidRDefault="00D6333B" w:rsidP="00060060">
      <w:pPr>
        <w:pStyle w:val="FootnoteText"/>
        <w:rPr>
          <w:sz w:val="20"/>
          <w:szCs w:val="20"/>
        </w:rPr>
      </w:pPr>
      <w:r w:rsidRPr="00EC184A">
        <w:rPr>
          <w:rStyle w:val="FootnoteReference"/>
          <w:sz w:val="20"/>
          <w:szCs w:val="20"/>
        </w:rPr>
        <w:footnoteRef/>
      </w:r>
      <w:r w:rsidRPr="00EC184A">
        <w:rPr>
          <w:sz w:val="20"/>
          <w:szCs w:val="20"/>
        </w:rPr>
        <w:t xml:space="preserve"> </w:t>
      </w:r>
      <w:r w:rsidR="00060760" w:rsidRPr="00060760">
        <w:rPr>
          <w:sz w:val="20"/>
          <w:szCs w:val="20"/>
        </w:rPr>
        <w:fldChar w:fldCharType="begin"/>
      </w:r>
      <w:r w:rsidRPr="00EC184A">
        <w:rPr>
          <w:sz w:val="20"/>
          <w:szCs w:val="20"/>
        </w:rPr>
        <w:instrText xml:space="preserve"> ADDIN ZOTERO_ITEM {"citationID":"hHpPcFfa","citationItems":[{"uri":["http://zotero.org/users/414388/items/5U72WTPD"]}]} </w:instrText>
      </w:r>
      <w:r w:rsidR="00060760" w:rsidRPr="00060760">
        <w:rPr>
          <w:sz w:val="20"/>
          <w:szCs w:val="20"/>
        </w:rPr>
        <w:fldChar w:fldCharType="separate"/>
      </w:r>
      <w:r w:rsidRPr="00EC184A">
        <w:rPr>
          <w:color w:val="000000"/>
          <w:sz w:val="20"/>
          <w:szCs w:val="20"/>
        </w:rPr>
        <w:t xml:space="preserve">“The German Navy Bill,” </w:t>
      </w:r>
      <w:r w:rsidRPr="00EC184A">
        <w:rPr>
          <w:i/>
          <w:iCs/>
          <w:color w:val="000000"/>
          <w:sz w:val="20"/>
          <w:szCs w:val="20"/>
        </w:rPr>
        <w:t>The Times (London)</w:t>
      </w:r>
      <w:r w:rsidRPr="00EC184A">
        <w:rPr>
          <w:color w:val="000000"/>
          <w:sz w:val="20"/>
          <w:szCs w:val="20"/>
        </w:rPr>
        <w:t>, February 25, 1898.</w:t>
      </w:r>
      <w:r w:rsidR="00060760" w:rsidRPr="00EC184A">
        <w:rPr>
          <w:color w:val="000000"/>
          <w:sz w:val="20"/>
          <w:szCs w:val="20"/>
        </w:rPr>
        <w:fldChar w:fldCharType="end"/>
      </w:r>
    </w:p>
  </w:footnote>
  <w:footnote w:id="67">
    <w:p w:rsidR="00D6333B" w:rsidRPr="00EC184A" w:rsidRDefault="00D6333B" w:rsidP="00060060">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{"citationID":"u6Rafsq2","citationItems":[{"uri":["http://zotero.org/users/414388/items/33MZXQGH"]}]} </w:instrText>
      </w:r>
      <w:r w:rsidR="00060760" w:rsidRPr="00EC184A">
        <w:rPr>
          <w:sz w:val="20"/>
          <w:szCs w:val="20"/>
        </w:rPr>
        <w:fldChar w:fldCharType="separate"/>
      </w:r>
      <w:r w:rsidRPr="00EC184A">
        <w:rPr>
          <w:color w:val="000000"/>
          <w:sz w:val="20"/>
          <w:szCs w:val="20"/>
        </w:rPr>
        <w:t xml:space="preserve">“The German Navy Bill,” </w:t>
      </w:r>
      <w:r w:rsidRPr="00EC184A">
        <w:rPr>
          <w:i/>
          <w:iCs/>
          <w:color w:val="000000"/>
          <w:sz w:val="20"/>
          <w:szCs w:val="20"/>
        </w:rPr>
        <w:t>The Times (London)</w:t>
      </w:r>
      <w:r w:rsidRPr="00EC184A">
        <w:rPr>
          <w:color w:val="000000"/>
          <w:sz w:val="20"/>
          <w:szCs w:val="20"/>
        </w:rPr>
        <w:t>, February 28, 1898.</w:t>
      </w:r>
      <w:r w:rsidR="00060760" w:rsidRPr="00EC184A">
        <w:rPr>
          <w:sz w:val="20"/>
          <w:szCs w:val="20"/>
        </w:rPr>
        <w:fldChar w:fldCharType="end"/>
      </w:r>
    </w:p>
  </w:footnote>
  <w:footnote w:id="68">
    <w:p w:rsidR="00D6333B" w:rsidRPr="00E87B7B" w:rsidRDefault="00D6333B" w:rsidP="00060060">
      <w:pPr>
        <w:pStyle w:val="FootnoteText"/>
        <w:rPr>
          <w:sz w:val="20"/>
          <w:szCs w:val="20"/>
        </w:rPr>
      </w:pPr>
      <w:r w:rsidRPr="00EC184A">
        <w:rPr>
          <w:rStyle w:val="FootnoteReference"/>
          <w:sz w:val="20"/>
          <w:szCs w:val="20"/>
        </w:rPr>
        <w:footnoteRef/>
      </w:r>
      <w:r w:rsidRPr="00EC184A">
        <w:rPr>
          <w:sz w:val="20"/>
          <w:szCs w:val="20"/>
        </w:rPr>
        <w:t xml:space="preserve"> </w:t>
      </w:r>
      <w:r w:rsidR="00060760" w:rsidRPr="00060760">
        <w:rPr>
          <w:sz w:val="20"/>
          <w:szCs w:val="20"/>
        </w:rPr>
        <w:fldChar w:fldCharType="begin"/>
      </w:r>
      <w:r w:rsidRPr="00EC184A">
        <w:rPr>
          <w:sz w:val="20"/>
          <w:szCs w:val="20"/>
        </w:rPr>
        <w:instrText xml:space="preserve"> ADDIN ZOTERO_ITEM {"citationID":"6hI7PAWJ","citationItems":[{"locator":" 151","uri":["http://zotero.org/users/414388/items/WMM9ZJJC"]}]} </w:instrText>
      </w:r>
      <w:r w:rsidR="00060760" w:rsidRPr="00060760">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151.</w:t>
      </w:r>
      <w:r w:rsidR="00060760" w:rsidRPr="00EC184A">
        <w:rPr>
          <w:color w:val="000000"/>
          <w:sz w:val="20"/>
          <w:szCs w:val="20"/>
        </w:rPr>
        <w:fldChar w:fldCharType="end"/>
      </w:r>
      <w:r w:rsidRPr="00E87B7B">
        <w:rPr>
          <w:sz w:val="20"/>
          <w:szCs w:val="20"/>
        </w:rPr>
        <w:t xml:space="preserve"> </w:t>
      </w:r>
    </w:p>
  </w:footnote>
  <w:footnote w:id="69">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{"citationID":"TixT5Tls","citationItems":[{"locator":"23","uri":["http://zotero.org/users/414388/items/H43NI6IU"]}]} </w:instrText>
      </w:r>
      <w:r w:rsidR="00060760" w:rsidRPr="00EC184A">
        <w:rPr>
          <w:sz w:val="20"/>
          <w:szCs w:val="20"/>
        </w:rPr>
        <w:fldChar w:fldCharType="separate"/>
      </w:r>
      <w:r w:rsidRPr="00EC184A">
        <w:rPr>
          <w:color w:val="000000"/>
          <w:sz w:val="20"/>
          <w:szCs w:val="20"/>
        </w:rPr>
        <w:t xml:space="preserve">Gary E Weir, </w:t>
      </w:r>
      <w:r w:rsidRPr="00EC184A">
        <w:rPr>
          <w:i/>
          <w:iCs/>
          <w:color w:val="000000"/>
          <w:sz w:val="20"/>
          <w:szCs w:val="20"/>
        </w:rPr>
        <w:t>Building the Kaiser’s Navy: The Imperial Naval Office and German Industry in the Tirpitz Era, 1890-1919</w:t>
      </w:r>
      <w:r w:rsidRPr="00EC184A">
        <w:rPr>
          <w:color w:val="000000"/>
          <w:sz w:val="20"/>
          <w:szCs w:val="20"/>
        </w:rPr>
        <w:t xml:space="preserve"> (Annapolis: Naval Institute Press, 1992), 23.</w:t>
      </w:r>
      <w:r w:rsidR="00060760" w:rsidRPr="00EC184A">
        <w:rPr>
          <w:sz w:val="20"/>
          <w:szCs w:val="20"/>
        </w:rPr>
        <w:fldChar w:fldCharType="end"/>
      </w:r>
    </w:p>
  </w:footnote>
  <w:footnote w:id="70">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{"citationID":"7oZJ0Ex3","citationItems":[{"locator":"196","uri":["http://zotero.org/users/414388/items/GQQN78ET"]}]} </w:instrText>
      </w:r>
      <w:r w:rsidR="00060760" w:rsidRPr="00EC184A">
        <w:rPr>
          <w:sz w:val="20"/>
          <w:szCs w:val="20"/>
        </w:rPr>
        <w:fldChar w:fldCharType="separate"/>
      </w:r>
      <w:r w:rsidRPr="00EC184A">
        <w:rPr>
          <w:color w:val="000000"/>
          <w:sz w:val="20"/>
          <w:szCs w:val="20"/>
        </w:rPr>
        <w:t xml:space="preserve">Kehr, </w:t>
      </w:r>
      <w:r w:rsidRPr="00EC184A">
        <w:rPr>
          <w:i/>
          <w:iCs/>
          <w:color w:val="000000"/>
          <w:sz w:val="20"/>
          <w:szCs w:val="20"/>
        </w:rPr>
        <w:t>Schlachtflottenbau und Partei-Politik 1894-1901: Versuch eines Querschnitts durch die innenpolitischen, sozialen und ideologischen Voraussetzungen des deutschen Imperialismus</w:t>
      </w:r>
      <w:r w:rsidRPr="00EC184A">
        <w:rPr>
          <w:color w:val="000000"/>
          <w:sz w:val="20"/>
          <w:szCs w:val="20"/>
        </w:rPr>
        <w:t>, 196.</w:t>
      </w:r>
      <w:r w:rsidR="00060760" w:rsidRPr="00EC184A">
        <w:rPr>
          <w:sz w:val="20"/>
          <w:szCs w:val="20"/>
        </w:rPr>
        <w:fldChar w:fldCharType="end"/>
      </w:r>
    </w:p>
  </w:footnote>
  <w:footnote w:id="71">
    <w:p w:rsidR="00D6333B" w:rsidRPr="00B269C0"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{"citationID":"tSKAuqTJ","citationItems":[{"locator":"196","uri":["http://zotero.org/users/414388/items/GQQN78ET"]}]} </w:instrText>
      </w:r>
      <w:r w:rsidR="00060760" w:rsidRPr="00EC184A">
        <w:rPr>
          <w:sz w:val="20"/>
          <w:szCs w:val="20"/>
        </w:rPr>
        <w:fldChar w:fldCharType="separate"/>
      </w:r>
      <w:r w:rsidRPr="00EC184A">
        <w:rPr>
          <w:noProof/>
          <w:sz w:val="20"/>
          <w:szCs w:val="20"/>
        </w:rPr>
        <w:t>Ibid.</w:t>
      </w:r>
      <w:r w:rsidR="00060760" w:rsidRPr="00EC184A">
        <w:rPr>
          <w:sz w:val="20"/>
          <w:szCs w:val="20"/>
        </w:rPr>
        <w:fldChar w:fldCharType="end"/>
      </w:r>
    </w:p>
  </w:footnote>
  <w:footnote w:id="72">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{"citationID":"eV6iJ2Cc","citationItems":[{"locator":"227","uri":["http://zotero.org/users/414388/items/K9B3K4HT"]}]} </w:instrText>
      </w:r>
      <w:r w:rsidR="00060760" w:rsidRPr="00EC184A">
        <w:rPr>
          <w:sz w:val="20"/>
          <w:szCs w:val="20"/>
        </w:rPr>
        <w:fldChar w:fldCharType="separate"/>
      </w:r>
      <w:r w:rsidRPr="00EC184A">
        <w:rPr>
          <w:color w:val="000000"/>
          <w:sz w:val="20"/>
          <w:szCs w:val="20"/>
        </w:rPr>
        <w:t xml:space="preserve">David Blackbourn, “Class and Politics in Wilhelmine Germany: The Center Party and the Social Democrats in Württemberg,” in </w:t>
      </w:r>
      <w:r w:rsidRPr="00EC184A">
        <w:rPr>
          <w:i/>
          <w:iCs/>
          <w:color w:val="000000"/>
          <w:sz w:val="20"/>
          <w:szCs w:val="20"/>
        </w:rPr>
        <w:t>Central European History</w:t>
      </w:r>
      <w:r w:rsidRPr="00EC184A">
        <w:rPr>
          <w:color w:val="000000"/>
          <w:sz w:val="20"/>
          <w:szCs w:val="20"/>
        </w:rPr>
        <w:t xml:space="preserve"> 9, no. 3 (September 1976), 227.</w:t>
      </w:r>
      <w:r w:rsidR="00060760" w:rsidRPr="00EC184A">
        <w:rPr>
          <w:sz w:val="20"/>
          <w:szCs w:val="20"/>
        </w:rPr>
        <w:fldChar w:fldCharType="end"/>
      </w:r>
    </w:p>
  </w:footnote>
  <w:footnote w:id="73">
    <w:p w:rsidR="00D6333B" w:rsidRPr="00814A90"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{"citationID":"EyE9ZaIT","citationItems":[{"locator":"249","uri":["http://zotero.org/users/414388/items/K9B3K4HT"]}]} </w:instrText>
      </w:r>
      <w:r w:rsidR="00060760" w:rsidRPr="00EC184A">
        <w:rPr>
          <w:sz w:val="20"/>
          <w:szCs w:val="20"/>
        </w:rPr>
        <w:fldChar w:fldCharType="separate"/>
      </w:r>
      <w:r w:rsidRPr="00EC184A">
        <w:rPr>
          <w:noProof/>
          <w:sz w:val="20"/>
          <w:szCs w:val="20"/>
        </w:rPr>
        <w:t>Ibid., 249.</w:t>
      </w:r>
      <w:r w:rsidR="00060760" w:rsidRPr="00EC184A">
        <w:rPr>
          <w:sz w:val="20"/>
          <w:szCs w:val="20"/>
        </w:rPr>
        <w:fldChar w:fldCharType="end"/>
      </w:r>
    </w:p>
  </w:footnote>
  <w:footnote w:id="74">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{"citationID":"pxoU5wmR","citationItems":[{"locator":"179","uri":["http://zotero.org/users/414388/items/Z54FWM4K"]}]} </w:instrText>
      </w:r>
      <w:r w:rsidR="00060760" w:rsidRPr="00EC184A">
        <w:rPr>
          <w:sz w:val="20"/>
          <w:szCs w:val="20"/>
        </w:rPr>
        <w:fldChar w:fldCharType="separate"/>
      </w:r>
      <w:r w:rsidRPr="00EC184A">
        <w:rPr>
          <w:color w:val="000000"/>
          <w:sz w:val="20"/>
          <w:szCs w:val="20"/>
        </w:rPr>
        <w:t xml:space="preserve">Massie, </w:t>
      </w:r>
      <w:r w:rsidRPr="00EC184A">
        <w:rPr>
          <w:i/>
          <w:iCs/>
          <w:color w:val="000000"/>
          <w:sz w:val="20"/>
          <w:szCs w:val="20"/>
        </w:rPr>
        <w:t>Dreadnought</w:t>
      </w:r>
      <w:r w:rsidRPr="00EC184A">
        <w:rPr>
          <w:color w:val="000000"/>
          <w:sz w:val="20"/>
          <w:szCs w:val="20"/>
        </w:rPr>
        <w:t>, 179.</w:t>
      </w:r>
      <w:r w:rsidR="00060760" w:rsidRPr="00EC184A">
        <w:rPr>
          <w:sz w:val="20"/>
          <w:szCs w:val="20"/>
        </w:rPr>
        <w:fldChar w:fldCharType="end"/>
      </w:r>
    </w:p>
  </w:footnote>
  <w:footnote w:id="75">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{"citationID":"m1fDAO2S","citationItems":[{"locator":"154-155","uri":["http://zotero.org/users/414388/items/WMM9ZJJC"]}]} </w:instrText>
      </w:r>
      <w:r w:rsidR="00060760" w:rsidRPr="00EC184A">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154-155.</w:t>
      </w:r>
      <w:r w:rsidR="00060760" w:rsidRPr="00EC184A">
        <w:rPr>
          <w:sz w:val="20"/>
          <w:szCs w:val="20"/>
        </w:rPr>
        <w:fldChar w:fldCharType="end"/>
      </w:r>
    </w:p>
  </w:footnote>
  <w:footnote w:id="76">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The London Times points out of the second day of debate that most leading government officials spoke in unison for the Bill’s provisions, contrasting greatly with the division that existed over Admiral Hollmann’s proposed 1897 </w:t>
      </w:r>
      <w:bookmarkStart w:id="0" w:name="_GoBack"/>
      <w:r w:rsidRPr="00EC184A">
        <w:rPr>
          <w:sz w:val="20"/>
          <w:szCs w:val="20"/>
        </w:rPr>
        <w:t>Fleet Law</w:t>
      </w:r>
      <w:bookmarkEnd w:id="0"/>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{"citationID":"phBcMvcV","citationItems":[{"uri":["http://zotero.org/users/414388/items/JDK9UGIS"]}]} </w:instrText>
      </w:r>
      <w:r w:rsidR="00060760" w:rsidRPr="00EC184A">
        <w:rPr>
          <w:sz w:val="20"/>
          <w:szCs w:val="20"/>
        </w:rPr>
        <w:fldChar w:fldCharType="separate"/>
      </w:r>
      <w:r w:rsidRPr="00EC184A">
        <w:rPr>
          <w:color w:val="000000"/>
          <w:sz w:val="20"/>
          <w:szCs w:val="20"/>
        </w:rPr>
        <w:t>“The German Navy Bill.”</w:t>
      </w:r>
      <w:r w:rsidR="00060760" w:rsidRPr="00EC184A">
        <w:rPr>
          <w:sz w:val="20"/>
          <w:szCs w:val="20"/>
        </w:rPr>
        <w:fldChar w:fldCharType="end"/>
      </w:r>
      <w:r w:rsidRPr="00EC184A">
        <w:rPr>
          <w:sz w:val="20"/>
          <w:szCs w:val="20"/>
        </w:rPr>
        <w:t xml:space="preserve"> </w:t>
      </w:r>
      <w:r w:rsidRPr="00EC184A">
        <w:rPr>
          <w:i/>
          <w:sz w:val="20"/>
          <w:szCs w:val="20"/>
        </w:rPr>
        <w:t>The Times (London)</w:t>
      </w:r>
      <w:r w:rsidRPr="00EC184A">
        <w:rPr>
          <w:sz w:val="20"/>
          <w:szCs w:val="20"/>
        </w:rPr>
        <w:t>,</w:t>
      </w:r>
      <w:r w:rsidRPr="00EC184A">
        <w:rPr>
          <w:i/>
          <w:sz w:val="20"/>
          <w:szCs w:val="20"/>
        </w:rPr>
        <w:t xml:space="preserve"> </w:t>
      </w:r>
      <w:r w:rsidRPr="00EC184A">
        <w:rPr>
          <w:sz w:val="20"/>
          <w:szCs w:val="20"/>
        </w:rPr>
        <w:t>December 8, 1897.</w:t>
      </w:r>
    </w:p>
  </w:footnote>
  <w:footnote w:id="77">
    <w:p w:rsidR="00D6333B" w:rsidRPr="00B269C0"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{"citationID":"JWIt6Z1D","citationItems":[{"uri":["http://zotero.org/users/414388/items/IZXI3CQ2"]}]} </w:instrText>
      </w:r>
      <w:r w:rsidR="00060760" w:rsidRPr="00EC184A">
        <w:rPr>
          <w:sz w:val="20"/>
          <w:szCs w:val="20"/>
        </w:rPr>
        <w:fldChar w:fldCharType="separate"/>
      </w:r>
      <w:r w:rsidRPr="00EC184A">
        <w:rPr>
          <w:color w:val="000000"/>
          <w:sz w:val="20"/>
          <w:szCs w:val="20"/>
        </w:rPr>
        <w:t>Kennedy, “Tirpitz, England and the Second Navy Law of 1900: A Strategical Critique,”</w:t>
      </w:r>
      <w:r w:rsidR="00060760" w:rsidRPr="00EC184A">
        <w:rPr>
          <w:sz w:val="20"/>
          <w:szCs w:val="20"/>
        </w:rPr>
        <w:fldChar w:fldCharType="end"/>
      </w:r>
      <w:r>
        <w:rPr>
          <w:sz w:val="20"/>
          <w:szCs w:val="20"/>
        </w:rPr>
        <w:t xml:space="preserve"> 33.</w:t>
      </w:r>
    </w:p>
  </w:footnote>
  <w:footnote w:id="78">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{"citationID":"yTfEJ7re","citationItems":[{"locator":"180","uri":["http://zotero.org/users/414388/items/Z54FWM4K"]}]} </w:instrText>
      </w:r>
      <w:r w:rsidR="00060760" w:rsidRPr="00EC184A">
        <w:rPr>
          <w:sz w:val="20"/>
          <w:szCs w:val="20"/>
        </w:rPr>
        <w:fldChar w:fldCharType="separate"/>
      </w:r>
      <w:r w:rsidRPr="00EC184A">
        <w:rPr>
          <w:color w:val="000000"/>
          <w:sz w:val="20"/>
          <w:szCs w:val="20"/>
        </w:rPr>
        <w:t xml:space="preserve">Massie, </w:t>
      </w:r>
      <w:r w:rsidRPr="00EC184A">
        <w:rPr>
          <w:i/>
          <w:iCs/>
          <w:color w:val="000000"/>
          <w:sz w:val="20"/>
          <w:szCs w:val="20"/>
        </w:rPr>
        <w:t>Dreadnought</w:t>
      </w:r>
      <w:r w:rsidRPr="00EC184A">
        <w:rPr>
          <w:color w:val="000000"/>
          <w:sz w:val="20"/>
          <w:szCs w:val="20"/>
        </w:rPr>
        <w:t>, 180.</w:t>
      </w:r>
      <w:r w:rsidR="00060760" w:rsidRPr="00EC184A">
        <w:rPr>
          <w:sz w:val="20"/>
          <w:szCs w:val="20"/>
        </w:rPr>
        <w:fldChar w:fldCharType="end"/>
      </w:r>
    </w:p>
  </w:footnote>
  <w:footnote w:id="79">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060760">
        <w:rPr>
          <w:sz w:val="20"/>
          <w:szCs w:val="20"/>
        </w:rPr>
        <w:fldChar w:fldCharType="begin"/>
      </w:r>
      <w:r w:rsidRPr="00EC184A">
        <w:rPr>
          <w:sz w:val="20"/>
          <w:szCs w:val="20"/>
        </w:rPr>
        <w:instrText xml:space="preserve"> ADDIN ZOTERO_ITEM {"citationID":"5Hue7aQI","citationItems":[{"locator":"151","uri":["http://zotero.org/users/414388/items/WMM9ZJJC"]}]} </w:instrText>
      </w:r>
      <w:r w:rsidR="00060760" w:rsidRPr="00060760">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151.</w:t>
      </w:r>
      <w:r w:rsidR="00060760" w:rsidRPr="00EC184A">
        <w:rPr>
          <w:color w:val="000000"/>
          <w:sz w:val="20"/>
          <w:szCs w:val="20"/>
        </w:rPr>
        <w:fldChar w:fldCharType="end"/>
      </w:r>
    </w:p>
  </w:footnote>
  <w:footnote w:id="80">
    <w:p w:rsidR="00D6333B" w:rsidRDefault="00D6333B" w:rsidP="00BE3CCC">
      <w:pPr>
        <w:pStyle w:val="FootnoteText"/>
      </w:pPr>
      <w:r w:rsidRPr="00EC184A">
        <w:rPr>
          <w:rStyle w:val="FootnoteReference"/>
          <w:sz w:val="20"/>
          <w:szCs w:val="20"/>
        </w:rPr>
        <w:footnoteRef/>
      </w:r>
      <w:r w:rsidRPr="00EC184A">
        <w:rPr>
          <w:sz w:val="20"/>
          <w:szCs w:val="20"/>
        </w:rPr>
        <w:t xml:space="preserve"> </w:t>
      </w:r>
      <w:r w:rsidR="00060760" w:rsidRPr="00060760">
        <w:rPr>
          <w:sz w:val="20"/>
          <w:szCs w:val="20"/>
        </w:rPr>
        <w:fldChar w:fldCharType="begin"/>
      </w:r>
      <w:r w:rsidRPr="00EC184A">
        <w:rPr>
          <w:sz w:val="20"/>
          <w:szCs w:val="20"/>
        </w:rPr>
        <w:instrText xml:space="preserve"> ADDIN ZOTERO_ITEM {"citationID":"TOhanSwV","citationItems":[{"locator":"197","uri":["http://zotero.org/users/414388/items/XZN5HV62"]}]} </w:instrText>
      </w:r>
      <w:r w:rsidR="00060760" w:rsidRPr="00060760">
        <w:rPr>
          <w:sz w:val="20"/>
          <w:szCs w:val="20"/>
        </w:rPr>
        <w:fldChar w:fldCharType="separate"/>
      </w:r>
      <w:r w:rsidRPr="00EC184A">
        <w:rPr>
          <w:color w:val="000000"/>
          <w:sz w:val="20"/>
          <w:szCs w:val="20"/>
        </w:rPr>
        <w:t xml:space="preserve">Nauticus, </w:t>
      </w:r>
      <w:r w:rsidRPr="00EC184A">
        <w:rPr>
          <w:i/>
          <w:iCs/>
          <w:color w:val="000000"/>
          <w:sz w:val="20"/>
          <w:szCs w:val="20"/>
        </w:rPr>
        <w:t>Beiträge zur Flotten Novelle</w:t>
      </w:r>
      <w:r w:rsidRPr="00EC184A">
        <w:rPr>
          <w:color w:val="000000"/>
          <w:sz w:val="20"/>
          <w:szCs w:val="20"/>
        </w:rPr>
        <w:t xml:space="preserve"> (Berlin: Ernst Sigfried Mittler und Sohn, 1900), 197.</w:t>
      </w:r>
      <w:r w:rsidR="00060760" w:rsidRPr="00EC184A">
        <w:rPr>
          <w:color w:val="000000"/>
          <w:sz w:val="20"/>
          <w:szCs w:val="20"/>
        </w:rPr>
        <w:fldChar w:fldCharType="end"/>
      </w:r>
    </w:p>
  </w:footnote>
  <w:footnote w:id="81">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{"citationID":"Ou7rX1rW","citationItems":[{"locator":"247-256, 594-595","uri":["http://zotero.org/users/414388/items/Z54FWM4K"]}]} </w:instrText>
      </w:r>
      <w:r w:rsidR="00060760" w:rsidRPr="00EC184A">
        <w:rPr>
          <w:sz w:val="20"/>
          <w:szCs w:val="20"/>
        </w:rPr>
        <w:fldChar w:fldCharType="separate"/>
      </w:r>
      <w:r w:rsidRPr="00EC184A">
        <w:rPr>
          <w:color w:val="000000"/>
          <w:sz w:val="20"/>
          <w:szCs w:val="20"/>
        </w:rPr>
        <w:t xml:space="preserve">Massie, </w:t>
      </w:r>
      <w:r w:rsidRPr="00EC184A">
        <w:rPr>
          <w:i/>
          <w:iCs/>
          <w:color w:val="000000"/>
          <w:sz w:val="20"/>
          <w:szCs w:val="20"/>
        </w:rPr>
        <w:t>Dreadnought</w:t>
      </w:r>
      <w:r w:rsidRPr="00EC184A">
        <w:rPr>
          <w:color w:val="000000"/>
          <w:sz w:val="20"/>
          <w:szCs w:val="20"/>
        </w:rPr>
        <w:t>, 247-256, 594-595.</w:t>
      </w:r>
      <w:r w:rsidR="00060760" w:rsidRPr="00EC184A">
        <w:rPr>
          <w:sz w:val="20"/>
          <w:szCs w:val="20"/>
        </w:rPr>
        <w:fldChar w:fldCharType="end"/>
      </w:r>
    </w:p>
  </w:footnote>
  <w:footnote w:id="82">
    <w:p w:rsidR="00D6333B" w:rsidRPr="00EC184A" w:rsidRDefault="00D6333B" w:rsidP="00577377">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{"citationID":"CSqD6zch","citationItems":[{"locator":"34","uri":["http://zotero.org/users/414388/items/IZXI3CQ2"]}]} </w:instrText>
      </w:r>
      <w:r w:rsidR="00060760" w:rsidRPr="00EC184A">
        <w:rPr>
          <w:sz w:val="20"/>
          <w:szCs w:val="20"/>
        </w:rPr>
        <w:fldChar w:fldCharType="separate"/>
      </w:r>
      <w:r w:rsidRPr="00EC184A">
        <w:rPr>
          <w:color w:val="000000"/>
          <w:sz w:val="20"/>
          <w:szCs w:val="20"/>
        </w:rPr>
        <w:t>Kennedy, “Tirpitz, England and the Second Navy Law of 1900: A Strategical Critique,” 34.</w:t>
      </w:r>
      <w:r w:rsidR="00060760" w:rsidRPr="00EC184A">
        <w:rPr>
          <w:sz w:val="20"/>
          <w:szCs w:val="20"/>
        </w:rPr>
        <w:fldChar w:fldCharType="end"/>
      </w:r>
    </w:p>
  </w:footnote>
  <w:footnote w:id="83">
    <w:p w:rsidR="00D6333B" w:rsidRPr="000E5B47"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{"citationID":"fmE6mMKT","citationItems":[{"locator":"35","uri":["http://zotero.org/users/414388/items/IZXI3CQ2"]}]} </w:instrText>
      </w:r>
      <w:r w:rsidR="00060760" w:rsidRPr="00EC184A">
        <w:rPr>
          <w:sz w:val="20"/>
          <w:szCs w:val="20"/>
        </w:rPr>
        <w:fldChar w:fldCharType="separate"/>
      </w:r>
      <w:r w:rsidRPr="00EC184A">
        <w:rPr>
          <w:noProof/>
          <w:sz w:val="20"/>
          <w:szCs w:val="20"/>
        </w:rPr>
        <w:t>Ibid., 35.</w:t>
      </w:r>
      <w:r w:rsidR="00060760" w:rsidRPr="00EC184A">
        <w:rPr>
          <w:sz w:val="20"/>
          <w:szCs w:val="20"/>
        </w:rPr>
        <w:fldChar w:fldCharType="end"/>
      </w:r>
    </w:p>
  </w:footnote>
  <w:footnote w:id="84">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{"citationID":"5qgTcJIm","citationItems":[{"locator":"153-4","uri":["http://zotero.org/users/414388/items/WMM9ZJJC"]}]} </w:instrText>
      </w:r>
      <w:r w:rsidR="00060760" w:rsidRPr="00EC184A">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153-4.</w:t>
      </w:r>
      <w:r w:rsidR="00060760" w:rsidRPr="00EC184A">
        <w:rPr>
          <w:sz w:val="20"/>
          <w:szCs w:val="20"/>
        </w:rPr>
        <w:fldChar w:fldCharType="end"/>
      </w:r>
    </w:p>
  </w:footnote>
  <w:footnote w:id="85">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{"citationID":"T2IL0HRJ","citationItems":[{"locator":"155-156","uri":["http://zotero.org/users/414388/items/WMM9ZJJC"]}]} </w:instrText>
      </w:r>
      <w:r w:rsidR="00060760" w:rsidRPr="00EC184A">
        <w:rPr>
          <w:sz w:val="20"/>
          <w:szCs w:val="20"/>
        </w:rPr>
        <w:fldChar w:fldCharType="separate"/>
      </w:r>
      <w:r w:rsidRPr="00EC184A">
        <w:rPr>
          <w:noProof/>
          <w:sz w:val="20"/>
          <w:szCs w:val="20"/>
        </w:rPr>
        <w:t>Ibid., 155-156.</w:t>
      </w:r>
      <w:r w:rsidR="00060760" w:rsidRPr="00EC184A">
        <w:rPr>
          <w:sz w:val="20"/>
          <w:szCs w:val="20"/>
        </w:rPr>
        <w:fldChar w:fldCharType="end"/>
      </w:r>
    </w:p>
  </w:footnote>
  <w:footnote w:id="86">
    <w:p w:rsidR="00D6333B" w:rsidRPr="00B269C0" w:rsidRDefault="00D6333B" w:rsidP="00AD601F">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{"citationID":"nM6lXpzG","citationItems":[{"locator":"343","uri":["http://zotero.org/users/414388/items/HP3XRFM9"]}]} </w:instrText>
      </w:r>
      <w:r w:rsidR="00060760" w:rsidRPr="00EC184A">
        <w:rPr>
          <w:sz w:val="20"/>
          <w:szCs w:val="20"/>
        </w:rPr>
        <w:fldChar w:fldCharType="separate"/>
      </w:r>
      <w:r w:rsidRPr="00EC184A">
        <w:rPr>
          <w:color w:val="000000"/>
          <w:sz w:val="20"/>
          <w:szCs w:val="20"/>
        </w:rPr>
        <w:t xml:space="preserve">Bülow, </w:t>
      </w:r>
      <w:r w:rsidRPr="00EC184A">
        <w:rPr>
          <w:i/>
          <w:iCs/>
          <w:color w:val="000000"/>
          <w:sz w:val="20"/>
          <w:szCs w:val="20"/>
        </w:rPr>
        <w:t>Memoirs of Prince Von Bülow</w:t>
      </w:r>
      <w:r w:rsidRPr="00EC184A">
        <w:rPr>
          <w:color w:val="000000"/>
          <w:sz w:val="20"/>
          <w:szCs w:val="20"/>
        </w:rPr>
        <w:t>, 343</w:t>
      </w:r>
      <w:r w:rsidR="00060760" w:rsidRPr="00EC184A">
        <w:rPr>
          <w:sz w:val="20"/>
          <w:szCs w:val="20"/>
        </w:rPr>
        <w:fldChar w:fldCharType="end"/>
      </w:r>
      <w:r>
        <w:rPr>
          <w:sz w:val="20"/>
          <w:szCs w:val="20"/>
        </w:rPr>
        <w:t xml:space="preserve">; </w:t>
      </w:r>
      <w:r w:rsidR="00060760">
        <w:rPr>
          <w:sz w:val="20"/>
          <w:szCs w:val="20"/>
        </w:rPr>
        <w:fldChar w:fldCharType="begin"/>
      </w:r>
      <w:r>
        <w:rPr>
          <w:sz w:val="20"/>
          <w:szCs w:val="20"/>
        </w:rPr>
        <w:instrText xml:space="preserve"> ADDIN ZOTERO_ITEM {"citationID":"2h555bf5ia","citationItems":[{"locator":"156","label":"page","uri":["http://zotero.org/users/414388/items/WMM9ZJJC"]}]} </w:instrText>
      </w:r>
      <w:r w:rsidR="00060760">
        <w:rPr>
          <w:sz w:val="20"/>
          <w:szCs w:val="20"/>
        </w:rPr>
        <w:fldChar w:fldCharType="separate"/>
      </w:r>
      <w:r w:rsidRPr="00F35811">
        <w:rPr>
          <w:sz w:val="20"/>
        </w:rPr>
        <w:t xml:space="preserve">Tirpitz, </w:t>
      </w:r>
      <w:r w:rsidRPr="00F35811">
        <w:rPr>
          <w:i/>
          <w:iCs/>
          <w:sz w:val="20"/>
        </w:rPr>
        <w:t>My Memoirs: Volume 1</w:t>
      </w:r>
      <w:r w:rsidRPr="00F35811">
        <w:rPr>
          <w:sz w:val="20"/>
        </w:rPr>
        <w:t>, 156.</w:t>
      </w:r>
      <w:r w:rsidR="00060760">
        <w:rPr>
          <w:sz w:val="20"/>
          <w:szCs w:val="20"/>
        </w:rPr>
        <w:fldChar w:fldCharType="end"/>
      </w:r>
      <w:r>
        <w:rPr>
          <w:sz w:val="20"/>
          <w:szCs w:val="20"/>
        </w:rPr>
        <w:t xml:space="preserve"> </w:t>
      </w:r>
    </w:p>
  </w:footnote>
  <w:footnote w:id="87">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{"citationID":"nXPVHo2y","citationItems":[{"locator":"343","uri":["http://zotero.org/users/414388/items/HP3XRFM9"]}]} </w:instrText>
      </w:r>
      <w:r w:rsidR="00060760" w:rsidRPr="00EC184A">
        <w:rPr>
          <w:sz w:val="20"/>
          <w:szCs w:val="20"/>
        </w:rPr>
        <w:fldChar w:fldCharType="separate"/>
      </w:r>
      <w:r w:rsidRPr="00EC184A">
        <w:rPr>
          <w:sz w:val="20"/>
          <w:szCs w:val="20"/>
        </w:rPr>
        <w:t xml:space="preserve">Bülow, </w:t>
      </w:r>
      <w:r w:rsidRPr="00EC184A">
        <w:rPr>
          <w:i/>
          <w:iCs/>
          <w:sz w:val="20"/>
          <w:szCs w:val="20"/>
        </w:rPr>
        <w:t>Memoirs of Prince Von Bülow</w:t>
      </w:r>
      <w:r w:rsidRPr="00EC184A">
        <w:rPr>
          <w:sz w:val="20"/>
          <w:szCs w:val="20"/>
        </w:rPr>
        <w:t>, 343.</w:t>
      </w:r>
      <w:r w:rsidR="00060760" w:rsidRPr="00EC184A">
        <w:rPr>
          <w:sz w:val="20"/>
          <w:szCs w:val="20"/>
        </w:rPr>
        <w:fldChar w:fldCharType="end"/>
      </w:r>
    </w:p>
  </w:footnote>
  <w:footnote w:id="88">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{"citationID":"rTp1Vwre","citationItems":[{"locator":"344","uri":["http://zotero.org/users/414388/items/HP3XRFM9"]}]} </w:instrText>
      </w:r>
      <w:r w:rsidR="00060760" w:rsidRPr="00EC184A">
        <w:rPr>
          <w:sz w:val="20"/>
          <w:szCs w:val="20"/>
        </w:rPr>
        <w:fldChar w:fldCharType="separate"/>
      </w:r>
      <w:r w:rsidRPr="00EC184A">
        <w:rPr>
          <w:noProof/>
          <w:sz w:val="20"/>
          <w:szCs w:val="20"/>
        </w:rPr>
        <w:t>Ibid., 344.</w:t>
      </w:r>
      <w:r w:rsidR="00060760" w:rsidRPr="00EC184A">
        <w:rPr>
          <w:sz w:val="20"/>
          <w:szCs w:val="20"/>
        </w:rPr>
        <w:fldChar w:fldCharType="end"/>
      </w:r>
    </w:p>
  </w:footnote>
  <w:footnote w:id="89">
    <w:p w:rsidR="00D6333B" w:rsidRPr="00C40E51"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{"citationID":"Dy3kfrym","citationItems":[{"locator":"346","uri":["http://zotero.org/users/414388/items/HP3XRFM9"]}]} </w:instrText>
      </w:r>
      <w:r w:rsidR="00060760" w:rsidRPr="00EC184A">
        <w:rPr>
          <w:sz w:val="20"/>
          <w:szCs w:val="20"/>
        </w:rPr>
        <w:fldChar w:fldCharType="separate"/>
      </w:r>
      <w:r w:rsidRPr="00EC184A">
        <w:rPr>
          <w:color w:val="000000"/>
          <w:sz w:val="20"/>
          <w:szCs w:val="20"/>
        </w:rPr>
        <w:t>Ibid., 346.</w:t>
      </w:r>
      <w:r w:rsidR="00060760" w:rsidRPr="00EC184A">
        <w:rPr>
          <w:sz w:val="20"/>
          <w:szCs w:val="20"/>
        </w:rPr>
        <w:fldChar w:fldCharType="end"/>
      </w:r>
    </w:p>
  </w:footnote>
  <w:footnote w:id="90">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{"citationID":"27TAK4MM","citationItems":[{"locator":"348","uri":["http://zotero.org/users/414388/items/HP3XRFM9"]}]} </w:instrText>
      </w:r>
      <w:r w:rsidR="00060760" w:rsidRPr="00EC184A">
        <w:rPr>
          <w:sz w:val="20"/>
          <w:szCs w:val="20"/>
        </w:rPr>
        <w:fldChar w:fldCharType="separate"/>
      </w:r>
      <w:r w:rsidRPr="00EC184A">
        <w:rPr>
          <w:color w:val="000000"/>
          <w:sz w:val="20"/>
          <w:szCs w:val="20"/>
        </w:rPr>
        <w:t>Ibid., 348.</w:t>
      </w:r>
      <w:r w:rsidR="00060760" w:rsidRPr="00EC184A">
        <w:rPr>
          <w:sz w:val="20"/>
          <w:szCs w:val="20"/>
        </w:rPr>
        <w:fldChar w:fldCharType="end"/>
      </w:r>
    </w:p>
  </w:footnote>
  <w:footnote w:id="91">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{"citationID":"aqrCthUU","citationItems":[{"locator":"233","uri":["http://zotero.org/users/414388/items/FT2V6BB5"]}]} </w:instrText>
      </w:r>
      <w:r w:rsidR="00060760" w:rsidRPr="00EC184A">
        <w:rPr>
          <w:sz w:val="20"/>
          <w:szCs w:val="20"/>
        </w:rPr>
        <w:fldChar w:fldCharType="separate"/>
      </w:r>
      <w:r w:rsidRPr="00EC184A">
        <w:rPr>
          <w:color w:val="000000"/>
          <w:sz w:val="20"/>
          <w:szCs w:val="20"/>
        </w:rPr>
        <w:t xml:space="preserve">Berghahn, </w:t>
      </w:r>
      <w:r w:rsidRPr="00EC184A">
        <w:rPr>
          <w:i/>
          <w:iCs/>
          <w:color w:val="000000"/>
          <w:sz w:val="20"/>
          <w:szCs w:val="20"/>
        </w:rPr>
        <w:t>Der Tirpitz-Plan: Genesis und Verfall einer innenpolitischen Krisenstrategie unter Wilhelm II</w:t>
      </w:r>
      <w:r w:rsidRPr="00EC184A">
        <w:rPr>
          <w:color w:val="000000"/>
          <w:sz w:val="20"/>
          <w:szCs w:val="20"/>
        </w:rPr>
        <w:t>, 233.</w:t>
      </w:r>
      <w:r w:rsidR="00060760" w:rsidRPr="00EC184A">
        <w:rPr>
          <w:sz w:val="20"/>
          <w:szCs w:val="20"/>
        </w:rPr>
        <w:fldChar w:fldCharType="end"/>
      </w:r>
    </w:p>
  </w:footnote>
  <w:footnote w:id="92">
    <w:p w:rsidR="00D6333B" w:rsidRPr="00B269C0"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{"citationID":"IWcZfiuT","citationItems":[{"locator":"160-161","uri":["http://zotero.org/users/414388/items/4AF3BKEA"]}]} </w:instrText>
      </w:r>
      <w:r w:rsidR="00060760" w:rsidRPr="00EC184A">
        <w:rPr>
          <w:sz w:val="20"/>
          <w:szCs w:val="20"/>
        </w:rPr>
        <w:fldChar w:fldCharType="separate"/>
      </w:r>
      <w:r w:rsidRPr="00EC184A">
        <w:rPr>
          <w:color w:val="000000"/>
          <w:sz w:val="20"/>
          <w:szCs w:val="20"/>
        </w:rPr>
        <w:t>Volker R. Berghahn, “Notizen des Staatssekretärs des Reichsmarineamts, Kontreadmiral Tirpitz, zum Immediatvortrag am 28. September 1899 über die Vorbereitung und Zielsetzung der Novelle zum Flottengesetz,” 160-161.</w:t>
      </w:r>
      <w:r w:rsidR="00060760" w:rsidRPr="00EC184A">
        <w:rPr>
          <w:sz w:val="20"/>
          <w:szCs w:val="20"/>
        </w:rPr>
        <w:fldChar w:fldCharType="end"/>
      </w:r>
    </w:p>
  </w:footnote>
  <w:footnote w:id="93">
    <w:p w:rsidR="00D6333B" w:rsidRPr="00EC184A" w:rsidRDefault="00D6333B" w:rsidP="00BE3CCC">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{"citationID":"QfIbswXl","citationItems":[{"locator":"34","uri":["http://zotero.org/users/414388/items/IZXI3CQ2"]}]} </w:instrText>
      </w:r>
      <w:r w:rsidR="00060760" w:rsidRPr="00EC184A">
        <w:rPr>
          <w:sz w:val="20"/>
          <w:szCs w:val="20"/>
        </w:rPr>
        <w:fldChar w:fldCharType="separate"/>
      </w:r>
      <w:r w:rsidRPr="00EC184A">
        <w:rPr>
          <w:color w:val="000000"/>
          <w:sz w:val="20"/>
          <w:szCs w:val="20"/>
        </w:rPr>
        <w:t>Kennedy, “Tirpitz, England and the Second Navy Law of 1900: A Strategical Critique,” 34.</w:t>
      </w:r>
      <w:r w:rsidR="00060760" w:rsidRPr="00EC184A">
        <w:rPr>
          <w:sz w:val="20"/>
          <w:szCs w:val="20"/>
        </w:rPr>
        <w:fldChar w:fldCharType="end"/>
      </w:r>
    </w:p>
  </w:footnote>
  <w:footnote w:id="94">
    <w:p w:rsidR="00D6333B" w:rsidRPr="00B269C0"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{"citationID":"q2mUpK2F","citationItems":[{"locator":"34","uri":["http://zotero.org/users/414388/items/IZXI3CQ2"]}]} </w:instrText>
      </w:r>
      <w:r w:rsidR="00060760" w:rsidRPr="00EC184A">
        <w:rPr>
          <w:sz w:val="20"/>
          <w:szCs w:val="20"/>
        </w:rPr>
        <w:fldChar w:fldCharType="separate"/>
      </w:r>
      <w:r w:rsidRPr="00EC184A">
        <w:rPr>
          <w:noProof/>
          <w:sz w:val="20"/>
          <w:szCs w:val="20"/>
        </w:rPr>
        <w:t>Ibid.</w:t>
      </w:r>
      <w:r w:rsidR="00060760" w:rsidRPr="00EC184A">
        <w:rPr>
          <w:sz w:val="20"/>
          <w:szCs w:val="20"/>
        </w:rPr>
        <w:fldChar w:fldCharType="end"/>
      </w:r>
    </w:p>
  </w:footnote>
  <w:footnote w:id="95">
    <w:p w:rsidR="00D6333B" w:rsidRPr="00EC184A" w:rsidRDefault="00D6333B" w:rsidP="00690E63">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{"citationID":"n6v64Clq","citationItems":[{"locator":"1-2","uri":["http://zotero.org/users/414388/items/9TVKN3TH"]}]} </w:instrText>
      </w:r>
      <w:r w:rsidR="00060760" w:rsidRPr="00EC184A">
        <w:rPr>
          <w:sz w:val="20"/>
          <w:szCs w:val="20"/>
        </w:rPr>
        <w:fldChar w:fldCharType="separate"/>
      </w:r>
      <w:r w:rsidRPr="00EC184A">
        <w:rPr>
          <w:color w:val="000000"/>
          <w:sz w:val="20"/>
          <w:szCs w:val="20"/>
        </w:rPr>
        <w:t>Dunlap, “Elections to the Reichstag (1890-1912),” 1-2</w:t>
      </w:r>
      <w:r w:rsidR="00060760" w:rsidRPr="00EC184A">
        <w:rPr>
          <w:sz w:val="20"/>
          <w:szCs w:val="20"/>
        </w:rPr>
        <w:fldChar w:fldCharType="end"/>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{"citationID":"vnogGAIx","citationItems":[{"locator":"150","uri":["http://zotero.org/users/414388/items/WMM9ZJJC"]}]} </w:instrText>
      </w:r>
      <w:r w:rsidR="00060760" w:rsidRPr="00EC184A">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150.</w:t>
      </w:r>
      <w:r w:rsidR="00060760" w:rsidRPr="00EC184A">
        <w:rPr>
          <w:sz w:val="20"/>
          <w:szCs w:val="20"/>
        </w:rPr>
        <w:fldChar w:fldCharType="end"/>
      </w:r>
    </w:p>
  </w:footnote>
  <w:footnote w:id="96">
    <w:p w:rsidR="00D6333B" w:rsidRPr="00C40E51" w:rsidRDefault="00D6333B" w:rsidP="00690E63">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{"citationID":"y7G4QNWU","citationItems":[{"locator":"249","uri":["http://zotero.org/users/414388/items/KTKT4Z84"]}]} </w:instrText>
      </w:r>
      <w:r w:rsidR="00060760" w:rsidRPr="00EC184A">
        <w:rPr>
          <w:sz w:val="20"/>
          <w:szCs w:val="20"/>
        </w:rPr>
        <w:fldChar w:fldCharType="separate"/>
      </w:r>
      <w:r w:rsidRPr="00EC184A">
        <w:rPr>
          <w:color w:val="000000"/>
          <w:sz w:val="20"/>
          <w:szCs w:val="20"/>
        </w:rPr>
        <w:t xml:space="preserve">Bülow, </w:t>
      </w:r>
      <w:r w:rsidRPr="00EC184A">
        <w:rPr>
          <w:i/>
          <w:iCs/>
          <w:color w:val="000000"/>
          <w:sz w:val="20"/>
          <w:szCs w:val="20"/>
        </w:rPr>
        <w:t>Imperial Germany</w:t>
      </w:r>
      <w:r w:rsidRPr="00EC184A">
        <w:rPr>
          <w:color w:val="000000"/>
          <w:sz w:val="20"/>
          <w:szCs w:val="20"/>
        </w:rPr>
        <w:t>, 249.</w:t>
      </w:r>
      <w:r w:rsidR="00060760" w:rsidRPr="00EC184A">
        <w:rPr>
          <w:sz w:val="20"/>
          <w:szCs w:val="20"/>
        </w:rPr>
        <w:fldChar w:fldCharType="end"/>
      </w:r>
    </w:p>
  </w:footnote>
  <w:footnote w:id="97">
    <w:p w:rsidR="00D6333B" w:rsidRPr="00EC184A" w:rsidRDefault="00D6333B" w:rsidP="00690E63">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{"citationID":"aWGOWyZi","citationItems":[{"locator":"249","uri":["http://zotero.org/users/414388/items/KTKT4Z84"]}]} </w:instrText>
      </w:r>
      <w:r w:rsidR="00060760" w:rsidRPr="00EC184A">
        <w:rPr>
          <w:sz w:val="20"/>
          <w:szCs w:val="20"/>
        </w:rPr>
        <w:fldChar w:fldCharType="separate"/>
      </w:r>
      <w:r w:rsidRPr="00EC184A">
        <w:rPr>
          <w:noProof/>
          <w:sz w:val="20"/>
          <w:szCs w:val="20"/>
        </w:rPr>
        <w:t>Ibid.</w:t>
      </w:r>
      <w:r w:rsidR="00060760" w:rsidRPr="00EC184A">
        <w:rPr>
          <w:sz w:val="20"/>
          <w:szCs w:val="20"/>
        </w:rPr>
        <w:fldChar w:fldCharType="end"/>
      </w:r>
    </w:p>
  </w:footnote>
  <w:footnote w:id="98">
    <w:p w:rsidR="00D6333B" w:rsidRPr="00EC184A" w:rsidRDefault="00D6333B" w:rsidP="00690E63">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{"citationID":"HBwknc6n","citationItems":[{"locator":"332","uri":["http://zotero.org/users/414388/items/ITUZTTS9"]}]} </w:instrText>
      </w:r>
      <w:r w:rsidR="00060760" w:rsidRPr="00EC184A">
        <w:rPr>
          <w:sz w:val="20"/>
          <w:szCs w:val="20"/>
        </w:rPr>
        <w:fldChar w:fldCharType="separate"/>
      </w:r>
      <w:r w:rsidRPr="00EC184A">
        <w:rPr>
          <w:color w:val="000000"/>
          <w:sz w:val="20"/>
          <w:szCs w:val="20"/>
        </w:rPr>
        <w:t>Forbes, “Social Imperialism and Wilhelmine Germany,” 332.</w:t>
      </w:r>
      <w:r w:rsidR="00060760" w:rsidRPr="00EC184A">
        <w:rPr>
          <w:sz w:val="20"/>
          <w:szCs w:val="20"/>
        </w:rPr>
        <w:fldChar w:fldCharType="end"/>
      </w:r>
    </w:p>
  </w:footnote>
  <w:footnote w:id="99">
    <w:p w:rsidR="00D6333B" w:rsidRDefault="00D6333B" w:rsidP="00690E63">
      <w:pPr>
        <w:pStyle w:val="FootnoteText"/>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{"citationID":"gd0SEnMU","citationItems":[{"locator":"186","uri":["http://zotero.org/users/414388/items/K2IU8ZQM"]}]} </w:instrText>
      </w:r>
      <w:r w:rsidR="00060760" w:rsidRPr="00EC184A">
        <w:rPr>
          <w:sz w:val="20"/>
          <w:szCs w:val="20"/>
        </w:rPr>
        <w:fldChar w:fldCharType="separate"/>
      </w:r>
      <w:r w:rsidRPr="00EC184A">
        <w:rPr>
          <w:color w:val="000000"/>
          <w:sz w:val="20"/>
          <w:szCs w:val="20"/>
        </w:rPr>
        <w:t xml:space="preserve">Hans-Jürgen Puhle, </w:t>
      </w:r>
      <w:r w:rsidRPr="00EC184A">
        <w:rPr>
          <w:i/>
          <w:iCs/>
          <w:color w:val="000000"/>
          <w:sz w:val="20"/>
          <w:szCs w:val="20"/>
        </w:rPr>
        <w:t>Agrarische Interessenpolitik und preußischer Konservatismus</w:t>
      </w:r>
      <w:r w:rsidRPr="00EC184A">
        <w:rPr>
          <w:color w:val="000000"/>
          <w:sz w:val="20"/>
          <w:szCs w:val="20"/>
        </w:rPr>
        <w:t xml:space="preserve"> (Hannover: Verlag für Literatur und Zeitgeschehen, 1966), 186.</w:t>
      </w:r>
      <w:r w:rsidR="00060760" w:rsidRPr="00EC184A">
        <w:rPr>
          <w:sz w:val="20"/>
          <w:szCs w:val="20"/>
        </w:rPr>
        <w:fldChar w:fldCharType="end"/>
      </w:r>
    </w:p>
  </w:footnote>
  <w:footnote w:id="100">
    <w:p w:rsidR="00D6333B" w:rsidRPr="00EC184A" w:rsidRDefault="00D6333B" w:rsidP="00771EE1">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{"citationID":"I8NJggnV","citationItems":[{"locator":"239","uri":["http://zotero.org/users/414388/items/8MDVMGKQ"]}]} </w:instrText>
      </w:r>
      <w:r w:rsidR="00060760" w:rsidRPr="00EC184A">
        <w:rPr>
          <w:sz w:val="20"/>
          <w:szCs w:val="20"/>
        </w:rPr>
        <w:fldChar w:fldCharType="separate"/>
      </w:r>
      <w:r w:rsidRPr="00EC184A">
        <w:rPr>
          <w:color w:val="000000"/>
          <w:sz w:val="20"/>
          <w:szCs w:val="20"/>
        </w:rPr>
        <w:t xml:space="preserve">Blackbourn, </w:t>
      </w:r>
      <w:r w:rsidRPr="00EC184A">
        <w:rPr>
          <w:i/>
          <w:iCs/>
          <w:color w:val="000000"/>
          <w:sz w:val="20"/>
          <w:szCs w:val="20"/>
        </w:rPr>
        <w:t>Class, Religion, and Local Politics in Wilhelmine Germany</w:t>
      </w:r>
      <w:r w:rsidRPr="00EC184A">
        <w:rPr>
          <w:color w:val="000000"/>
          <w:sz w:val="20"/>
          <w:szCs w:val="20"/>
        </w:rPr>
        <w:t>, 239.</w:t>
      </w:r>
      <w:r w:rsidR="00060760" w:rsidRPr="00EC184A">
        <w:rPr>
          <w:sz w:val="20"/>
          <w:szCs w:val="20"/>
        </w:rPr>
        <w:fldChar w:fldCharType="end"/>
      </w:r>
    </w:p>
  </w:footnote>
  <w:footnote w:id="101">
    <w:p w:rsidR="00D6333B" w:rsidRDefault="00D6333B" w:rsidP="00771EE1">
      <w:pPr>
        <w:pStyle w:val="FootnoteText"/>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{"citationID":"vpxLoswR","citationItems":[{"locator":"239","uri":["http://zotero.org/users/414388/items/8MDVMGKQ"]}]} </w:instrText>
      </w:r>
      <w:r w:rsidR="00060760" w:rsidRPr="00EC184A">
        <w:rPr>
          <w:sz w:val="20"/>
          <w:szCs w:val="20"/>
        </w:rPr>
        <w:fldChar w:fldCharType="separate"/>
      </w:r>
      <w:r w:rsidRPr="00EC184A">
        <w:rPr>
          <w:color w:val="000000"/>
          <w:sz w:val="20"/>
          <w:szCs w:val="20"/>
        </w:rPr>
        <w:t>Ibid.</w:t>
      </w:r>
      <w:r w:rsidR="00060760" w:rsidRPr="00EC184A">
        <w:rPr>
          <w:sz w:val="20"/>
          <w:szCs w:val="20"/>
        </w:rPr>
        <w:fldChar w:fldCharType="end"/>
      </w:r>
    </w:p>
  </w:footnote>
  <w:footnote w:id="102">
    <w:p w:rsidR="00D6333B" w:rsidRPr="00EC184A" w:rsidRDefault="00D6333B" w:rsidP="00771EE1">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{"citationID":"BOKLxvV0","citationItems":[{"uri":["http://zotero.org/users/414388/items/BDFFC39H"]}]} </w:instrText>
      </w:r>
      <w:r w:rsidR="00060760" w:rsidRPr="00EC184A">
        <w:rPr>
          <w:sz w:val="20"/>
          <w:szCs w:val="20"/>
        </w:rPr>
        <w:fldChar w:fldCharType="separate"/>
      </w:r>
      <w:r w:rsidRPr="00EC184A">
        <w:rPr>
          <w:color w:val="000000"/>
          <w:sz w:val="20"/>
          <w:szCs w:val="20"/>
        </w:rPr>
        <w:t xml:space="preserve">“The German Navy Bill,” </w:t>
      </w:r>
      <w:r w:rsidRPr="00EC184A">
        <w:rPr>
          <w:i/>
          <w:iCs/>
          <w:color w:val="000000"/>
          <w:sz w:val="20"/>
          <w:szCs w:val="20"/>
        </w:rPr>
        <w:t>The Times (London)</w:t>
      </w:r>
      <w:r w:rsidRPr="00EC184A">
        <w:rPr>
          <w:color w:val="000000"/>
          <w:sz w:val="20"/>
          <w:szCs w:val="20"/>
        </w:rPr>
        <w:t>, April 25, 1900.</w:t>
      </w:r>
      <w:r w:rsidR="00060760" w:rsidRPr="00EC184A">
        <w:rPr>
          <w:sz w:val="20"/>
          <w:szCs w:val="20"/>
        </w:rPr>
        <w:fldChar w:fldCharType="end"/>
      </w:r>
    </w:p>
  </w:footnote>
  <w:footnote w:id="103">
    <w:p w:rsidR="00D6333B" w:rsidRPr="00B269C0" w:rsidRDefault="00D6333B" w:rsidP="00771EE1">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{"citationID":"sXV56tTb","citationItems":[{"uri":["http://zotero.org/users/414388/items/FTTBMAB7"]}]} </w:instrText>
      </w:r>
      <w:r w:rsidR="00060760" w:rsidRPr="00EC184A">
        <w:rPr>
          <w:sz w:val="20"/>
          <w:szCs w:val="20"/>
        </w:rPr>
        <w:fldChar w:fldCharType="separate"/>
      </w:r>
      <w:r w:rsidRPr="00EC184A">
        <w:rPr>
          <w:color w:val="000000"/>
          <w:sz w:val="20"/>
          <w:szCs w:val="20"/>
        </w:rPr>
        <w:t xml:space="preserve">“The German Navy Bill,” </w:t>
      </w:r>
      <w:r w:rsidRPr="00EC184A">
        <w:rPr>
          <w:i/>
          <w:iCs/>
          <w:color w:val="000000"/>
          <w:sz w:val="20"/>
          <w:szCs w:val="20"/>
        </w:rPr>
        <w:t>The Times (London)</w:t>
      </w:r>
      <w:r w:rsidRPr="00EC184A">
        <w:rPr>
          <w:color w:val="000000"/>
          <w:sz w:val="20"/>
          <w:szCs w:val="20"/>
        </w:rPr>
        <w:t>, May 1, 1900.</w:t>
      </w:r>
      <w:r w:rsidR="00060760" w:rsidRPr="00EC184A">
        <w:rPr>
          <w:sz w:val="20"/>
          <w:szCs w:val="20"/>
        </w:rPr>
        <w:fldChar w:fldCharType="end"/>
      </w:r>
    </w:p>
  </w:footnote>
  <w:footnote w:id="104">
    <w:p w:rsidR="00D6333B" w:rsidRPr="00EC184A" w:rsidRDefault="00D6333B" w:rsidP="00771EE1">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{"citationID":"wVAwEXZ0","citationItems":[{"uri":["http://zotero.org/users/414388/items/EDKHV8V4"]}]} </w:instrText>
      </w:r>
      <w:r w:rsidR="00060760" w:rsidRPr="00EC184A">
        <w:rPr>
          <w:sz w:val="20"/>
          <w:szCs w:val="20"/>
        </w:rPr>
        <w:fldChar w:fldCharType="separate"/>
      </w:r>
      <w:r w:rsidRPr="00EC184A">
        <w:rPr>
          <w:color w:val="000000"/>
          <w:sz w:val="20"/>
          <w:szCs w:val="20"/>
        </w:rPr>
        <w:t xml:space="preserve">“The German Navy Bill,” </w:t>
      </w:r>
      <w:r w:rsidRPr="00EC184A">
        <w:rPr>
          <w:i/>
          <w:iCs/>
          <w:color w:val="000000"/>
          <w:sz w:val="20"/>
          <w:szCs w:val="20"/>
        </w:rPr>
        <w:t>The Times (London)</w:t>
      </w:r>
      <w:r w:rsidRPr="00EC184A">
        <w:rPr>
          <w:color w:val="000000"/>
          <w:sz w:val="20"/>
          <w:szCs w:val="20"/>
        </w:rPr>
        <w:t>, April 27, 1900.</w:t>
      </w:r>
      <w:r w:rsidR="00060760" w:rsidRPr="00EC184A">
        <w:rPr>
          <w:sz w:val="20"/>
          <w:szCs w:val="20"/>
        </w:rPr>
        <w:fldChar w:fldCharType="end"/>
      </w:r>
    </w:p>
  </w:footnote>
  <w:footnote w:id="105">
    <w:p w:rsidR="00D6333B" w:rsidRPr="00014C3A" w:rsidRDefault="00D6333B" w:rsidP="00771EE1">
      <w:pPr>
        <w:pStyle w:val="FootnoteText"/>
        <w:rPr>
          <w:sz w:val="20"/>
          <w:szCs w:val="20"/>
        </w:rPr>
      </w:pPr>
      <w:r w:rsidRPr="00EC184A">
        <w:rPr>
          <w:rStyle w:val="FootnoteReference"/>
          <w:sz w:val="20"/>
          <w:szCs w:val="20"/>
        </w:rPr>
        <w:footnoteRef/>
      </w:r>
      <w:r w:rsidRPr="00EC184A">
        <w:rPr>
          <w:sz w:val="20"/>
          <w:szCs w:val="20"/>
        </w:rPr>
        <w:t xml:space="preserve"> </w:t>
      </w:r>
      <w:r w:rsidRPr="00EC184A">
        <w:rPr>
          <w:rFonts w:eastAsia="Times New Roman"/>
          <w:sz w:val="20"/>
          <w:szCs w:val="20"/>
        </w:rPr>
        <w:t>Translated by author, for original see: Reichstagsprotokolle, 1898/1900,5, /Verhandlungen des Deutschen Reichstags/, (8 February 1900), 3961, available at: http://www.reichstagsprotokolle</w:t>
      </w:r>
      <w:r w:rsidRPr="00C40E51">
        <w:rPr>
          <w:rFonts w:eastAsia="Times New Roman"/>
          <w:sz w:val="20"/>
          <w:szCs w:val="20"/>
        </w:rPr>
        <w:t>.de/Blatt_k10_bsb00002780_00310.html.</w:t>
      </w:r>
    </w:p>
  </w:footnote>
  <w:footnote w:id="106">
    <w:p w:rsidR="00D6333B" w:rsidRPr="00EC184A" w:rsidRDefault="00D6333B" w:rsidP="00771EE1">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{"citationID":"iJu7Fds3","citationItems":[{"uri":["http://zotero.org/users/414388/items/EDKHV8V4"]}]} </w:instrText>
      </w:r>
      <w:r w:rsidR="00060760" w:rsidRPr="00EC184A">
        <w:rPr>
          <w:sz w:val="20"/>
          <w:szCs w:val="20"/>
        </w:rPr>
        <w:fldChar w:fldCharType="separate"/>
      </w:r>
      <w:r w:rsidRPr="00EC184A">
        <w:rPr>
          <w:color w:val="000000"/>
          <w:sz w:val="20"/>
          <w:szCs w:val="20"/>
        </w:rPr>
        <w:t>“The German Navy Bill.”</w:t>
      </w:r>
      <w:r w:rsidR="00060760" w:rsidRPr="00EC184A">
        <w:rPr>
          <w:sz w:val="20"/>
          <w:szCs w:val="20"/>
        </w:rPr>
        <w:fldChar w:fldCharType="end"/>
      </w:r>
    </w:p>
  </w:footnote>
  <w:footnote w:id="107">
    <w:p w:rsidR="00D6333B" w:rsidRPr="00C40E51" w:rsidRDefault="00D6333B" w:rsidP="00771EE1">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{"citationID":"9F8vgb3O","citationItems":[{"uri":["http://zotero.org/users/414388/items/EDKHV8V4"]}]} </w:instrText>
      </w:r>
      <w:r w:rsidR="00060760" w:rsidRPr="00EC184A">
        <w:rPr>
          <w:sz w:val="20"/>
          <w:szCs w:val="20"/>
        </w:rPr>
        <w:fldChar w:fldCharType="separate"/>
      </w:r>
      <w:r w:rsidRPr="00EC184A">
        <w:rPr>
          <w:noProof/>
          <w:sz w:val="20"/>
          <w:szCs w:val="20"/>
        </w:rPr>
        <w:t>Ibid.</w:t>
      </w:r>
      <w:r w:rsidR="00060760" w:rsidRPr="00EC184A">
        <w:rPr>
          <w:sz w:val="20"/>
          <w:szCs w:val="20"/>
        </w:rPr>
        <w:fldChar w:fldCharType="end"/>
      </w:r>
    </w:p>
  </w:footnote>
  <w:footnote w:id="108">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{"citationID":"1r26bq7p04","citationItems":[{"uri":["http://zotero.org/users/414388/items/EC4TPXNM"]}]} </w:instrText>
      </w:r>
      <w:r w:rsidR="00060760" w:rsidRPr="00EC184A">
        <w:rPr>
          <w:sz w:val="20"/>
          <w:szCs w:val="20"/>
        </w:rPr>
        <w:fldChar w:fldCharType="separate"/>
      </w:r>
      <w:r w:rsidRPr="00EC184A">
        <w:rPr>
          <w:sz w:val="20"/>
          <w:szCs w:val="20"/>
        </w:rPr>
        <w:t xml:space="preserve">“The German Navy Bill,” </w:t>
      </w:r>
      <w:r w:rsidRPr="00EC184A">
        <w:rPr>
          <w:i/>
          <w:iCs/>
          <w:sz w:val="20"/>
          <w:szCs w:val="20"/>
        </w:rPr>
        <w:t>The Times (London)</w:t>
      </w:r>
      <w:r w:rsidRPr="00EC184A">
        <w:rPr>
          <w:sz w:val="20"/>
          <w:szCs w:val="20"/>
        </w:rPr>
        <w:t>, June 7, 1900.</w:t>
      </w:r>
      <w:r w:rsidR="00060760" w:rsidRPr="00EC184A">
        <w:rPr>
          <w:sz w:val="20"/>
          <w:szCs w:val="20"/>
        </w:rPr>
        <w:fldChar w:fldCharType="end"/>
      </w:r>
    </w:p>
  </w:footnote>
  <w:footnote w:id="109">
    <w:p w:rsidR="00D6333B" w:rsidRPr="002E41C2" w:rsidRDefault="00D6333B" w:rsidP="00771EE1">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{"citationID":"etmPr7pT","citationItems":[{"uri":["http://zotero.org/users/414388/items/EDKHV8V4"]}]} </w:instrText>
      </w:r>
      <w:r w:rsidR="00060760" w:rsidRPr="00EC184A">
        <w:rPr>
          <w:sz w:val="20"/>
          <w:szCs w:val="20"/>
        </w:rPr>
        <w:fldChar w:fldCharType="separate"/>
      </w:r>
      <w:r w:rsidRPr="00EC184A">
        <w:rPr>
          <w:sz w:val="20"/>
          <w:szCs w:val="20"/>
        </w:rPr>
        <w:t>“The German Navy Bill,”</w:t>
      </w:r>
      <w:r w:rsidR="00060760" w:rsidRPr="00EC184A">
        <w:rPr>
          <w:sz w:val="20"/>
          <w:szCs w:val="20"/>
        </w:rPr>
        <w:fldChar w:fldCharType="end"/>
      </w:r>
      <w:r w:rsidRPr="00EC184A">
        <w:rPr>
          <w:sz w:val="20"/>
          <w:szCs w:val="20"/>
        </w:rPr>
        <w:t xml:space="preserve"> </w:t>
      </w:r>
      <w:r w:rsidRPr="00EC184A">
        <w:rPr>
          <w:i/>
          <w:sz w:val="20"/>
          <w:szCs w:val="20"/>
        </w:rPr>
        <w:t>The Times (London)</w:t>
      </w:r>
      <w:r w:rsidRPr="00EC184A">
        <w:rPr>
          <w:sz w:val="20"/>
          <w:szCs w:val="20"/>
        </w:rPr>
        <w:t>, April 27, 1900.</w:t>
      </w:r>
    </w:p>
  </w:footnote>
  <w:footnote w:id="110">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Pr="00EC184A">
        <w:rPr>
          <w:color w:val="000000"/>
          <w:sz w:val="20"/>
          <w:szCs w:val="20"/>
        </w:rPr>
        <w:t>Dunlap, “Elections to the Reichstag (1890-1912),” 1-2.</w:t>
      </w:r>
    </w:p>
  </w:footnote>
  <w:footnote w:id="111">
    <w:p w:rsidR="00D6333B" w:rsidRPr="00EC184A" w:rsidRDefault="00D6333B" w:rsidP="002F54AF">
      <w:pPr>
        <w:pStyle w:val="FootnoteText"/>
        <w:rPr>
          <w:sz w:val="20"/>
          <w:szCs w:val="20"/>
        </w:rPr>
      </w:pPr>
      <w:r w:rsidRPr="00EC184A">
        <w:rPr>
          <w:rStyle w:val="FootnoteReference"/>
          <w:sz w:val="20"/>
          <w:szCs w:val="20"/>
        </w:rPr>
        <w:footnoteRef/>
      </w:r>
      <w:r w:rsidRPr="00EC184A">
        <w:rPr>
          <w:sz w:val="20"/>
          <w:szCs w:val="20"/>
        </w:rPr>
        <w:t xml:space="preserve"> Translated by author. See: </w:t>
      </w:r>
      <w:r w:rsidR="00060760" w:rsidRPr="00EC184A">
        <w:rPr>
          <w:sz w:val="20"/>
          <w:szCs w:val="20"/>
        </w:rPr>
        <w:fldChar w:fldCharType="begin"/>
      </w:r>
      <w:r w:rsidRPr="00EC184A">
        <w:rPr>
          <w:sz w:val="20"/>
          <w:szCs w:val="20"/>
        </w:rPr>
        <w:instrText xml:space="preserve"> ADDIN ZOTERO_ITEM {"citationID":"oToCGS5v","citationItems":[{"locator":"179","uri":["http://zotero.org/users/414388/items/GQQN78ET"]}]} </w:instrText>
      </w:r>
      <w:r w:rsidR="00060760" w:rsidRPr="00EC184A">
        <w:rPr>
          <w:sz w:val="20"/>
          <w:szCs w:val="20"/>
        </w:rPr>
        <w:fldChar w:fldCharType="separate"/>
      </w:r>
      <w:r w:rsidRPr="00EC184A">
        <w:rPr>
          <w:color w:val="000000"/>
          <w:sz w:val="20"/>
          <w:szCs w:val="20"/>
        </w:rPr>
        <w:t xml:space="preserve">Kehr, </w:t>
      </w:r>
      <w:r w:rsidRPr="00EC184A">
        <w:rPr>
          <w:i/>
          <w:iCs/>
          <w:color w:val="000000"/>
          <w:sz w:val="20"/>
          <w:szCs w:val="20"/>
        </w:rPr>
        <w:t>Schlachtflottenbau und Partei-Politik 1894-1901: Versuch eines Querschnitts durch die innenpolitischen, sozialen und ideologischen Voraussetzungen des deutschen Imperialismus</w:t>
      </w:r>
      <w:r w:rsidRPr="00EC184A">
        <w:rPr>
          <w:color w:val="000000"/>
          <w:sz w:val="20"/>
          <w:szCs w:val="20"/>
        </w:rPr>
        <w:t>, 179.</w:t>
      </w:r>
      <w:r w:rsidR="00060760" w:rsidRPr="00EC184A">
        <w:rPr>
          <w:sz w:val="20"/>
          <w:szCs w:val="20"/>
        </w:rPr>
        <w:fldChar w:fldCharType="end"/>
      </w:r>
    </w:p>
  </w:footnote>
  <w:footnote w:id="112">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Pr="00EC184A">
        <w:rPr>
          <w:rFonts w:eastAsia="Times New Roman"/>
          <w:sz w:val="20"/>
          <w:szCs w:val="20"/>
        </w:rPr>
        <w:t>Reichstagsprotokolle, 1898,1900, /Verhandlungen des Deutschen Reichstags/, (8 February 1900), 3962, available at: http://www.reichstagsprotokolle.de/Blatt_k10_bsb00002780_00314.html</w:t>
      </w:r>
      <w:r w:rsidRPr="00EC184A">
        <w:rPr>
          <w:sz w:val="20"/>
          <w:szCs w:val="20"/>
        </w:rPr>
        <w:t>.</w:t>
      </w:r>
    </w:p>
  </w:footnote>
  <w:footnote w:id="113">
    <w:p w:rsidR="00D6333B" w:rsidRDefault="00D6333B">
      <w:pPr>
        <w:pStyle w:val="FootnoteText"/>
      </w:pPr>
      <w:r w:rsidRPr="00EC184A">
        <w:rPr>
          <w:rStyle w:val="FootnoteReference"/>
          <w:sz w:val="20"/>
          <w:szCs w:val="20"/>
        </w:rPr>
        <w:footnoteRef/>
      </w:r>
      <w:r w:rsidRPr="00EC184A">
        <w:rPr>
          <w:sz w:val="20"/>
          <w:szCs w:val="20"/>
        </w:rPr>
        <w:t xml:space="preserve"> </w:t>
      </w:r>
      <w:r>
        <w:rPr>
          <w:sz w:val="20"/>
          <w:szCs w:val="20"/>
        </w:rPr>
        <w:t xml:space="preserve">Translated by author. </w:t>
      </w:r>
      <w:r w:rsidRPr="00EC184A">
        <w:rPr>
          <w:rFonts w:eastAsia="Times New Roman"/>
          <w:sz w:val="20"/>
          <w:szCs w:val="20"/>
        </w:rPr>
        <w:t>Reichstagsprotokolle, 1898,1900, /Verhandlungen des Deutschen Reichstags/, (9 February 1900), 3980, available at: http://www.reichstagsprotokolle</w:t>
      </w:r>
      <w:r w:rsidRPr="00C40E51">
        <w:rPr>
          <w:rFonts w:eastAsia="Times New Roman"/>
          <w:sz w:val="20"/>
          <w:szCs w:val="20"/>
        </w:rPr>
        <w:t>.de/Blatt_k10_bsb00002780_00332.html</w:t>
      </w:r>
      <w:r w:rsidRPr="00C40E51">
        <w:rPr>
          <w:sz w:val="20"/>
          <w:szCs w:val="20"/>
        </w:rPr>
        <w:t>.</w:t>
      </w:r>
    </w:p>
  </w:footnote>
  <w:footnote w:id="114">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{"citationID":"GClPO6xg","citationItems":[{"uri":["http://zotero.org/users/414388/items/BDFFC39H"]}]} </w:instrText>
      </w:r>
      <w:r w:rsidR="00060760" w:rsidRPr="00EC184A">
        <w:rPr>
          <w:sz w:val="20"/>
          <w:szCs w:val="20"/>
        </w:rPr>
        <w:fldChar w:fldCharType="separate"/>
      </w:r>
      <w:r w:rsidRPr="00EC184A">
        <w:rPr>
          <w:color w:val="000000"/>
          <w:sz w:val="20"/>
          <w:szCs w:val="20"/>
        </w:rPr>
        <w:t>“The German Navy Bill,”</w:t>
      </w:r>
      <w:r w:rsidR="00060760" w:rsidRPr="00EC184A">
        <w:rPr>
          <w:sz w:val="20"/>
          <w:szCs w:val="20"/>
        </w:rPr>
        <w:fldChar w:fldCharType="end"/>
      </w:r>
      <w:r w:rsidRPr="00EC184A">
        <w:rPr>
          <w:sz w:val="20"/>
          <w:szCs w:val="20"/>
        </w:rPr>
        <w:t xml:space="preserve"> </w:t>
      </w:r>
      <w:r w:rsidRPr="00EC184A">
        <w:rPr>
          <w:i/>
          <w:sz w:val="20"/>
          <w:szCs w:val="20"/>
        </w:rPr>
        <w:t>The London (Times)</w:t>
      </w:r>
      <w:r w:rsidRPr="00EC184A">
        <w:rPr>
          <w:sz w:val="20"/>
          <w:szCs w:val="20"/>
        </w:rPr>
        <w:t>, April 26, 1900.</w:t>
      </w:r>
    </w:p>
  </w:footnote>
  <w:footnote w:id="115">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{"citationID":"whKQdadB","citationItems":[{"uri":["http://zotero.org/users/414388/items/FTTBMAB7"]}]} </w:instrText>
      </w:r>
      <w:r w:rsidR="00060760" w:rsidRPr="00EC184A">
        <w:rPr>
          <w:sz w:val="20"/>
          <w:szCs w:val="20"/>
        </w:rPr>
        <w:fldChar w:fldCharType="separate"/>
      </w:r>
      <w:r w:rsidRPr="00EC184A">
        <w:rPr>
          <w:color w:val="000000"/>
          <w:sz w:val="20"/>
          <w:szCs w:val="20"/>
        </w:rPr>
        <w:t>“The German Navy Bill,”</w:t>
      </w:r>
      <w:r w:rsidR="00060760" w:rsidRPr="00EC184A">
        <w:rPr>
          <w:sz w:val="20"/>
          <w:szCs w:val="20"/>
        </w:rPr>
        <w:fldChar w:fldCharType="end"/>
      </w:r>
      <w:r w:rsidRPr="00EC184A">
        <w:rPr>
          <w:sz w:val="20"/>
          <w:szCs w:val="20"/>
        </w:rPr>
        <w:t xml:space="preserve"> </w:t>
      </w:r>
      <w:r w:rsidRPr="00EC184A">
        <w:rPr>
          <w:i/>
          <w:sz w:val="20"/>
          <w:szCs w:val="20"/>
        </w:rPr>
        <w:t>The London (Times)</w:t>
      </w:r>
      <w:r w:rsidRPr="00EC184A">
        <w:rPr>
          <w:sz w:val="20"/>
          <w:szCs w:val="20"/>
        </w:rPr>
        <w:t>, May 2, 1900.</w:t>
      </w:r>
    </w:p>
  </w:footnote>
  <w:footnote w:id="116">
    <w:p w:rsidR="00D6333B" w:rsidRPr="004B5C3C"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{"citationID":"fAfLcofl","citationItems":[{"locator":"233","uri":["http://zotero.org/users/414388/items/FT2V6BB5"]}]} </w:instrText>
      </w:r>
      <w:r w:rsidR="00060760" w:rsidRPr="00EC184A">
        <w:rPr>
          <w:sz w:val="20"/>
          <w:szCs w:val="20"/>
        </w:rPr>
        <w:fldChar w:fldCharType="separate"/>
      </w:r>
      <w:r w:rsidRPr="00EC184A">
        <w:rPr>
          <w:color w:val="000000"/>
          <w:sz w:val="20"/>
          <w:szCs w:val="20"/>
        </w:rPr>
        <w:t xml:space="preserve">Berghahn, </w:t>
      </w:r>
      <w:r w:rsidRPr="00EC184A">
        <w:rPr>
          <w:i/>
          <w:iCs/>
          <w:color w:val="000000"/>
          <w:sz w:val="20"/>
          <w:szCs w:val="20"/>
        </w:rPr>
        <w:t>Der Tirpitz-Plan: Genesis und Verfall einer innenpolitischen Krisenstrategie unter Wilhelm II</w:t>
      </w:r>
      <w:r w:rsidRPr="00EC184A">
        <w:rPr>
          <w:color w:val="000000"/>
          <w:sz w:val="20"/>
          <w:szCs w:val="20"/>
        </w:rPr>
        <w:t>, 233.</w:t>
      </w:r>
      <w:r w:rsidR="00060760" w:rsidRPr="00EC184A">
        <w:rPr>
          <w:sz w:val="20"/>
          <w:szCs w:val="20"/>
        </w:rPr>
        <w:fldChar w:fldCharType="end"/>
      </w:r>
    </w:p>
  </w:footnote>
  <w:footnote w:id="117">
    <w:p w:rsidR="00D6333B" w:rsidRPr="00EC184A" w:rsidRDefault="00D6333B" w:rsidP="001B4BC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{"citationID":"dDQlkWu2","citationItems":[{"locator":"288","uri":["http://zotero.org/users/414388/items/AUGFBTW8"]}]} </w:instrText>
      </w:r>
      <w:r w:rsidR="00060760" w:rsidRPr="00EC184A">
        <w:rPr>
          <w:sz w:val="20"/>
          <w:szCs w:val="20"/>
        </w:rPr>
        <w:fldChar w:fldCharType="separate"/>
      </w:r>
      <w:r w:rsidRPr="00EC184A">
        <w:rPr>
          <w:color w:val="000000"/>
          <w:sz w:val="20"/>
          <w:szCs w:val="20"/>
        </w:rPr>
        <w:t xml:space="preserve">Blackbourn, </w:t>
      </w:r>
      <w:r w:rsidRPr="00EC184A">
        <w:rPr>
          <w:i/>
          <w:iCs/>
          <w:color w:val="000000"/>
          <w:sz w:val="20"/>
          <w:szCs w:val="20"/>
        </w:rPr>
        <w:t>History of Germany, 1780-1918</w:t>
      </w:r>
      <w:r w:rsidRPr="00EC184A">
        <w:rPr>
          <w:color w:val="000000"/>
          <w:sz w:val="20"/>
          <w:szCs w:val="20"/>
        </w:rPr>
        <w:t>, 288.</w:t>
      </w:r>
      <w:r w:rsidR="00060760" w:rsidRPr="00EC184A">
        <w:rPr>
          <w:sz w:val="20"/>
          <w:szCs w:val="20"/>
        </w:rPr>
        <w:fldChar w:fldCharType="end"/>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{"citationID":"2ATQTOop","citationItems":[{"locator":"235","uri":["http://zotero.org/users/414388/items/9A8JZBFP"]}]} </w:instrText>
      </w:r>
      <w:r w:rsidR="00060760" w:rsidRPr="00EC184A">
        <w:rPr>
          <w:sz w:val="20"/>
          <w:szCs w:val="20"/>
        </w:rPr>
        <w:fldChar w:fldCharType="separate"/>
      </w:r>
      <w:r w:rsidRPr="00EC184A">
        <w:rPr>
          <w:color w:val="000000"/>
          <w:sz w:val="20"/>
          <w:szCs w:val="20"/>
        </w:rPr>
        <w:t xml:space="preserve">Gordon Alexander Craig, </w:t>
      </w:r>
      <w:r w:rsidRPr="00EC184A">
        <w:rPr>
          <w:i/>
          <w:iCs/>
          <w:color w:val="000000"/>
          <w:sz w:val="20"/>
          <w:szCs w:val="20"/>
        </w:rPr>
        <w:t>The Politics of the Prussian Army 1640-1945</w:t>
      </w:r>
      <w:r w:rsidRPr="00EC184A">
        <w:rPr>
          <w:color w:val="000000"/>
          <w:sz w:val="20"/>
          <w:szCs w:val="20"/>
        </w:rPr>
        <w:t xml:space="preserve"> (Oxford: Clarendon Press, 1955), 235.</w:t>
      </w:r>
      <w:r w:rsidR="00060760" w:rsidRPr="00EC184A">
        <w:rPr>
          <w:sz w:val="20"/>
          <w:szCs w:val="20"/>
        </w:rPr>
        <w:fldChar w:fldCharType="end"/>
      </w:r>
    </w:p>
  </w:footnote>
  <w:footnote w:id="118">
    <w:p w:rsidR="00D6333B" w:rsidRPr="0031182C"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{"citationID":"KBuDWBv6","citationItems":[{"locator":"237","uri":["http://zotero.org/users/414388/items/9A8JZBFP"]}]} </w:instrText>
      </w:r>
      <w:r w:rsidR="00060760" w:rsidRPr="00EC184A">
        <w:rPr>
          <w:sz w:val="20"/>
          <w:szCs w:val="20"/>
        </w:rPr>
        <w:fldChar w:fldCharType="separate"/>
      </w:r>
      <w:r w:rsidRPr="00EC184A">
        <w:rPr>
          <w:noProof/>
          <w:sz w:val="20"/>
          <w:szCs w:val="20"/>
        </w:rPr>
        <w:t>Ibid., 237.</w:t>
      </w:r>
      <w:r w:rsidR="00060760" w:rsidRPr="00EC184A">
        <w:rPr>
          <w:sz w:val="20"/>
          <w:szCs w:val="20"/>
        </w:rPr>
        <w:fldChar w:fldCharType="end"/>
      </w:r>
    </w:p>
  </w:footnote>
  <w:footnote w:id="119">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{"citationID":"QnvtDqfr","citationItems":[{"locator":"251","uri":["http://zotero.org/users/414388/items/9A8JZBFP"]}]} </w:instrText>
      </w:r>
      <w:r w:rsidR="00060760" w:rsidRPr="00EC184A">
        <w:rPr>
          <w:sz w:val="20"/>
          <w:szCs w:val="20"/>
        </w:rPr>
        <w:fldChar w:fldCharType="separate"/>
      </w:r>
      <w:r w:rsidRPr="00EC184A">
        <w:rPr>
          <w:noProof/>
          <w:sz w:val="20"/>
          <w:szCs w:val="20"/>
        </w:rPr>
        <w:t>Ibid., 251.</w:t>
      </w:r>
      <w:r w:rsidR="00060760" w:rsidRPr="00EC184A">
        <w:rPr>
          <w:sz w:val="20"/>
          <w:szCs w:val="20"/>
        </w:rPr>
        <w:fldChar w:fldCharType="end"/>
      </w:r>
    </w:p>
  </w:footnote>
  <w:footnote w:id="120">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{"citationID":"cEiFOA7S","citationItems":[{"locator":"251","uri":["http://zotero.org/users/414388/items/9A8JZBFP"]}]} </w:instrText>
      </w:r>
      <w:r w:rsidR="00060760" w:rsidRPr="00EC184A">
        <w:rPr>
          <w:sz w:val="20"/>
          <w:szCs w:val="20"/>
        </w:rPr>
        <w:fldChar w:fldCharType="separate"/>
      </w:r>
      <w:r w:rsidRPr="00EC184A">
        <w:rPr>
          <w:noProof/>
          <w:sz w:val="20"/>
          <w:szCs w:val="20"/>
        </w:rPr>
        <w:t>Ibid.</w:t>
      </w:r>
      <w:r w:rsidR="00060760" w:rsidRPr="00EC184A">
        <w:rPr>
          <w:sz w:val="20"/>
          <w:szCs w:val="20"/>
        </w:rPr>
        <w:fldChar w:fldCharType="end"/>
      </w:r>
    </w:p>
  </w:footnote>
  <w:footnote w:id="121">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{"citationID":"kTLR6lWd","citationItems":[{"locator":"252","uri":["http://zotero.org/users/414388/items/9A8JZBFP"]}]} </w:instrText>
      </w:r>
      <w:r w:rsidR="00060760" w:rsidRPr="00EC184A">
        <w:rPr>
          <w:sz w:val="20"/>
          <w:szCs w:val="20"/>
        </w:rPr>
        <w:fldChar w:fldCharType="separate"/>
      </w:r>
      <w:r w:rsidRPr="00EC184A">
        <w:rPr>
          <w:noProof/>
          <w:sz w:val="20"/>
          <w:szCs w:val="20"/>
        </w:rPr>
        <w:t>Ibid., 252.</w:t>
      </w:r>
      <w:r w:rsidR="00060760" w:rsidRPr="00EC184A">
        <w:rPr>
          <w:sz w:val="20"/>
          <w:szCs w:val="20"/>
        </w:rPr>
        <w:fldChar w:fldCharType="end"/>
      </w:r>
    </w:p>
  </w:footnote>
  <w:footnote w:id="122">
    <w:p w:rsidR="00D6333B" w:rsidRPr="00E94561"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{"citationID":"bONnMq44","citationItems":[{"uri":["http://zotero.org/users/414388/items/GCWPRDF6"]}]} </w:instrText>
      </w:r>
      <w:r w:rsidR="00060760" w:rsidRPr="00EC184A">
        <w:rPr>
          <w:sz w:val="20"/>
          <w:szCs w:val="20"/>
        </w:rPr>
        <w:fldChar w:fldCharType="separate"/>
      </w:r>
      <w:r w:rsidRPr="00EC184A">
        <w:rPr>
          <w:color w:val="000000"/>
          <w:sz w:val="20"/>
          <w:szCs w:val="20"/>
        </w:rPr>
        <w:t xml:space="preserve">“The German Army Bill,” </w:t>
      </w:r>
      <w:r w:rsidRPr="00EC184A">
        <w:rPr>
          <w:i/>
          <w:iCs/>
          <w:color w:val="000000"/>
          <w:sz w:val="20"/>
          <w:szCs w:val="20"/>
        </w:rPr>
        <w:t>The Times (London)</w:t>
      </w:r>
      <w:r w:rsidRPr="00EC184A">
        <w:rPr>
          <w:color w:val="000000"/>
          <w:sz w:val="20"/>
          <w:szCs w:val="20"/>
        </w:rPr>
        <w:t>, February 27, 1899.</w:t>
      </w:r>
      <w:r w:rsidR="00060760" w:rsidRPr="00EC184A">
        <w:rPr>
          <w:sz w:val="20"/>
          <w:szCs w:val="20"/>
        </w:rPr>
        <w:fldChar w:fldCharType="end"/>
      </w:r>
    </w:p>
  </w:footnote>
  <w:footnote w:id="123">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{"citationID":"rxhEFvUT","citationItems":[{"uri":["http://zotero.org/users/414388/items/8FZ9GISX"]}]} </w:instrText>
      </w:r>
      <w:r w:rsidR="00060760" w:rsidRPr="00EC184A">
        <w:rPr>
          <w:sz w:val="20"/>
          <w:szCs w:val="20"/>
        </w:rPr>
        <w:fldChar w:fldCharType="separate"/>
      </w:r>
      <w:r w:rsidRPr="00EC184A">
        <w:rPr>
          <w:color w:val="000000"/>
          <w:sz w:val="20"/>
          <w:szCs w:val="20"/>
        </w:rPr>
        <w:t xml:space="preserve">“The German Army Bill,” </w:t>
      </w:r>
      <w:r w:rsidRPr="00EC184A">
        <w:rPr>
          <w:i/>
          <w:iCs/>
          <w:color w:val="000000"/>
          <w:sz w:val="20"/>
          <w:szCs w:val="20"/>
        </w:rPr>
        <w:t>The Times (London)</w:t>
      </w:r>
      <w:r w:rsidRPr="00EC184A">
        <w:rPr>
          <w:color w:val="000000"/>
          <w:sz w:val="20"/>
          <w:szCs w:val="20"/>
        </w:rPr>
        <w:t>, March 15, 1899.</w:t>
      </w:r>
      <w:r w:rsidR="00060760" w:rsidRPr="00EC184A">
        <w:rPr>
          <w:sz w:val="20"/>
          <w:szCs w:val="20"/>
        </w:rPr>
        <w:fldChar w:fldCharType="end"/>
      </w:r>
    </w:p>
  </w:footnote>
  <w:footnote w:id="124">
    <w:p w:rsidR="00D6333B" w:rsidRPr="00EC184A"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{"citationID":"UVnLkOye","citationItems":[{"locator":"229-230","uri":["http://zotero.org/users/414388/items/WSGFTFI2"]}]} </w:instrText>
      </w:r>
      <w:r w:rsidR="00060760" w:rsidRPr="00EC184A">
        <w:rPr>
          <w:sz w:val="20"/>
          <w:szCs w:val="20"/>
        </w:rPr>
        <w:fldChar w:fldCharType="separate"/>
      </w:r>
      <w:r w:rsidRPr="00EC184A">
        <w:rPr>
          <w:color w:val="000000"/>
          <w:sz w:val="20"/>
          <w:szCs w:val="20"/>
        </w:rPr>
        <w:t xml:space="preserve">Wilhelm, </w:t>
      </w:r>
      <w:r w:rsidRPr="00EC184A">
        <w:rPr>
          <w:i/>
          <w:iCs/>
          <w:color w:val="000000"/>
          <w:sz w:val="20"/>
          <w:szCs w:val="20"/>
        </w:rPr>
        <w:t>The Kaiser’s Memoirs</w:t>
      </w:r>
      <w:r w:rsidRPr="00EC184A">
        <w:rPr>
          <w:color w:val="000000"/>
          <w:sz w:val="20"/>
          <w:szCs w:val="20"/>
        </w:rPr>
        <w:t>, 229-230.</w:t>
      </w:r>
      <w:r w:rsidR="00060760" w:rsidRPr="00EC184A">
        <w:rPr>
          <w:sz w:val="20"/>
          <w:szCs w:val="20"/>
        </w:rPr>
        <w:fldChar w:fldCharType="end"/>
      </w:r>
    </w:p>
  </w:footnote>
  <w:footnote w:id="125">
    <w:p w:rsidR="00D6333B" w:rsidRPr="00EC184A"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Translated by author. See: </w:t>
      </w:r>
      <w:r w:rsidR="00060760" w:rsidRPr="00EC184A">
        <w:rPr>
          <w:sz w:val="20"/>
          <w:szCs w:val="20"/>
        </w:rPr>
        <w:fldChar w:fldCharType="begin"/>
      </w:r>
      <w:r w:rsidRPr="00EC184A">
        <w:rPr>
          <w:sz w:val="20"/>
          <w:szCs w:val="20"/>
        </w:rPr>
        <w:instrText xml:space="preserve"> ADDIN ZOTERO_ITEM {"citationID":"rVJSGtTZ","citationItems":[{"locator":"201","uri":["http://zotero.org/users/414388/items/IQVTA4QC"]}]} </w:instrText>
      </w:r>
      <w:r w:rsidR="00060760" w:rsidRPr="00EC184A">
        <w:rPr>
          <w:sz w:val="20"/>
          <w:szCs w:val="20"/>
        </w:rPr>
        <w:fldChar w:fldCharType="separate"/>
      </w:r>
      <w:r w:rsidRPr="00EC184A">
        <w:rPr>
          <w:color w:val="000000"/>
          <w:sz w:val="20"/>
          <w:szCs w:val="20"/>
        </w:rPr>
        <w:t xml:space="preserve">Volker R. Berghahn, eds., “Auszug as der Denkschrift des Fregattenkapitäns v. Heeringen vom 24. September 1900 über Aufgaben und Arbeitsmethoden des Nachrichtenbureaus,” in </w:t>
      </w:r>
      <w:r w:rsidRPr="00EC184A">
        <w:rPr>
          <w:i/>
          <w:iCs/>
          <w:color w:val="000000"/>
          <w:sz w:val="20"/>
          <w:szCs w:val="20"/>
        </w:rPr>
        <w:t>Rüstung im Zeichen der wilhelmischen Weltpolitik: Grundlegende Dokumente 1890-1914</w:t>
      </w:r>
      <w:r w:rsidRPr="00EC184A">
        <w:rPr>
          <w:color w:val="000000"/>
          <w:sz w:val="20"/>
          <w:szCs w:val="20"/>
        </w:rPr>
        <w:t xml:space="preserve"> (Düsseldorf: Droste Verlag GmbH, 1988), 201.</w:t>
      </w:r>
      <w:r w:rsidR="00060760" w:rsidRPr="00EC184A">
        <w:rPr>
          <w:sz w:val="20"/>
          <w:szCs w:val="20"/>
        </w:rPr>
        <w:fldChar w:fldCharType="end"/>
      </w:r>
    </w:p>
  </w:footnote>
  <w:footnote w:id="126">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{"citationID":"19g41fnf7r","citationItems":[{"uri":["http://zotero.org/users/414388/items/N7Q6AN3T"]}]} </w:instrText>
      </w:r>
      <w:r w:rsidR="00060760" w:rsidRPr="00EC184A">
        <w:rPr>
          <w:sz w:val="20"/>
          <w:szCs w:val="20"/>
        </w:rPr>
        <w:fldChar w:fldCharType="separate"/>
      </w:r>
      <w:r w:rsidRPr="00EC184A">
        <w:rPr>
          <w:sz w:val="20"/>
          <w:szCs w:val="20"/>
        </w:rPr>
        <w:t xml:space="preserve">Das Reichsmarineamt, </w:t>
      </w:r>
      <w:r w:rsidRPr="00EC184A">
        <w:rPr>
          <w:i/>
          <w:iCs/>
          <w:sz w:val="20"/>
          <w:szCs w:val="20"/>
        </w:rPr>
        <w:t>Die Seeinteressen des Deutschen Reichs.</w:t>
      </w:r>
      <w:r w:rsidR="00060760" w:rsidRPr="00EC184A">
        <w:rPr>
          <w:sz w:val="20"/>
          <w:szCs w:val="20"/>
        </w:rPr>
        <w:fldChar w:fldCharType="end"/>
      </w:r>
    </w:p>
  </w:footnote>
  <w:footnote w:id="127">
    <w:p w:rsidR="00D6333B" w:rsidRPr="00C20BCE"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{"citationID":"85yHrJ5l","citationItems":[{"locator":"202","uri":["http://zotero.org/users/414388/items/IQVTA4QC"]}]} </w:instrText>
      </w:r>
      <w:r w:rsidR="00060760" w:rsidRPr="00EC184A">
        <w:rPr>
          <w:sz w:val="20"/>
          <w:szCs w:val="20"/>
        </w:rPr>
        <w:fldChar w:fldCharType="separate"/>
      </w:r>
      <w:r w:rsidRPr="00EC184A">
        <w:rPr>
          <w:sz w:val="20"/>
          <w:szCs w:val="20"/>
        </w:rPr>
        <w:t>Volker R. Berghahn, “Auszug as der Denkschrift des Fregattenkapitäns v. Heeringen vom 24. September 1900 über Aufgaben und Arbeitsmethoden des Nachrichtenbureaus,” 202.</w:t>
      </w:r>
      <w:r w:rsidR="00060760" w:rsidRPr="00EC184A">
        <w:rPr>
          <w:sz w:val="20"/>
          <w:szCs w:val="20"/>
        </w:rPr>
        <w:fldChar w:fldCharType="end"/>
      </w:r>
    </w:p>
  </w:footnote>
  <w:footnote w:id="128">
    <w:p w:rsidR="00D6333B" w:rsidRPr="00EC184A"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Translated by author. See: </w:t>
      </w:r>
      <w:r w:rsidR="00060760" w:rsidRPr="00EC184A">
        <w:rPr>
          <w:sz w:val="20"/>
          <w:szCs w:val="20"/>
        </w:rPr>
        <w:fldChar w:fldCharType="begin"/>
      </w:r>
      <w:r w:rsidRPr="00EC184A">
        <w:rPr>
          <w:sz w:val="20"/>
          <w:szCs w:val="20"/>
        </w:rPr>
        <w:instrText xml:space="preserve"> ADDIN ZOTERO_ITEM {"citationID":"4TmDATMT","citationItems":[{"locator":"III, VI","uri":["http://zotero.org/users/414388/items/XZN5HV62"]}]} </w:instrText>
      </w:r>
      <w:r w:rsidR="00060760" w:rsidRPr="00EC184A">
        <w:rPr>
          <w:sz w:val="20"/>
          <w:szCs w:val="20"/>
        </w:rPr>
        <w:fldChar w:fldCharType="separate"/>
      </w:r>
      <w:r w:rsidRPr="00EC184A">
        <w:rPr>
          <w:color w:val="000000"/>
          <w:sz w:val="20"/>
          <w:szCs w:val="20"/>
        </w:rPr>
        <w:t xml:space="preserve">Nauticus, </w:t>
      </w:r>
      <w:r w:rsidRPr="00EC184A">
        <w:rPr>
          <w:i/>
          <w:iCs/>
          <w:color w:val="000000"/>
          <w:sz w:val="20"/>
          <w:szCs w:val="20"/>
        </w:rPr>
        <w:t>Beiträge zur Flotten Novelle</w:t>
      </w:r>
      <w:r w:rsidRPr="00EC184A">
        <w:rPr>
          <w:color w:val="000000"/>
          <w:sz w:val="20"/>
          <w:szCs w:val="20"/>
        </w:rPr>
        <w:t>, III, VI.</w:t>
      </w:r>
      <w:r w:rsidR="00060760" w:rsidRPr="00EC184A">
        <w:rPr>
          <w:sz w:val="20"/>
          <w:szCs w:val="20"/>
        </w:rPr>
        <w:fldChar w:fldCharType="end"/>
      </w:r>
    </w:p>
  </w:footnote>
  <w:footnote w:id="129">
    <w:p w:rsidR="00D6333B" w:rsidRPr="00C20BCE"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{"citationID":"xtICEffx","citationItems":[{"locator":"147","uri":["http://zotero.org/users/414388/items/5DM4BHTI"]}]} </w:instrText>
      </w:r>
      <w:r w:rsidR="00060760" w:rsidRPr="00EC184A">
        <w:rPr>
          <w:sz w:val="20"/>
          <w:szCs w:val="20"/>
        </w:rPr>
        <w:fldChar w:fldCharType="separate"/>
      </w:r>
      <w:r w:rsidRPr="00EC184A">
        <w:rPr>
          <w:color w:val="000000"/>
          <w:sz w:val="20"/>
          <w:szCs w:val="20"/>
        </w:rPr>
        <w:t xml:space="preserve">Jürg Meyer, </w:t>
      </w:r>
      <w:r w:rsidRPr="00EC184A">
        <w:rPr>
          <w:i/>
          <w:iCs/>
          <w:color w:val="000000"/>
          <w:sz w:val="20"/>
          <w:szCs w:val="20"/>
        </w:rPr>
        <w:t>Die Propaganda Der Deutschen Flottenbewegung 1897-1900</w:t>
      </w:r>
      <w:r w:rsidRPr="00EC184A">
        <w:rPr>
          <w:color w:val="000000"/>
          <w:sz w:val="20"/>
          <w:szCs w:val="20"/>
        </w:rPr>
        <w:t xml:space="preserve"> (Bern: F. Pochon-Jent, 1967), 147.</w:t>
      </w:r>
      <w:r w:rsidR="00060760" w:rsidRPr="00EC184A">
        <w:rPr>
          <w:sz w:val="20"/>
          <w:szCs w:val="20"/>
        </w:rPr>
        <w:fldChar w:fldCharType="end"/>
      </w:r>
    </w:p>
  </w:footnote>
  <w:footnote w:id="130">
    <w:p w:rsidR="00D6333B" w:rsidRPr="00EC184A"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{"citationID":"sSZh1Avr","citationItems":[{"locator":"148-149","uri":["http://zotero.org/users/414388/items/5DM4BHTI"]}]} </w:instrText>
      </w:r>
      <w:r w:rsidR="00060760" w:rsidRPr="00EC184A">
        <w:rPr>
          <w:sz w:val="20"/>
          <w:szCs w:val="20"/>
        </w:rPr>
        <w:fldChar w:fldCharType="separate"/>
      </w:r>
      <w:r w:rsidRPr="00EC184A">
        <w:rPr>
          <w:noProof/>
          <w:sz w:val="20"/>
          <w:szCs w:val="20"/>
        </w:rPr>
        <w:t>Ibid., 148-149.</w:t>
      </w:r>
      <w:r w:rsidR="00060760" w:rsidRPr="00EC184A">
        <w:rPr>
          <w:sz w:val="20"/>
          <w:szCs w:val="20"/>
        </w:rPr>
        <w:fldChar w:fldCharType="end"/>
      </w:r>
    </w:p>
  </w:footnote>
  <w:footnote w:id="131">
    <w:p w:rsidR="00D6333B" w:rsidRPr="00EC184A"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{"citationID":"ileHqyAK","citationItems":[{"locator":"95","uri":["http://zotero.org/users/414388/items/F8RG8XIN"]}]} </w:instrText>
      </w:r>
      <w:r w:rsidR="00060760" w:rsidRPr="00EC184A">
        <w:rPr>
          <w:sz w:val="20"/>
          <w:szCs w:val="20"/>
        </w:rPr>
        <w:fldChar w:fldCharType="separate"/>
      </w:r>
      <w:r w:rsidRPr="00EC184A">
        <w:rPr>
          <w:color w:val="000000"/>
          <w:sz w:val="20"/>
          <w:szCs w:val="20"/>
        </w:rPr>
        <w:t xml:space="preserve">Rüger, </w:t>
      </w:r>
      <w:r w:rsidRPr="00EC184A">
        <w:rPr>
          <w:i/>
          <w:iCs/>
          <w:color w:val="000000"/>
          <w:sz w:val="20"/>
          <w:szCs w:val="20"/>
        </w:rPr>
        <w:t>The Great Naval Game</w:t>
      </w:r>
      <w:r w:rsidRPr="00EC184A">
        <w:rPr>
          <w:color w:val="000000"/>
          <w:sz w:val="20"/>
          <w:szCs w:val="20"/>
        </w:rPr>
        <w:t>, 95.</w:t>
      </w:r>
      <w:r w:rsidR="00060760" w:rsidRPr="00EC184A">
        <w:rPr>
          <w:sz w:val="20"/>
          <w:szCs w:val="20"/>
        </w:rPr>
        <w:fldChar w:fldCharType="end"/>
      </w:r>
    </w:p>
  </w:footnote>
  <w:footnote w:id="132">
    <w:p w:rsidR="00D6333B" w:rsidRPr="00EC184A"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{"citationID":"ccxkoEC9","citationItems":[{"locator":"326","uri":["http://zotero.org/users/414388/items/AUGFBTW8"]}]} </w:instrText>
      </w:r>
      <w:r w:rsidR="00060760" w:rsidRPr="00EC184A">
        <w:rPr>
          <w:sz w:val="20"/>
          <w:szCs w:val="20"/>
        </w:rPr>
        <w:fldChar w:fldCharType="separate"/>
      </w:r>
      <w:r w:rsidRPr="00EC184A">
        <w:rPr>
          <w:color w:val="000000"/>
          <w:sz w:val="20"/>
          <w:szCs w:val="20"/>
        </w:rPr>
        <w:t xml:space="preserve">Blackbourn, </w:t>
      </w:r>
      <w:r w:rsidRPr="00EC184A">
        <w:rPr>
          <w:i/>
          <w:iCs/>
          <w:color w:val="000000"/>
          <w:sz w:val="20"/>
          <w:szCs w:val="20"/>
        </w:rPr>
        <w:t>History of Germany, 1780-1918</w:t>
      </w:r>
      <w:r w:rsidRPr="00EC184A">
        <w:rPr>
          <w:color w:val="000000"/>
          <w:sz w:val="20"/>
          <w:szCs w:val="20"/>
        </w:rPr>
        <w:t>, 326.</w:t>
      </w:r>
      <w:r w:rsidR="00060760" w:rsidRPr="00EC184A">
        <w:rPr>
          <w:sz w:val="20"/>
          <w:szCs w:val="20"/>
        </w:rPr>
        <w:fldChar w:fldCharType="end"/>
      </w:r>
    </w:p>
  </w:footnote>
  <w:footnote w:id="133">
    <w:p w:rsidR="00D6333B" w:rsidRPr="00C20BCE"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{"citationID":"gN1xnopI","citationItems":[{"locator":"97-98, 101","uri":["http://zotero.org/users/414388/items/GQQN78ET"]}]} </w:instrText>
      </w:r>
      <w:r w:rsidR="00060760" w:rsidRPr="00EC184A">
        <w:rPr>
          <w:sz w:val="20"/>
          <w:szCs w:val="20"/>
        </w:rPr>
        <w:fldChar w:fldCharType="separate"/>
      </w:r>
      <w:r w:rsidRPr="00EC184A">
        <w:rPr>
          <w:color w:val="000000"/>
          <w:sz w:val="20"/>
          <w:szCs w:val="20"/>
        </w:rPr>
        <w:t xml:space="preserve">Kehr, </w:t>
      </w:r>
      <w:r w:rsidRPr="00EC184A">
        <w:rPr>
          <w:i/>
          <w:iCs/>
          <w:color w:val="000000"/>
          <w:sz w:val="20"/>
          <w:szCs w:val="20"/>
        </w:rPr>
        <w:t>Schlachtflottenbau und Partei-Politik 1894-1901: Versuch eines Querschnitts durch die innenpolitischen, sozialen und ideologischen Voraussetzungen des deutschen Imperialismus</w:t>
      </w:r>
      <w:r w:rsidRPr="00EC184A">
        <w:rPr>
          <w:color w:val="000000"/>
          <w:sz w:val="20"/>
          <w:szCs w:val="20"/>
        </w:rPr>
        <w:t>, 97-98, 101.</w:t>
      </w:r>
      <w:r w:rsidR="00060760" w:rsidRPr="00EC184A">
        <w:rPr>
          <w:sz w:val="20"/>
          <w:szCs w:val="20"/>
        </w:rPr>
        <w:fldChar w:fldCharType="end"/>
      </w:r>
    </w:p>
  </w:footnote>
  <w:footnote w:id="134">
    <w:p w:rsidR="00D6333B" w:rsidRPr="00EC184A"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{"citationID":"BwIk3Dck","citationItems":[{"locator":"324","uri":["http://zotero.org/users/414388/items/AUGFBTW8"]}]} </w:instrText>
      </w:r>
      <w:r w:rsidR="00060760" w:rsidRPr="00EC184A">
        <w:rPr>
          <w:sz w:val="20"/>
          <w:szCs w:val="20"/>
        </w:rPr>
        <w:fldChar w:fldCharType="separate"/>
      </w:r>
      <w:r w:rsidRPr="00EC184A">
        <w:rPr>
          <w:color w:val="000000"/>
          <w:sz w:val="20"/>
          <w:szCs w:val="20"/>
        </w:rPr>
        <w:t xml:space="preserve">Blackbourn, </w:t>
      </w:r>
      <w:r w:rsidRPr="00EC184A">
        <w:rPr>
          <w:i/>
          <w:iCs/>
          <w:color w:val="000000"/>
          <w:sz w:val="20"/>
          <w:szCs w:val="20"/>
        </w:rPr>
        <w:t>History of Germany, 1780-1918</w:t>
      </w:r>
      <w:r w:rsidRPr="00EC184A">
        <w:rPr>
          <w:color w:val="000000"/>
          <w:sz w:val="20"/>
          <w:szCs w:val="20"/>
        </w:rPr>
        <w:t>, 324.</w:t>
      </w:r>
      <w:r w:rsidR="00060760" w:rsidRPr="00EC184A">
        <w:rPr>
          <w:sz w:val="20"/>
          <w:szCs w:val="20"/>
        </w:rPr>
        <w:fldChar w:fldCharType="end"/>
      </w:r>
    </w:p>
  </w:footnote>
  <w:footnote w:id="135">
    <w:p w:rsidR="00D6333B" w:rsidRPr="00EC184A" w:rsidRDefault="00D6333B" w:rsidP="002A38A8">
      <w:pPr>
        <w:pStyle w:val="FootnoteText"/>
        <w:rPr>
          <w:sz w:val="20"/>
          <w:szCs w:val="20"/>
        </w:rPr>
      </w:pPr>
      <w:r w:rsidRPr="00EC184A">
        <w:rPr>
          <w:rStyle w:val="FootnoteReference"/>
          <w:sz w:val="20"/>
          <w:szCs w:val="20"/>
        </w:rPr>
        <w:footnoteRef/>
      </w:r>
      <w:r w:rsidRPr="00EC184A">
        <w:rPr>
          <w:sz w:val="20"/>
          <w:szCs w:val="20"/>
        </w:rPr>
        <w:t xml:space="preserve"> For a more detailed explanation of “populist pressure groups” and their limited effectiveness, see </w:t>
      </w:r>
      <w:r w:rsidR="00060760" w:rsidRPr="00EC184A">
        <w:rPr>
          <w:sz w:val="20"/>
          <w:szCs w:val="20"/>
        </w:rPr>
        <w:fldChar w:fldCharType="begin"/>
      </w:r>
      <w:r w:rsidRPr="00EC184A">
        <w:rPr>
          <w:sz w:val="20"/>
          <w:szCs w:val="20"/>
        </w:rPr>
        <w:instrText xml:space="preserve"> ADDIN ZOTERO_ITEM {"citationID":"f4yO0wNM","citationItems":[{"locator":"97-98","uri":["http://zotero.org/users/414388/items/F8RG8XIN"]}]} </w:instrText>
      </w:r>
      <w:r w:rsidR="00060760" w:rsidRPr="00EC184A">
        <w:rPr>
          <w:sz w:val="20"/>
          <w:szCs w:val="20"/>
        </w:rPr>
        <w:fldChar w:fldCharType="separate"/>
      </w:r>
      <w:r w:rsidRPr="00EC184A">
        <w:rPr>
          <w:color w:val="000000"/>
          <w:sz w:val="20"/>
          <w:szCs w:val="20"/>
        </w:rPr>
        <w:t xml:space="preserve">Rüger, </w:t>
      </w:r>
      <w:r w:rsidRPr="00EC184A">
        <w:rPr>
          <w:i/>
          <w:iCs/>
          <w:color w:val="000000"/>
          <w:sz w:val="20"/>
          <w:szCs w:val="20"/>
        </w:rPr>
        <w:t>The Great Naval Game</w:t>
      </w:r>
      <w:r w:rsidRPr="00EC184A">
        <w:rPr>
          <w:color w:val="000000"/>
          <w:sz w:val="20"/>
          <w:szCs w:val="20"/>
        </w:rPr>
        <w:t>, 97-98.</w:t>
      </w:r>
      <w:r w:rsidR="00060760" w:rsidRPr="00EC184A">
        <w:rPr>
          <w:sz w:val="20"/>
          <w:szCs w:val="20"/>
        </w:rPr>
        <w:fldChar w:fldCharType="end"/>
      </w:r>
      <w:r w:rsidRPr="00EC184A">
        <w:rPr>
          <w:sz w:val="20"/>
          <w:szCs w:val="20"/>
        </w:rPr>
        <w:t xml:space="preserve"> and </w:t>
      </w:r>
      <w:r w:rsidR="00060760" w:rsidRPr="00EC184A">
        <w:rPr>
          <w:sz w:val="20"/>
          <w:szCs w:val="20"/>
        </w:rPr>
        <w:fldChar w:fldCharType="begin"/>
      </w:r>
      <w:r w:rsidRPr="00EC184A">
        <w:rPr>
          <w:sz w:val="20"/>
          <w:szCs w:val="20"/>
        </w:rPr>
        <w:instrText xml:space="preserve"> ADDIN ZOTERO_ITEM {"citationID":"bvwrriPt","citationItems":[{"locator":"325-327","uri":["http://zotero.org/users/414388/items/AUGFBTW8"]}]} </w:instrText>
      </w:r>
      <w:r w:rsidR="00060760" w:rsidRPr="00EC184A">
        <w:rPr>
          <w:sz w:val="20"/>
          <w:szCs w:val="20"/>
        </w:rPr>
        <w:fldChar w:fldCharType="separate"/>
      </w:r>
      <w:r w:rsidRPr="00EC184A">
        <w:rPr>
          <w:color w:val="000000"/>
          <w:sz w:val="20"/>
          <w:szCs w:val="20"/>
        </w:rPr>
        <w:t xml:space="preserve">Blackbourn, </w:t>
      </w:r>
      <w:r w:rsidRPr="00EC184A">
        <w:rPr>
          <w:i/>
          <w:iCs/>
          <w:color w:val="000000"/>
          <w:sz w:val="20"/>
          <w:szCs w:val="20"/>
        </w:rPr>
        <w:t>History of Germany, 1780-1918</w:t>
      </w:r>
      <w:r w:rsidRPr="00EC184A">
        <w:rPr>
          <w:color w:val="000000"/>
          <w:sz w:val="20"/>
          <w:szCs w:val="20"/>
        </w:rPr>
        <w:t>, 325-327.</w:t>
      </w:r>
      <w:r w:rsidR="00060760" w:rsidRPr="00EC184A">
        <w:rPr>
          <w:sz w:val="20"/>
          <w:szCs w:val="20"/>
        </w:rPr>
        <w:fldChar w:fldCharType="end"/>
      </w:r>
      <w:r w:rsidRPr="00EC184A">
        <w:rPr>
          <w:sz w:val="20"/>
          <w:szCs w:val="20"/>
        </w:rPr>
        <w:t xml:space="preserve"> </w:t>
      </w:r>
    </w:p>
  </w:footnote>
  <w:footnote w:id="136">
    <w:p w:rsidR="00D6333B" w:rsidRPr="00275289" w:rsidRDefault="00D6333B">
      <w:pPr>
        <w:pStyle w:val="FootnoteText"/>
        <w:rPr>
          <w:sz w:val="20"/>
          <w:szCs w:val="20"/>
        </w:rPr>
      </w:pPr>
      <w:r w:rsidRPr="00EC184A">
        <w:rPr>
          <w:rStyle w:val="FootnoteReference"/>
          <w:sz w:val="20"/>
          <w:szCs w:val="20"/>
        </w:rPr>
        <w:footnoteRef/>
      </w:r>
      <w:r w:rsidRPr="00EC184A">
        <w:rPr>
          <w:sz w:val="20"/>
          <w:szCs w:val="20"/>
        </w:rPr>
        <w:t xml:space="preserve"> </w:t>
      </w:r>
      <w:r>
        <w:rPr>
          <w:sz w:val="20"/>
          <w:szCs w:val="20"/>
        </w:rPr>
        <w:t>T</w:t>
      </w:r>
      <w:r w:rsidRPr="00EC184A">
        <w:rPr>
          <w:sz w:val="20"/>
          <w:szCs w:val="20"/>
        </w:rPr>
        <w:t xml:space="preserve">ranslated by author. For detailed internal writing on the </w:t>
      </w:r>
      <w:r w:rsidRPr="00EC184A">
        <w:rPr>
          <w:i/>
          <w:sz w:val="20"/>
          <w:szCs w:val="20"/>
        </w:rPr>
        <w:t>Nachrichtenbüro</w:t>
      </w:r>
      <w:r w:rsidRPr="00EC184A">
        <w:rPr>
          <w:sz w:val="20"/>
          <w:szCs w:val="20"/>
        </w:rPr>
        <w:t xml:space="preserve">, see: </w:t>
      </w:r>
      <w:r w:rsidR="00060760" w:rsidRPr="00EC184A">
        <w:rPr>
          <w:sz w:val="20"/>
          <w:szCs w:val="20"/>
        </w:rPr>
        <w:fldChar w:fldCharType="begin"/>
      </w:r>
      <w:r w:rsidRPr="00EC184A">
        <w:rPr>
          <w:sz w:val="20"/>
          <w:szCs w:val="20"/>
        </w:rPr>
        <w:instrText xml:space="preserve"> ADDIN ZOTERO_ITEM {"citationID":"ScfPUJPN","citationItems":[{"locator":"201-211","uri":["http://zotero.org/users/414388/items/IQVTA4QC"]}]} </w:instrText>
      </w:r>
      <w:r w:rsidR="00060760" w:rsidRPr="00EC184A">
        <w:rPr>
          <w:sz w:val="20"/>
          <w:szCs w:val="20"/>
        </w:rPr>
        <w:fldChar w:fldCharType="separate"/>
      </w:r>
      <w:r w:rsidRPr="00EC184A">
        <w:rPr>
          <w:color w:val="000000"/>
          <w:sz w:val="20"/>
          <w:szCs w:val="20"/>
        </w:rPr>
        <w:t>Volker R. Berghahn, “Auszug as der Denkschrift des Fregattenkapitäns v. Heeringen vom 24. September 1900 über Aufgaben und Arbeitsmethoden des Nachrichtenbureaus,” 201-211.</w:t>
      </w:r>
      <w:r w:rsidR="00060760" w:rsidRPr="00EC184A">
        <w:rPr>
          <w:sz w:val="20"/>
          <w:szCs w:val="20"/>
        </w:rPr>
        <w:fldChar w:fldCharType="end"/>
      </w:r>
    </w:p>
  </w:footnote>
  <w:footnote w:id="137">
    <w:p w:rsidR="00D6333B" w:rsidRPr="00EC184A" w:rsidRDefault="00D6333B" w:rsidP="00936156">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{"citationID":"QWPhPlqA","citationItems":[{"locator":"477","uri":["http://zotero.org/users/414388/items/HP3XRFM9"]}]} </w:instrText>
      </w:r>
      <w:r w:rsidR="00060760" w:rsidRPr="00EC184A">
        <w:rPr>
          <w:sz w:val="20"/>
          <w:szCs w:val="20"/>
        </w:rPr>
        <w:fldChar w:fldCharType="separate"/>
      </w:r>
      <w:r w:rsidRPr="00EC184A">
        <w:rPr>
          <w:color w:val="000000"/>
          <w:sz w:val="20"/>
          <w:szCs w:val="20"/>
        </w:rPr>
        <w:t xml:space="preserve">Bülow, </w:t>
      </w:r>
      <w:r w:rsidRPr="00EC184A">
        <w:rPr>
          <w:i/>
          <w:iCs/>
          <w:color w:val="000000"/>
          <w:sz w:val="20"/>
          <w:szCs w:val="20"/>
        </w:rPr>
        <w:t>Memoirs of Prince Von Bülow</w:t>
      </w:r>
      <w:r w:rsidRPr="00EC184A">
        <w:rPr>
          <w:color w:val="000000"/>
          <w:sz w:val="20"/>
          <w:szCs w:val="20"/>
        </w:rPr>
        <w:t>, 477.</w:t>
      </w:r>
      <w:r w:rsidR="00060760" w:rsidRPr="00EC184A">
        <w:rPr>
          <w:sz w:val="20"/>
          <w:szCs w:val="20"/>
        </w:rPr>
        <w:fldChar w:fldCharType="end"/>
      </w:r>
    </w:p>
  </w:footnote>
  <w:footnote w:id="138">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{"citationID":"7Ko9ZTcs","citationItems":[{"locator":"480-481","uri":["http://zotero.org/users/414388/items/HP3XRFM9"]}]} </w:instrText>
      </w:r>
      <w:r w:rsidR="00060760" w:rsidRPr="00EC184A">
        <w:rPr>
          <w:sz w:val="20"/>
          <w:szCs w:val="20"/>
        </w:rPr>
        <w:fldChar w:fldCharType="separate"/>
      </w:r>
      <w:r w:rsidRPr="00EC184A">
        <w:rPr>
          <w:noProof/>
          <w:sz w:val="20"/>
          <w:szCs w:val="20"/>
        </w:rPr>
        <w:t>Ibid., 480-481.</w:t>
      </w:r>
      <w:r w:rsidR="00060760" w:rsidRPr="00EC184A">
        <w:rPr>
          <w:sz w:val="20"/>
          <w:szCs w:val="20"/>
        </w:rPr>
        <w:fldChar w:fldCharType="end"/>
      </w:r>
    </w:p>
  </w:footnote>
  <w:footnote w:id="139">
    <w:p w:rsidR="00D6333B" w:rsidRPr="00202997"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{"citationID":"3NBCxMsh","citationItems":[{"locator":"35","uri":["http://zotero.org/users/414388/items/IZXI3CQ2"]}]} </w:instrText>
      </w:r>
      <w:r w:rsidR="00060760" w:rsidRPr="00EC184A">
        <w:rPr>
          <w:sz w:val="20"/>
          <w:szCs w:val="20"/>
        </w:rPr>
        <w:fldChar w:fldCharType="separate"/>
      </w:r>
      <w:r w:rsidRPr="00EC184A">
        <w:rPr>
          <w:color w:val="000000"/>
          <w:sz w:val="20"/>
          <w:szCs w:val="20"/>
        </w:rPr>
        <w:t>Kennedy, “Tirpitz, England and the Second Navy Law of 1900: A Strategical Critique,” 35.</w:t>
      </w:r>
      <w:r w:rsidR="00060760" w:rsidRPr="00EC184A">
        <w:rPr>
          <w:sz w:val="20"/>
          <w:szCs w:val="20"/>
        </w:rPr>
        <w:fldChar w:fldCharType="end"/>
      </w:r>
    </w:p>
  </w:footnote>
  <w:footnote w:id="140">
    <w:p w:rsidR="00D6333B" w:rsidRPr="00EC184A" w:rsidRDefault="00D6333B" w:rsidP="00325389">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{"citationID":"1f7r91olgd","citationItems":[{"locator":"130","label":"page","uri":["http://zotero.org/users/414388/items/FJQZVEWQ"]}]} </w:instrText>
      </w:r>
      <w:r w:rsidR="00060760" w:rsidRPr="00EC184A">
        <w:rPr>
          <w:sz w:val="20"/>
          <w:szCs w:val="20"/>
        </w:rPr>
        <w:fldChar w:fldCharType="separate"/>
      </w:r>
      <w:r w:rsidRPr="00EC184A">
        <w:rPr>
          <w:sz w:val="20"/>
          <w:szCs w:val="20"/>
        </w:rPr>
        <w:t xml:space="preserve">Christopher M. Clark, </w:t>
      </w:r>
      <w:r w:rsidRPr="00EC184A">
        <w:rPr>
          <w:i/>
          <w:iCs/>
          <w:sz w:val="20"/>
          <w:szCs w:val="20"/>
        </w:rPr>
        <w:t>Kaiser Wilhelm II</w:t>
      </w:r>
      <w:r w:rsidRPr="00EC184A">
        <w:rPr>
          <w:sz w:val="20"/>
          <w:szCs w:val="20"/>
        </w:rPr>
        <w:t xml:space="preserve"> (Harlow: Longman, 2000), 130.</w:t>
      </w:r>
      <w:r w:rsidR="00060760" w:rsidRPr="00EC184A">
        <w:rPr>
          <w:sz w:val="20"/>
          <w:szCs w:val="20"/>
        </w:rPr>
        <w:fldChar w:fldCharType="end"/>
      </w:r>
    </w:p>
  </w:footnote>
  <w:footnote w:id="141">
    <w:p w:rsidR="00D6333B" w:rsidRPr="00325389" w:rsidRDefault="00D6333B" w:rsidP="00325389">
      <w:pPr>
        <w:pStyle w:val="FootnoteText"/>
        <w:rPr>
          <w:sz w:val="20"/>
          <w:szCs w:val="20"/>
        </w:rPr>
      </w:pPr>
      <w:r w:rsidRPr="00EC184A">
        <w:rPr>
          <w:rStyle w:val="FootnoteReference"/>
          <w:sz w:val="20"/>
          <w:szCs w:val="20"/>
        </w:rPr>
        <w:footnoteRef/>
      </w:r>
      <w:r w:rsidRPr="00EC184A">
        <w:rPr>
          <w:sz w:val="20"/>
          <w:szCs w:val="20"/>
        </w:rPr>
        <w:t xml:space="preserve"> “The Kaiser on His Navy</w:t>
      </w:r>
      <w:r w:rsidRPr="00325389">
        <w:rPr>
          <w:sz w:val="20"/>
          <w:szCs w:val="20"/>
        </w:rPr>
        <w:t xml:space="preserve">,” </w:t>
      </w:r>
      <w:r w:rsidRPr="00325389">
        <w:rPr>
          <w:i/>
          <w:sz w:val="20"/>
          <w:szCs w:val="20"/>
        </w:rPr>
        <w:t>The New York Times</w:t>
      </w:r>
      <w:r w:rsidRPr="00325389">
        <w:rPr>
          <w:sz w:val="20"/>
          <w:szCs w:val="20"/>
        </w:rPr>
        <w:t>, January 2, 1900.</w:t>
      </w:r>
    </w:p>
  </w:footnote>
  <w:footnote w:id="142">
    <w:p w:rsidR="00D6333B" w:rsidRPr="00EC184A" w:rsidRDefault="00D6333B" w:rsidP="00325389">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{"citationID":"cjsm8qsfg","citationItems":[{"locator":"130","label":"page","uri":["http://zotero.org/users/414388/items/FJQZVEWQ"]}]} </w:instrText>
      </w:r>
      <w:r w:rsidR="00060760" w:rsidRPr="00EC184A">
        <w:rPr>
          <w:sz w:val="20"/>
          <w:szCs w:val="20"/>
        </w:rPr>
        <w:fldChar w:fldCharType="separate"/>
      </w:r>
      <w:r w:rsidRPr="00EC184A">
        <w:rPr>
          <w:sz w:val="20"/>
          <w:szCs w:val="20"/>
        </w:rPr>
        <w:t xml:space="preserve">Clark, </w:t>
      </w:r>
      <w:r w:rsidRPr="00EC184A">
        <w:rPr>
          <w:i/>
          <w:iCs/>
          <w:sz w:val="20"/>
          <w:szCs w:val="20"/>
        </w:rPr>
        <w:t>Kaiser Wilhelm II</w:t>
      </w:r>
      <w:r w:rsidRPr="00EC184A">
        <w:rPr>
          <w:sz w:val="20"/>
          <w:szCs w:val="20"/>
        </w:rPr>
        <w:t>, 130.</w:t>
      </w:r>
      <w:r w:rsidR="00060760" w:rsidRPr="00EC184A">
        <w:rPr>
          <w:sz w:val="20"/>
          <w:szCs w:val="20"/>
        </w:rPr>
        <w:fldChar w:fldCharType="end"/>
      </w:r>
    </w:p>
  </w:footnote>
  <w:footnote w:id="143">
    <w:p w:rsidR="00D6333B" w:rsidRPr="00EC184A" w:rsidRDefault="00D6333B" w:rsidP="00325389">
      <w:pPr>
        <w:pStyle w:val="FootnoteText"/>
        <w:rPr>
          <w:sz w:val="20"/>
          <w:szCs w:val="20"/>
        </w:rPr>
      </w:pPr>
      <w:r w:rsidRPr="00EC184A">
        <w:rPr>
          <w:rStyle w:val="FootnoteReference"/>
          <w:sz w:val="20"/>
          <w:szCs w:val="20"/>
        </w:rPr>
        <w:footnoteRef/>
      </w:r>
      <w:r w:rsidRPr="00EC184A">
        <w:rPr>
          <w:sz w:val="20"/>
          <w:szCs w:val="20"/>
        </w:rPr>
        <w:t xml:space="preserve"> </w:t>
      </w:r>
      <w:r w:rsidR="00060760" w:rsidRPr="00060760">
        <w:rPr>
          <w:sz w:val="20"/>
          <w:szCs w:val="20"/>
        </w:rPr>
        <w:fldChar w:fldCharType="begin"/>
      </w:r>
      <w:r w:rsidRPr="00EC184A">
        <w:rPr>
          <w:sz w:val="20"/>
          <w:szCs w:val="20"/>
        </w:rPr>
        <w:instrText xml:space="preserve"> ADDIN ZOTERO_ITEM {"citationID":"dew6Trqk","citationItems":[{"locator":"1029","uri":["http://zotero.org/users/414388/items/ZDG7RTV8"]}]} </w:instrText>
      </w:r>
      <w:r w:rsidR="00060760" w:rsidRPr="00060760">
        <w:rPr>
          <w:sz w:val="20"/>
          <w:szCs w:val="20"/>
        </w:rPr>
        <w:fldChar w:fldCharType="separate"/>
      </w:r>
      <w:r w:rsidRPr="00EC184A">
        <w:rPr>
          <w:color w:val="000000"/>
          <w:sz w:val="20"/>
          <w:szCs w:val="20"/>
        </w:rPr>
        <w:t xml:space="preserve">John C. G. Röhl, </w:t>
      </w:r>
      <w:r w:rsidRPr="00EC184A">
        <w:rPr>
          <w:i/>
          <w:iCs/>
          <w:color w:val="000000"/>
          <w:sz w:val="20"/>
          <w:szCs w:val="20"/>
        </w:rPr>
        <w:t>Wilhelm II: The Kaiser’s Personal Monarchy, 1888-1900</w:t>
      </w:r>
      <w:r w:rsidRPr="00EC184A">
        <w:rPr>
          <w:color w:val="000000"/>
          <w:sz w:val="20"/>
          <w:szCs w:val="20"/>
        </w:rPr>
        <w:t xml:space="preserve"> (Cambridge: Cambridge University Press, 2004), 1029.</w:t>
      </w:r>
      <w:r w:rsidR="00060760" w:rsidRPr="00EC184A">
        <w:rPr>
          <w:color w:val="000000"/>
          <w:sz w:val="20"/>
          <w:szCs w:val="20"/>
        </w:rPr>
        <w:fldChar w:fldCharType="end"/>
      </w:r>
    </w:p>
  </w:footnote>
  <w:footnote w:id="144">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{"citationID":"uEnvVfQW","citationItems":[{"locator":"256","uri":["http://zotero.org/users/414388/items/HP3XRFM9"]}]} </w:instrText>
      </w:r>
      <w:r w:rsidR="00060760" w:rsidRPr="00EC184A">
        <w:rPr>
          <w:sz w:val="20"/>
          <w:szCs w:val="20"/>
        </w:rPr>
        <w:fldChar w:fldCharType="separate"/>
      </w:r>
      <w:r w:rsidRPr="00EC184A">
        <w:rPr>
          <w:color w:val="000000"/>
          <w:sz w:val="20"/>
          <w:szCs w:val="20"/>
        </w:rPr>
        <w:t xml:space="preserve">Bülow, </w:t>
      </w:r>
      <w:r w:rsidRPr="00EC184A">
        <w:rPr>
          <w:i/>
          <w:iCs/>
          <w:color w:val="000000"/>
          <w:sz w:val="20"/>
          <w:szCs w:val="20"/>
        </w:rPr>
        <w:t>Memoirs of Prince Von Bülow</w:t>
      </w:r>
      <w:r w:rsidRPr="00EC184A">
        <w:rPr>
          <w:color w:val="000000"/>
          <w:sz w:val="20"/>
          <w:szCs w:val="20"/>
        </w:rPr>
        <w:t>, 256.</w:t>
      </w:r>
      <w:r w:rsidR="00060760" w:rsidRPr="00EC184A">
        <w:rPr>
          <w:sz w:val="20"/>
          <w:szCs w:val="20"/>
        </w:rPr>
        <w:fldChar w:fldCharType="end"/>
      </w:r>
    </w:p>
  </w:footnote>
  <w:footnote w:id="145">
    <w:p w:rsidR="00D6333B" w:rsidRPr="00C639CA" w:rsidRDefault="00D6333B" w:rsidP="00C639CA">
      <w:pPr>
        <w:pStyle w:val="FootnoteText"/>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{"citationID":"WSl5WZtt","citationItems":[{"locator":"256","uri":["http://zotero.org/users/414388/items/HP3XRFM9"]}]} </w:instrText>
      </w:r>
      <w:r w:rsidR="00060760" w:rsidRPr="00EC184A">
        <w:rPr>
          <w:sz w:val="20"/>
          <w:szCs w:val="20"/>
        </w:rPr>
        <w:fldChar w:fldCharType="separate"/>
      </w:r>
      <w:r w:rsidRPr="00EC184A">
        <w:rPr>
          <w:noProof/>
          <w:sz w:val="20"/>
          <w:szCs w:val="20"/>
        </w:rPr>
        <w:t>Ibid.</w:t>
      </w:r>
      <w:r w:rsidR="00060760" w:rsidRPr="00EC184A">
        <w:rPr>
          <w:sz w:val="20"/>
          <w:szCs w:val="20"/>
        </w:rPr>
        <w:fldChar w:fldCharType="end"/>
      </w:r>
      <w:r w:rsidRPr="00EC184A">
        <w:rPr>
          <w:sz w:val="20"/>
          <w:szCs w:val="20"/>
        </w:rPr>
        <w:t xml:space="preserve"> For examples of German displays of disrespect, see: Ronald E. Dolan, ed. “Spanish-American War: Outbreak of War, 1898,” in </w:t>
      </w:r>
      <w:r w:rsidRPr="00EC184A">
        <w:rPr>
          <w:i/>
          <w:sz w:val="20"/>
          <w:szCs w:val="20"/>
        </w:rPr>
        <w:t>Philippines: A Country Study</w:t>
      </w:r>
      <w:r w:rsidRPr="00EC184A">
        <w:rPr>
          <w:sz w:val="20"/>
          <w:szCs w:val="20"/>
        </w:rPr>
        <w:t>. Washington: Government Printing Office, 1991. http://countrystudies.us/philippines/13.htm</w:t>
      </w:r>
    </w:p>
  </w:footnote>
  <w:footnote w:id="146">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{"citationID":"WsJhhXGk","citationItems":[{"locator":"155","uri":["http://zotero.org/users/414388/items/WMM9ZJJC"]}]} </w:instrText>
      </w:r>
      <w:r w:rsidR="00060760" w:rsidRPr="00EC184A">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155.</w:t>
      </w:r>
      <w:r w:rsidR="00060760" w:rsidRPr="00EC184A">
        <w:rPr>
          <w:sz w:val="20"/>
          <w:szCs w:val="20"/>
        </w:rPr>
        <w:fldChar w:fldCharType="end"/>
      </w:r>
    </w:p>
  </w:footnote>
  <w:footnote w:id="147">
    <w:p w:rsidR="00D6333B" w:rsidRDefault="00D6333B">
      <w:pPr>
        <w:pStyle w:val="FootnoteText"/>
      </w:pPr>
      <w:r w:rsidRPr="00EC184A">
        <w:rPr>
          <w:rStyle w:val="FootnoteReference"/>
          <w:sz w:val="20"/>
          <w:szCs w:val="20"/>
        </w:rPr>
        <w:footnoteRef/>
      </w:r>
      <w:r w:rsidRPr="00EC184A">
        <w:rPr>
          <w:sz w:val="20"/>
          <w:szCs w:val="20"/>
        </w:rPr>
        <w:t xml:space="preserve"> For a more in-depth description of the development and events of the conflict, see: </w:t>
      </w:r>
      <w:r w:rsidR="00060760" w:rsidRPr="00EC184A">
        <w:rPr>
          <w:sz w:val="20"/>
          <w:szCs w:val="20"/>
        </w:rPr>
        <w:fldChar w:fldCharType="begin"/>
      </w:r>
      <w:r w:rsidRPr="00EC184A">
        <w:rPr>
          <w:sz w:val="20"/>
          <w:szCs w:val="20"/>
        </w:rPr>
        <w:instrText xml:space="preserve"> ADDIN ZOTERO_ITEM {"citationID":"Uv4Krk6s","citationItems":[{"locator":"145-155","uri":["http://zotero.org/users/414388/items/E46XUDDT"]}]} </w:instrText>
      </w:r>
      <w:r w:rsidR="00060760" w:rsidRPr="00EC184A">
        <w:rPr>
          <w:sz w:val="20"/>
          <w:szCs w:val="20"/>
        </w:rPr>
        <w:fldChar w:fldCharType="separate"/>
      </w:r>
      <w:r w:rsidRPr="00EC184A">
        <w:rPr>
          <w:color w:val="000000"/>
          <w:sz w:val="20"/>
          <w:szCs w:val="20"/>
        </w:rPr>
        <w:t xml:space="preserve">Paul M Kennedy, </w:t>
      </w:r>
      <w:r w:rsidRPr="00EC184A">
        <w:rPr>
          <w:i/>
          <w:iCs/>
          <w:color w:val="000000"/>
          <w:sz w:val="20"/>
          <w:szCs w:val="20"/>
        </w:rPr>
        <w:t>The Samoan Tangle: A Study in Anglo-German-American Relations, 1878-1900</w:t>
      </w:r>
      <w:r w:rsidRPr="00EC184A">
        <w:rPr>
          <w:color w:val="000000"/>
          <w:sz w:val="20"/>
          <w:szCs w:val="20"/>
        </w:rPr>
        <w:t xml:space="preserve"> (New York: Barnes &amp; Noble, 1974), 145-155.</w:t>
      </w:r>
      <w:r w:rsidR="00060760" w:rsidRPr="00EC184A">
        <w:rPr>
          <w:sz w:val="20"/>
          <w:szCs w:val="20"/>
        </w:rPr>
        <w:fldChar w:fldCharType="end"/>
      </w:r>
    </w:p>
  </w:footnote>
  <w:footnote w:id="148">
    <w:p w:rsidR="00D6333B" w:rsidRPr="00EC184A" w:rsidRDefault="00D6333B" w:rsidP="0077103D">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{"citationID":"xTEqZqOq","citationItems":[{"locator":"155","uri":["http://zotero.org/users/414388/items/E46XUDDT"]}]} </w:instrText>
      </w:r>
      <w:r w:rsidR="00060760" w:rsidRPr="00EC184A">
        <w:rPr>
          <w:sz w:val="20"/>
          <w:szCs w:val="20"/>
        </w:rPr>
        <w:fldChar w:fldCharType="separate"/>
      </w:r>
      <w:r w:rsidRPr="00EC184A">
        <w:rPr>
          <w:color w:val="000000"/>
          <w:sz w:val="20"/>
          <w:szCs w:val="20"/>
        </w:rPr>
        <w:t>Ibid., 155.</w:t>
      </w:r>
      <w:r w:rsidR="00060760" w:rsidRPr="00EC184A">
        <w:rPr>
          <w:sz w:val="20"/>
          <w:szCs w:val="20"/>
        </w:rPr>
        <w:fldChar w:fldCharType="end"/>
      </w:r>
    </w:p>
  </w:footnote>
  <w:footnote w:id="149">
    <w:p w:rsidR="00D6333B" w:rsidRPr="00EC184A" w:rsidRDefault="00D6333B" w:rsidP="0077103D">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{"citationID":"KgE8yfQo","citationItems":[{"locator":"155","uri":["http://zotero.org/users/414388/items/WMM9ZJJC"]}]} </w:instrText>
      </w:r>
      <w:r w:rsidR="00060760" w:rsidRPr="00EC184A">
        <w:rPr>
          <w:sz w:val="20"/>
          <w:szCs w:val="20"/>
        </w:rPr>
        <w:fldChar w:fldCharType="separate"/>
      </w:r>
      <w:r w:rsidRPr="00EC184A">
        <w:rPr>
          <w:color w:val="000000"/>
          <w:sz w:val="20"/>
          <w:szCs w:val="20"/>
        </w:rPr>
        <w:t xml:space="preserve">Tirpitz, </w:t>
      </w:r>
      <w:r w:rsidRPr="00EC184A">
        <w:rPr>
          <w:i/>
          <w:iCs/>
          <w:color w:val="000000"/>
          <w:sz w:val="20"/>
          <w:szCs w:val="20"/>
        </w:rPr>
        <w:t>My Memoirs: Volume 1</w:t>
      </w:r>
      <w:r w:rsidRPr="00EC184A">
        <w:rPr>
          <w:color w:val="000000"/>
          <w:sz w:val="20"/>
          <w:szCs w:val="20"/>
        </w:rPr>
        <w:t>, 155.</w:t>
      </w:r>
      <w:r w:rsidR="00060760" w:rsidRPr="00EC184A">
        <w:rPr>
          <w:sz w:val="20"/>
          <w:szCs w:val="20"/>
        </w:rPr>
        <w:fldChar w:fldCharType="end"/>
      </w:r>
    </w:p>
  </w:footnote>
  <w:footnote w:id="150">
    <w:p w:rsidR="00D6333B" w:rsidRPr="00EC184A" w:rsidRDefault="00D6333B" w:rsidP="00CA0656">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{"citationID":"kZttBp1l","citationItems":[{"uri":["http://zotero.org/users/414388/items/6WCMRST9"]}]} </w:instrText>
      </w:r>
      <w:r w:rsidR="00060760" w:rsidRPr="00EC184A">
        <w:rPr>
          <w:sz w:val="20"/>
          <w:szCs w:val="20"/>
        </w:rPr>
        <w:fldChar w:fldCharType="separate"/>
      </w:r>
      <w:r w:rsidRPr="00EC184A">
        <w:rPr>
          <w:color w:val="000000"/>
          <w:sz w:val="20"/>
          <w:szCs w:val="20"/>
        </w:rPr>
        <w:t xml:space="preserve">“The German Navy Bill,” </w:t>
      </w:r>
      <w:r w:rsidRPr="00EC184A">
        <w:rPr>
          <w:i/>
          <w:iCs/>
          <w:color w:val="000000"/>
          <w:sz w:val="20"/>
          <w:szCs w:val="20"/>
        </w:rPr>
        <w:t>The Times (London)</w:t>
      </w:r>
      <w:r w:rsidRPr="00EC184A">
        <w:rPr>
          <w:color w:val="000000"/>
          <w:sz w:val="20"/>
          <w:szCs w:val="20"/>
        </w:rPr>
        <w:t>, March 29, 1900.</w:t>
      </w:r>
      <w:r w:rsidR="00060760" w:rsidRPr="00EC184A">
        <w:rPr>
          <w:sz w:val="20"/>
          <w:szCs w:val="20"/>
        </w:rPr>
        <w:fldChar w:fldCharType="end"/>
      </w:r>
    </w:p>
  </w:footnote>
  <w:footnote w:id="151">
    <w:p w:rsidR="00D6333B" w:rsidRDefault="00D6333B">
      <w:pPr>
        <w:pStyle w:val="FootnoteText"/>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{"citationID":"23vaqg1ubt","citationItems":[{"locator":"233","label":"page","uri":["http://zotero.org/users/414388/items/WSGFTFI2"]}]} </w:instrText>
      </w:r>
      <w:r w:rsidR="00060760" w:rsidRPr="00EC184A">
        <w:rPr>
          <w:sz w:val="20"/>
          <w:szCs w:val="20"/>
        </w:rPr>
        <w:fldChar w:fldCharType="separate"/>
      </w:r>
      <w:r w:rsidRPr="00EC184A">
        <w:rPr>
          <w:sz w:val="20"/>
          <w:szCs w:val="20"/>
        </w:rPr>
        <w:t xml:space="preserve">Wilhelm, </w:t>
      </w:r>
      <w:r w:rsidRPr="00EC184A">
        <w:rPr>
          <w:i/>
          <w:iCs/>
          <w:sz w:val="20"/>
          <w:szCs w:val="20"/>
        </w:rPr>
        <w:t>The Kaiser’s Memoirs</w:t>
      </w:r>
      <w:r w:rsidRPr="00EC184A">
        <w:rPr>
          <w:sz w:val="20"/>
          <w:szCs w:val="20"/>
        </w:rPr>
        <w:t>, 233.</w:t>
      </w:r>
      <w:r w:rsidR="00060760" w:rsidRPr="00EC184A">
        <w:rPr>
          <w:sz w:val="20"/>
          <w:szCs w:val="20"/>
        </w:rPr>
        <w:fldChar w:fldCharType="end"/>
      </w:r>
    </w:p>
  </w:footnote>
  <w:footnote w:id="152">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{"citationID":"1sdlmneb8g","citationItems":[{"locator":"273","label":"page","uri":["http://zotero.org/users/414388/items/Z54FWM4K"]}]} </w:instrText>
      </w:r>
      <w:r w:rsidR="00060760" w:rsidRPr="00EC184A">
        <w:rPr>
          <w:sz w:val="20"/>
          <w:szCs w:val="20"/>
        </w:rPr>
        <w:fldChar w:fldCharType="separate"/>
      </w:r>
      <w:r w:rsidRPr="00EC184A">
        <w:rPr>
          <w:sz w:val="20"/>
          <w:szCs w:val="20"/>
        </w:rPr>
        <w:t xml:space="preserve">Massie, </w:t>
      </w:r>
      <w:r w:rsidRPr="00EC184A">
        <w:rPr>
          <w:i/>
          <w:iCs/>
          <w:sz w:val="20"/>
          <w:szCs w:val="20"/>
        </w:rPr>
        <w:t>Dreadnought</w:t>
      </w:r>
      <w:r w:rsidRPr="00EC184A">
        <w:rPr>
          <w:sz w:val="20"/>
          <w:szCs w:val="20"/>
        </w:rPr>
        <w:t>, 273.</w:t>
      </w:r>
      <w:r w:rsidR="00060760" w:rsidRPr="00EC184A">
        <w:rPr>
          <w:sz w:val="20"/>
          <w:szCs w:val="20"/>
        </w:rPr>
        <w:fldChar w:fldCharType="end"/>
      </w:r>
    </w:p>
  </w:footnote>
  <w:footnote w:id="153">
    <w:p w:rsidR="00D6333B" w:rsidRPr="00EC184A" w:rsidRDefault="00D6333B">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{"citationID":"1cvv11u4kp","citationItems":[{"locator":"233","label":"page","uri":["http://zotero.org/users/414388/items/WSGFTFI2"]}]} </w:instrText>
      </w:r>
      <w:r w:rsidR="00060760" w:rsidRPr="00EC184A">
        <w:rPr>
          <w:sz w:val="20"/>
          <w:szCs w:val="20"/>
        </w:rPr>
        <w:fldChar w:fldCharType="separate"/>
      </w:r>
      <w:r w:rsidRPr="00EC184A">
        <w:rPr>
          <w:sz w:val="20"/>
          <w:szCs w:val="20"/>
        </w:rPr>
        <w:t xml:space="preserve">Wilhelm, </w:t>
      </w:r>
      <w:r w:rsidRPr="00EC184A">
        <w:rPr>
          <w:i/>
          <w:iCs/>
          <w:sz w:val="20"/>
          <w:szCs w:val="20"/>
        </w:rPr>
        <w:t>The Kaiser’s Memoirs</w:t>
      </w:r>
      <w:r w:rsidRPr="00EC184A">
        <w:rPr>
          <w:sz w:val="20"/>
          <w:szCs w:val="20"/>
        </w:rPr>
        <w:t>, 233.</w:t>
      </w:r>
      <w:r w:rsidR="00060760" w:rsidRPr="00EC184A">
        <w:rPr>
          <w:sz w:val="20"/>
          <w:szCs w:val="20"/>
        </w:rPr>
        <w:fldChar w:fldCharType="end"/>
      </w:r>
    </w:p>
  </w:footnote>
  <w:footnote w:id="154">
    <w:p w:rsidR="00D6333B" w:rsidRPr="001F593D" w:rsidRDefault="00D6333B" w:rsidP="009F35A2">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{"citationID":"astvi03k6","citationItems":[{"locator":"176","label":"page","uri":["http://zotero.org/users/414388/items/5JTKFTKQ"]}]} </w:instrText>
      </w:r>
      <w:r w:rsidR="00060760" w:rsidRPr="00EC184A">
        <w:rPr>
          <w:sz w:val="20"/>
          <w:szCs w:val="20"/>
        </w:rPr>
        <w:fldChar w:fldCharType="separate"/>
      </w:r>
      <w:r w:rsidRPr="00EC184A">
        <w:rPr>
          <w:sz w:val="20"/>
          <w:szCs w:val="20"/>
        </w:rPr>
        <w:t xml:space="preserve">Friedrich von Holstein, </w:t>
      </w:r>
      <w:r w:rsidRPr="00EC184A">
        <w:rPr>
          <w:i/>
          <w:iCs/>
          <w:sz w:val="20"/>
          <w:szCs w:val="20"/>
        </w:rPr>
        <w:t>The Holstein Papers</w:t>
      </w:r>
      <w:r w:rsidRPr="00EC184A">
        <w:rPr>
          <w:sz w:val="20"/>
          <w:szCs w:val="20"/>
        </w:rPr>
        <w:t>, vol. 4 (Cambridge: University Press, 1955), 176.</w:t>
      </w:r>
      <w:r w:rsidR="00060760" w:rsidRPr="00EC184A">
        <w:rPr>
          <w:sz w:val="20"/>
          <w:szCs w:val="20"/>
        </w:rPr>
        <w:fldChar w:fldCharType="end"/>
      </w:r>
    </w:p>
  </w:footnote>
  <w:footnote w:id="155">
    <w:p w:rsidR="00D6333B" w:rsidRPr="00EC184A" w:rsidRDefault="00D6333B" w:rsidP="007B434A">
      <w:pPr>
        <w:pStyle w:val="FootnoteText"/>
        <w:rPr>
          <w:sz w:val="20"/>
          <w:szCs w:val="20"/>
        </w:rPr>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{"citationID":"tcg6t3qp6","citationItems":[{"locator":"233","label":"page","uri":["http://zotero.org/users/414388/items/WSGFTFI2"]}]} </w:instrText>
      </w:r>
      <w:r w:rsidR="00060760" w:rsidRPr="00EC184A">
        <w:rPr>
          <w:sz w:val="20"/>
          <w:szCs w:val="20"/>
        </w:rPr>
        <w:fldChar w:fldCharType="separate"/>
      </w:r>
      <w:r w:rsidRPr="00EC184A">
        <w:rPr>
          <w:sz w:val="20"/>
          <w:szCs w:val="20"/>
        </w:rPr>
        <w:t xml:space="preserve">Wilhelm, </w:t>
      </w:r>
      <w:r w:rsidRPr="00EC184A">
        <w:rPr>
          <w:i/>
          <w:iCs/>
          <w:sz w:val="20"/>
          <w:szCs w:val="20"/>
        </w:rPr>
        <w:t>The Kaiser’s Memoirs</w:t>
      </w:r>
      <w:r w:rsidRPr="00EC184A">
        <w:rPr>
          <w:sz w:val="20"/>
          <w:szCs w:val="20"/>
        </w:rPr>
        <w:t>, 233.</w:t>
      </w:r>
      <w:r w:rsidR="00060760" w:rsidRPr="00EC184A">
        <w:rPr>
          <w:sz w:val="20"/>
          <w:szCs w:val="20"/>
        </w:rPr>
        <w:fldChar w:fldCharType="end"/>
      </w:r>
    </w:p>
  </w:footnote>
  <w:footnote w:id="156">
    <w:p w:rsidR="00D6333B" w:rsidRDefault="00D6333B">
      <w:pPr>
        <w:pStyle w:val="FootnoteText"/>
      </w:pPr>
      <w:r w:rsidRPr="00EC184A">
        <w:rPr>
          <w:rStyle w:val="FootnoteReference"/>
          <w:sz w:val="20"/>
          <w:szCs w:val="20"/>
        </w:rPr>
        <w:footnoteRef/>
      </w:r>
      <w:r w:rsidRPr="00EC184A">
        <w:rPr>
          <w:sz w:val="20"/>
          <w:szCs w:val="20"/>
        </w:rPr>
        <w:t xml:space="preserve"> </w:t>
      </w:r>
      <w:r w:rsidR="00060760" w:rsidRPr="00EC184A">
        <w:rPr>
          <w:sz w:val="20"/>
          <w:szCs w:val="20"/>
        </w:rPr>
        <w:fldChar w:fldCharType="begin"/>
      </w:r>
      <w:r w:rsidRPr="00EC184A">
        <w:rPr>
          <w:sz w:val="20"/>
          <w:szCs w:val="20"/>
        </w:rPr>
        <w:instrText xml:space="preserve"> ADDIN ZOTERO_ITEM {"citationID":"1vqpk7r6tq","citationItems":[{"locator":"234-35","label":"page","uri":["http://zotero.org/users/414388/items/WSGFTFI2"]}]} </w:instrText>
      </w:r>
      <w:r w:rsidR="00060760" w:rsidRPr="00EC184A">
        <w:rPr>
          <w:sz w:val="20"/>
          <w:szCs w:val="20"/>
        </w:rPr>
        <w:fldChar w:fldCharType="separate"/>
      </w:r>
      <w:r w:rsidRPr="00EC184A">
        <w:rPr>
          <w:noProof/>
          <w:sz w:val="20"/>
          <w:szCs w:val="20"/>
        </w:rPr>
        <w:t>Ibid., 234-35.</w:t>
      </w:r>
      <w:r w:rsidR="00060760" w:rsidRPr="00EC184A">
        <w:rPr>
          <w:sz w:val="20"/>
          <w:szCs w:val="20"/>
        </w:rPr>
        <w:fldChar w:fldCharType="end"/>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333B" w:rsidRDefault="00060760" w:rsidP="006462EF">
    <w:pPr>
      <w:pStyle w:val="Header"/>
      <w:framePr w:wrap="around" w:vAnchor="text" w:hAnchor="margin" w:xAlign="right" w:y="1"/>
      <w:rPr>
        <w:rStyle w:val="PageNumber"/>
      </w:rPr>
    </w:pPr>
    <w:r>
      <w:rPr>
        <w:rStyle w:val="PageNumber"/>
      </w:rPr>
      <w:fldChar w:fldCharType="begin"/>
    </w:r>
    <w:r w:rsidR="00D6333B">
      <w:rPr>
        <w:rStyle w:val="PageNumber"/>
      </w:rPr>
      <w:instrText xml:space="preserve">PAGE  </w:instrText>
    </w:r>
    <w:r>
      <w:rPr>
        <w:rStyle w:val="PageNumber"/>
      </w:rPr>
      <w:fldChar w:fldCharType="separate"/>
    </w:r>
    <w:r w:rsidR="00D6333B">
      <w:rPr>
        <w:rStyle w:val="PageNumber"/>
        <w:noProof/>
      </w:rPr>
      <w:t>4</w:t>
    </w:r>
    <w:r>
      <w:rPr>
        <w:rStyle w:val="PageNumber"/>
      </w:rPr>
      <w:fldChar w:fldCharType="end"/>
    </w:r>
  </w:p>
  <w:p w:rsidR="00D6333B" w:rsidRDefault="00D6333B" w:rsidP="006462EF">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333B" w:rsidRDefault="00D6333B" w:rsidP="006462EF">
    <w:pPr>
      <w:pStyle w:val="Header"/>
      <w:ind w:right="360"/>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D1264"/>
    <w:multiLevelType w:val="hybridMultilevel"/>
    <w:tmpl w:val="0930DB2C"/>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83461A"/>
    <w:multiLevelType w:val="hybridMultilevel"/>
    <w:tmpl w:val="0AA6D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BF7B45"/>
    <w:multiLevelType w:val="hybridMultilevel"/>
    <w:tmpl w:val="4386DAA6"/>
    <w:lvl w:ilvl="0" w:tplc="75F84610">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7C32EFE"/>
    <w:multiLevelType w:val="multilevel"/>
    <w:tmpl w:val="08424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4233FDB"/>
    <w:multiLevelType w:val="hybridMultilevel"/>
    <w:tmpl w:val="5470A30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CBF57D5"/>
    <w:multiLevelType w:val="hybridMultilevel"/>
    <w:tmpl w:val="892CD2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33B66E5"/>
    <w:multiLevelType w:val="hybridMultilevel"/>
    <w:tmpl w:val="9EE418D0"/>
    <w:lvl w:ilvl="0" w:tplc="87EABA2C">
      <w:numFmt w:val="bullet"/>
      <w:lvlText w:val="-"/>
      <w:lvlJc w:val="left"/>
      <w:pPr>
        <w:ind w:left="1080" w:hanging="360"/>
      </w:pPr>
      <w:rPr>
        <w:rFonts w:ascii="Times New Roman" w:eastAsiaTheme="minorEastAsia" w:hAnsi="Times New Roman"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78576776"/>
    <w:multiLevelType w:val="hybridMultilevel"/>
    <w:tmpl w:val="C2B085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7"/>
  </w:num>
  <w:num w:numId="3">
    <w:abstractNumId w:val="3"/>
  </w:num>
  <w:num w:numId="4">
    <w:abstractNumId w:val="4"/>
  </w:num>
  <w:num w:numId="5">
    <w:abstractNumId w:val="1"/>
  </w:num>
  <w:num w:numId="6">
    <w:abstractNumId w:val="0"/>
  </w:num>
  <w:num w:numId="7">
    <w:abstractNumId w:val="2"/>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doNotAutofitConstrainedTables/>
    <w:splitPgBreakAndParaMark/>
  </w:compat>
  <w:rsids>
    <w:rsidRoot w:val="00BC3A0D"/>
    <w:rsid w:val="00001A99"/>
    <w:rsid w:val="00005360"/>
    <w:rsid w:val="0000573A"/>
    <w:rsid w:val="000074AA"/>
    <w:rsid w:val="0001159F"/>
    <w:rsid w:val="000121EB"/>
    <w:rsid w:val="00014C3A"/>
    <w:rsid w:val="00014C78"/>
    <w:rsid w:val="00020091"/>
    <w:rsid w:val="00023434"/>
    <w:rsid w:val="00024DBF"/>
    <w:rsid w:val="000260C5"/>
    <w:rsid w:val="00027CBA"/>
    <w:rsid w:val="00031591"/>
    <w:rsid w:val="000338CE"/>
    <w:rsid w:val="00033F49"/>
    <w:rsid w:val="00036658"/>
    <w:rsid w:val="0004025E"/>
    <w:rsid w:val="00040A8D"/>
    <w:rsid w:val="0004291D"/>
    <w:rsid w:val="00042F5D"/>
    <w:rsid w:val="00046CB5"/>
    <w:rsid w:val="0004701A"/>
    <w:rsid w:val="00047A0D"/>
    <w:rsid w:val="000514DF"/>
    <w:rsid w:val="00055495"/>
    <w:rsid w:val="00055F47"/>
    <w:rsid w:val="00056465"/>
    <w:rsid w:val="000564F0"/>
    <w:rsid w:val="00057A44"/>
    <w:rsid w:val="00060060"/>
    <w:rsid w:val="00060760"/>
    <w:rsid w:val="00060F16"/>
    <w:rsid w:val="00062B10"/>
    <w:rsid w:val="000659B1"/>
    <w:rsid w:val="00066D16"/>
    <w:rsid w:val="00067531"/>
    <w:rsid w:val="000705BA"/>
    <w:rsid w:val="00070F3D"/>
    <w:rsid w:val="00072073"/>
    <w:rsid w:val="000723A5"/>
    <w:rsid w:val="000742C2"/>
    <w:rsid w:val="00075CFB"/>
    <w:rsid w:val="0007667A"/>
    <w:rsid w:val="00076FD4"/>
    <w:rsid w:val="000776F8"/>
    <w:rsid w:val="00080989"/>
    <w:rsid w:val="00082118"/>
    <w:rsid w:val="00085863"/>
    <w:rsid w:val="00086C22"/>
    <w:rsid w:val="0009018B"/>
    <w:rsid w:val="00090D4F"/>
    <w:rsid w:val="00091926"/>
    <w:rsid w:val="000947D7"/>
    <w:rsid w:val="0009492C"/>
    <w:rsid w:val="00097FE9"/>
    <w:rsid w:val="000A22FD"/>
    <w:rsid w:val="000A2BBC"/>
    <w:rsid w:val="000A63C1"/>
    <w:rsid w:val="000A783B"/>
    <w:rsid w:val="000A78F1"/>
    <w:rsid w:val="000B230A"/>
    <w:rsid w:val="000B5D55"/>
    <w:rsid w:val="000B6542"/>
    <w:rsid w:val="000B74BA"/>
    <w:rsid w:val="000B7D5C"/>
    <w:rsid w:val="000C331C"/>
    <w:rsid w:val="000C4ADE"/>
    <w:rsid w:val="000D0E55"/>
    <w:rsid w:val="000D1298"/>
    <w:rsid w:val="000D27FE"/>
    <w:rsid w:val="000D3D91"/>
    <w:rsid w:val="000D3F1C"/>
    <w:rsid w:val="000D4A6C"/>
    <w:rsid w:val="000D687C"/>
    <w:rsid w:val="000D7D4A"/>
    <w:rsid w:val="000E1BDC"/>
    <w:rsid w:val="000E2D2A"/>
    <w:rsid w:val="000E386D"/>
    <w:rsid w:val="000E3AE2"/>
    <w:rsid w:val="000E5B47"/>
    <w:rsid w:val="000E79D5"/>
    <w:rsid w:val="000E7E00"/>
    <w:rsid w:val="000F05B8"/>
    <w:rsid w:val="000F1098"/>
    <w:rsid w:val="000F1BDB"/>
    <w:rsid w:val="000F42A2"/>
    <w:rsid w:val="000F42D3"/>
    <w:rsid w:val="000F5405"/>
    <w:rsid w:val="000F5520"/>
    <w:rsid w:val="000F75E5"/>
    <w:rsid w:val="000F7DF3"/>
    <w:rsid w:val="00101D30"/>
    <w:rsid w:val="0010510F"/>
    <w:rsid w:val="001069CC"/>
    <w:rsid w:val="00106EA8"/>
    <w:rsid w:val="001075EE"/>
    <w:rsid w:val="00113A93"/>
    <w:rsid w:val="00116D0D"/>
    <w:rsid w:val="00117F3F"/>
    <w:rsid w:val="001243C0"/>
    <w:rsid w:val="001304B3"/>
    <w:rsid w:val="00132C12"/>
    <w:rsid w:val="00132C77"/>
    <w:rsid w:val="00133F62"/>
    <w:rsid w:val="0014082A"/>
    <w:rsid w:val="00141B2C"/>
    <w:rsid w:val="00142073"/>
    <w:rsid w:val="00142F70"/>
    <w:rsid w:val="0014379A"/>
    <w:rsid w:val="001443C3"/>
    <w:rsid w:val="00147DF6"/>
    <w:rsid w:val="00151754"/>
    <w:rsid w:val="00152344"/>
    <w:rsid w:val="00153046"/>
    <w:rsid w:val="001541AE"/>
    <w:rsid w:val="0015430C"/>
    <w:rsid w:val="001555D5"/>
    <w:rsid w:val="001608C9"/>
    <w:rsid w:val="00160CE1"/>
    <w:rsid w:val="00160E51"/>
    <w:rsid w:val="00161F2C"/>
    <w:rsid w:val="00163EA8"/>
    <w:rsid w:val="00164514"/>
    <w:rsid w:val="001727D1"/>
    <w:rsid w:val="00174905"/>
    <w:rsid w:val="00175742"/>
    <w:rsid w:val="00175F4E"/>
    <w:rsid w:val="0018175E"/>
    <w:rsid w:val="00182755"/>
    <w:rsid w:val="00186F4D"/>
    <w:rsid w:val="00191442"/>
    <w:rsid w:val="00191A19"/>
    <w:rsid w:val="00193D7E"/>
    <w:rsid w:val="00193DC7"/>
    <w:rsid w:val="0019462E"/>
    <w:rsid w:val="00196743"/>
    <w:rsid w:val="001A30E4"/>
    <w:rsid w:val="001B1D09"/>
    <w:rsid w:val="001B3CCB"/>
    <w:rsid w:val="001B4BCB"/>
    <w:rsid w:val="001B5509"/>
    <w:rsid w:val="001D299A"/>
    <w:rsid w:val="001E0AD6"/>
    <w:rsid w:val="001E1BA4"/>
    <w:rsid w:val="001E452B"/>
    <w:rsid w:val="001E5476"/>
    <w:rsid w:val="001F14C5"/>
    <w:rsid w:val="001F1BBD"/>
    <w:rsid w:val="001F1DC0"/>
    <w:rsid w:val="001F593D"/>
    <w:rsid w:val="001F60AC"/>
    <w:rsid w:val="00200EB5"/>
    <w:rsid w:val="0020139D"/>
    <w:rsid w:val="00202997"/>
    <w:rsid w:val="00202C62"/>
    <w:rsid w:val="00204061"/>
    <w:rsid w:val="00204D6B"/>
    <w:rsid w:val="00205434"/>
    <w:rsid w:val="00205560"/>
    <w:rsid w:val="00205E3E"/>
    <w:rsid w:val="00211ECE"/>
    <w:rsid w:val="00212293"/>
    <w:rsid w:val="00212458"/>
    <w:rsid w:val="002136B9"/>
    <w:rsid w:val="00213997"/>
    <w:rsid w:val="00215964"/>
    <w:rsid w:val="00216B43"/>
    <w:rsid w:val="002201B3"/>
    <w:rsid w:val="0022079C"/>
    <w:rsid w:val="0022087B"/>
    <w:rsid w:val="00221111"/>
    <w:rsid w:val="002215A1"/>
    <w:rsid w:val="00222556"/>
    <w:rsid w:val="00234DB2"/>
    <w:rsid w:val="002356A7"/>
    <w:rsid w:val="00240433"/>
    <w:rsid w:val="00241A26"/>
    <w:rsid w:val="00241EBC"/>
    <w:rsid w:val="00243F3A"/>
    <w:rsid w:val="00244AE2"/>
    <w:rsid w:val="00250983"/>
    <w:rsid w:val="0025184C"/>
    <w:rsid w:val="00255B96"/>
    <w:rsid w:val="00257005"/>
    <w:rsid w:val="002602DD"/>
    <w:rsid w:val="00260A73"/>
    <w:rsid w:val="002620FD"/>
    <w:rsid w:val="00264C83"/>
    <w:rsid w:val="00265D60"/>
    <w:rsid w:val="00271242"/>
    <w:rsid w:val="002739B1"/>
    <w:rsid w:val="0027412A"/>
    <w:rsid w:val="00275289"/>
    <w:rsid w:val="00275514"/>
    <w:rsid w:val="002769C0"/>
    <w:rsid w:val="00277F2F"/>
    <w:rsid w:val="00280494"/>
    <w:rsid w:val="002852D1"/>
    <w:rsid w:val="002852EA"/>
    <w:rsid w:val="00286E49"/>
    <w:rsid w:val="00287C69"/>
    <w:rsid w:val="00287F80"/>
    <w:rsid w:val="00290B5D"/>
    <w:rsid w:val="002A028F"/>
    <w:rsid w:val="002A0A5B"/>
    <w:rsid w:val="002A3826"/>
    <w:rsid w:val="002A38A8"/>
    <w:rsid w:val="002A47A1"/>
    <w:rsid w:val="002A52B7"/>
    <w:rsid w:val="002A6D4D"/>
    <w:rsid w:val="002B05E1"/>
    <w:rsid w:val="002B0EBA"/>
    <w:rsid w:val="002B1A50"/>
    <w:rsid w:val="002B20B9"/>
    <w:rsid w:val="002B375F"/>
    <w:rsid w:val="002B3FE0"/>
    <w:rsid w:val="002B456E"/>
    <w:rsid w:val="002B4BC4"/>
    <w:rsid w:val="002B58CA"/>
    <w:rsid w:val="002B64E4"/>
    <w:rsid w:val="002B6823"/>
    <w:rsid w:val="002C1AE9"/>
    <w:rsid w:val="002C25FE"/>
    <w:rsid w:val="002C3D2F"/>
    <w:rsid w:val="002C4867"/>
    <w:rsid w:val="002D3C7D"/>
    <w:rsid w:val="002D78BE"/>
    <w:rsid w:val="002E0AC5"/>
    <w:rsid w:val="002E17A0"/>
    <w:rsid w:val="002E1AAC"/>
    <w:rsid w:val="002E1D8C"/>
    <w:rsid w:val="002E22A0"/>
    <w:rsid w:val="002E28AD"/>
    <w:rsid w:val="002E3FD3"/>
    <w:rsid w:val="002E41C2"/>
    <w:rsid w:val="002E5418"/>
    <w:rsid w:val="002E5B41"/>
    <w:rsid w:val="002E61C4"/>
    <w:rsid w:val="002E7994"/>
    <w:rsid w:val="002F0937"/>
    <w:rsid w:val="002F1A79"/>
    <w:rsid w:val="002F2076"/>
    <w:rsid w:val="002F28F5"/>
    <w:rsid w:val="002F2911"/>
    <w:rsid w:val="002F3AB3"/>
    <w:rsid w:val="002F41A5"/>
    <w:rsid w:val="002F54AF"/>
    <w:rsid w:val="002F5D89"/>
    <w:rsid w:val="00300189"/>
    <w:rsid w:val="00300D58"/>
    <w:rsid w:val="003015DB"/>
    <w:rsid w:val="00304251"/>
    <w:rsid w:val="00304B20"/>
    <w:rsid w:val="0031182C"/>
    <w:rsid w:val="00311B3D"/>
    <w:rsid w:val="00312474"/>
    <w:rsid w:val="00313625"/>
    <w:rsid w:val="00314980"/>
    <w:rsid w:val="00314F91"/>
    <w:rsid w:val="003159FE"/>
    <w:rsid w:val="00316A7B"/>
    <w:rsid w:val="0032039C"/>
    <w:rsid w:val="003215D5"/>
    <w:rsid w:val="0032393C"/>
    <w:rsid w:val="00325389"/>
    <w:rsid w:val="00325552"/>
    <w:rsid w:val="00325A3D"/>
    <w:rsid w:val="00331BCF"/>
    <w:rsid w:val="00333BF7"/>
    <w:rsid w:val="003342FB"/>
    <w:rsid w:val="003345EE"/>
    <w:rsid w:val="00335014"/>
    <w:rsid w:val="00341904"/>
    <w:rsid w:val="00343128"/>
    <w:rsid w:val="00352CFC"/>
    <w:rsid w:val="00353E58"/>
    <w:rsid w:val="00353F69"/>
    <w:rsid w:val="0035723B"/>
    <w:rsid w:val="0036052F"/>
    <w:rsid w:val="003611C8"/>
    <w:rsid w:val="00364031"/>
    <w:rsid w:val="00364E67"/>
    <w:rsid w:val="003668A5"/>
    <w:rsid w:val="00370C45"/>
    <w:rsid w:val="00372290"/>
    <w:rsid w:val="003746A1"/>
    <w:rsid w:val="003759F2"/>
    <w:rsid w:val="00380112"/>
    <w:rsid w:val="0038137B"/>
    <w:rsid w:val="00381419"/>
    <w:rsid w:val="00381BE5"/>
    <w:rsid w:val="003868DD"/>
    <w:rsid w:val="003870C6"/>
    <w:rsid w:val="0039275B"/>
    <w:rsid w:val="00393EAF"/>
    <w:rsid w:val="00395590"/>
    <w:rsid w:val="003959CA"/>
    <w:rsid w:val="003963E7"/>
    <w:rsid w:val="003A1FA0"/>
    <w:rsid w:val="003A2C1C"/>
    <w:rsid w:val="003A37BC"/>
    <w:rsid w:val="003A4810"/>
    <w:rsid w:val="003A6283"/>
    <w:rsid w:val="003A7DA7"/>
    <w:rsid w:val="003B267E"/>
    <w:rsid w:val="003B30AE"/>
    <w:rsid w:val="003B3BB6"/>
    <w:rsid w:val="003B54C3"/>
    <w:rsid w:val="003B5DB7"/>
    <w:rsid w:val="003B627A"/>
    <w:rsid w:val="003B76D1"/>
    <w:rsid w:val="003B7B66"/>
    <w:rsid w:val="003C0D63"/>
    <w:rsid w:val="003C2338"/>
    <w:rsid w:val="003C2D4C"/>
    <w:rsid w:val="003C340F"/>
    <w:rsid w:val="003C3834"/>
    <w:rsid w:val="003C6CBE"/>
    <w:rsid w:val="003D111D"/>
    <w:rsid w:val="003D2D0F"/>
    <w:rsid w:val="003D30A9"/>
    <w:rsid w:val="003D33DD"/>
    <w:rsid w:val="003D4BBA"/>
    <w:rsid w:val="003D5101"/>
    <w:rsid w:val="003D62EE"/>
    <w:rsid w:val="003D7F97"/>
    <w:rsid w:val="003E19DF"/>
    <w:rsid w:val="003E1F58"/>
    <w:rsid w:val="003E27B2"/>
    <w:rsid w:val="003E32E2"/>
    <w:rsid w:val="003E7FBF"/>
    <w:rsid w:val="003F35B5"/>
    <w:rsid w:val="003F41B2"/>
    <w:rsid w:val="003F498C"/>
    <w:rsid w:val="003F4A82"/>
    <w:rsid w:val="003F5025"/>
    <w:rsid w:val="004055F8"/>
    <w:rsid w:val="00406DBE"/>
    <w:rsid w:val="0040729F"/>
    <w:rsid w:val="00407B52"/>
    <w:rsid w:val="004145BA"/>
    <w:rsid w:val="004162C9"/>
    <w:rsid w:val="00416865"/>
    <w:rsid w:val="004207A3"/>
    <w:rsid w:val="00420EB8"/>
    <w:rsid w:val="00425B22"/>
    <w:rsid w:val="00427B80"/>
    <w:rsid w:val="004319A2"/>
    <w:rsid w:val="00432456"/>
    <w:rsid w:val="00432D1F"/>
    <w:rsid w:val="00432EFF"/>
    <w:rsid w:val="00435051"/>
    <w:rsid w:val="00435F82"/>
    <w:rsid w:val="00437575"/>
    <w:rsid w:val="0044186B"/>
    <w:rsid w:val="004442B9"/>
    <w:rsid w:val="0044577E"/>
    <w:rsid w:val="0044642B"/>
    <w:rsid w:val="00446E98"/>
    <w:rsid w:val="004500F3"/>
    <w:rsid w:val="00451575"/>
    <w:rsid w:val="004522AA"/>
    <w:rsid w:val="00456DE4"/>
    <w:rsid w:val="00460904"/>
    <w:rsid w:val="00460C9C"/>
    <w:rsid w:val="0047642A"/>
    <w:rsid w:val="00477290"/>
    <w:rsid w:val="0047791B"/>
    <w:rsid w:val="0048486D"/>
    <w:rsid w:val="004906CC"/>
    <w:rsid w:val="00494ABC"/>
    <w:rsid w:val="00495435"/>
    <w:rsid w:val="0049726E"/>
    <w:rsid w:val="004A763B"/>
    <w:rsid w:val="004B0F69"/>
    <w:rsid w:val="004B24F6"/>
    <w:rsid w:val="004B4F4D"/>
    <w:rsid w:val="004B5AE6"/>
    <w:rsid w:val="004B5BA8"/>
    <w:rsid w:val="004B5C3C"/>
    <w:rsid w:val="004C2AAC"/>
    <w:rsid w:val="004C4651"/>
    <w:rsid w:val="004D465C"/>
    <w:rsid w:val="004D6C40"/>
    <w:rsid w:val="004D7A21"/>
    <w:rsid w:val="004E07F2"/>
    <w:rsid w:val="004E6E54"/>
    <w:rsid w:val="004F0ECA"/>
    <w:rsid w:val="004F6794"/>
    <w:rsid w:val="005008A7"/>
    <w:rsid w:val="005027D1"/>
    <w:rsid w:val="00502E2E"/>
    <w:rsid w:val="00503E28"/>
    <w:rsid w:val="00504899"/>
    <w:rsid w:val="00506F34"/>
    <w:rsid w:val="00510BD8"/>
    <w:rsid w:val="00510E96"/>
    <w:rsid w:val="00510F87"/>
    <w:rsid w:val="0051442A"/>
    <w:rsid w:val="005207DF"/>
    <w:rsid w:val="005225D1"/>
    <w:rsid w:val="00522A9C"/>
    <w:rsid w:val="005241CE"/>
    <w:rsid w:val="0052529F"/>
    <w:rsid w:val="00526415"/>
    <w:rsid w:val="0053070E"/>
    <w:rsid w:val="00531B72"/>
    <w:rsid w:val="00532CB8"/>
    <w:rsid w:val="0053650F"/>
    <w:rsid w:val="0053658D"/>
    <w:rsid w:val="00540A11"/>
    <w:rsid w:val="00541EE5"/>
    <w:rsid w:val="0054409B"/>
    <w:rsid w:val="00547C08"/>
    <w:rsid w:val="00552A32"/>
    <w:rsid w:val="00554454"/>
    <w:rsid w:val="005570F6"/>
    <w:rsid w:val="00560050"/>
    <w:rsid w:val="00560424"/>
    <w:rsid w:val="00562769"/>
    <w:rsid w:val="00567890"/>
    <w:rsid w:val="005716BC"/>
    <w:rsid w:val="00576F73"/>
    <w:rsid w:val="00577377"/>
    <w:rsid w:val="005804E2"/>
    <w:rsid w:val="005808A2"/>
    <w:rsid w:val="00580AA0"/>
    <w:rsid w:val="00582B54"/>
    <w:rsid w:val="005835AA"/>
    <w:rsid w:val="00584664"/>
    <w:rsid w:val="005867E1"/>
    <w:rsid w:val="00587ED9"/>
    <w:rsid w:val="005908D7"/>
    <w:rsid w:val="00591D69"/>
    <w:rsid w:val="00595931"/>
    <w:rsid w:val="005A11B0"/>
    <w:rsid w:val="005A4227"/>
    <w:rsid w:val="005A49F2"/>
    <w:rsid w:val="005A4F54"/>
    <w:rsid w:val="005A5854"/>
    <w:rsid w:val="005B3694"/>
    <w:rsid w:val="005B54F0"/>
    <w:rsid w:val="005B6880"/>
    <w:rsid w:val="005C26C9"/>
    <w:rsid w:val="005C2855"/>
    <w:rsid w:val="005C2DD0"/>
    <w:rsid w:val="005C3671"/>
    <w:rsid w:val="005C60F0"/>
    <w:rsid w:val="005C74C6"/>
    <w:rsid w:val="005D1638"/>
    <w:rsid w:val="005D2A26"/>
    <w:rsid w:val="005D4CC6"/>
    <w:rsid w:val="005D5BBF"/>
    <w:rsid w:val="005D68FD"/>
    <w:rsid w:val="005D6F87"/>
    <w:rsid w:val="005E0D30"/>
    <w:rsid w:val="005E4133"/>
    <w:rsid w:val="005E42FF"/>
    <w:rsid w:val="005E7586"/>
    <w:rsid w:val="005F6DD2"/>
    <w:rsid w:val="00600E68"/>
    <w:rsid w:val="0060317F"/>
    <w:rsid w:val="006036CC"/>
    <w:rsid w:val="006051B7"/>
    <w:rsid w:val="00605611"/>
    <w:rsid w:val="00606DFC"/>
    <w:rsid w:val="00611712"/>
    <w:rsid w:val="00611DCE"/>
    <w:rsid w:val="006139B0"/>
    <w:rsid w:val="00613DED"/>
    <w:rsid w:val="006148BB"/>
    <w:rsid w:val="006150B3"/>
    <w:rsid w:val="00615A6B"/>
    <w:rsid w:val="00615DE7"/>
    <w:rsid w:val="006206CD"/>
    <w:rsid w:val="00623EB6"/>
    <w:rsid w:val="00624535"/>
    <w:rsid w:val="00631E40"/>
    <w:rsid w:val="006343F9"/>
    <w:rsid w:val="006349BF"/>
    <w:rsid w:val="00634F4A"/>
    <w:rsid w:val="00635451"/>
    <w:rsid w:val="006368EC"/>
    <w:rsid w:val="00641952"/>
    <w:rsid w:val="00642BF2"/>
    <w:rsid w:val="0064425D"/>
    <w:rsid w:val="006462EF"/>
    <w:rsid w:val="006513F1"/>
    <w:rsid w:val="00652F16"/>
    <w:rsid w:val="0065464E"/>
    <w:rsid w:val="006557B5"/>
    <w:rsid w:val="0066373B"/>
    <w:rsid w:val="006652C7"/>
    <w:rsid w:val="00670175"/>
    <w:rsid w:val="0067688C"/>
    <w:rsid w:val="006803DF"/>
    <w:rsid w:val="006827AF"/>
    <w:rsid w:val="00683415"/>
    <w:rsid w:val="00690E63"/>
    <w:rsid w:val="00697852"/>
    <w:rsid w:val="006A120C"/>
    <w:rsid w:val="006A27D1"/>
    <w:rsid w:val="006A3426"/>
    <w:rsid w:val="006A5629"/>
    <w:rsid w:val="006A7362"/>
    <w:rsid w:val="006B26C9"/>
    <w:rsid w:val="006B41C3"/>
    <w:rsid w:val="006B4A0E"/>
    <w:rsid w:val="006B4E26"/>
    <w:rsid w:val="006B6E47"/>
    <w:rsid w:val="006B7B57"/>
    <w:rsid w:val="006B7C17"/>
    <w:rsid w:val="006B7EAE"/>
    <w:rsid w:val="006C0469"/>
    <w:rsid w:val="006C10AC"/>
    <w:rsid w:val="006C3264"/>
    <w:rsid w:val="006C589B"/>
    <w:rsid w:val="006D031B"/>
    <w:rsid w:val="006D05F1"/>
    <w:rsid w:val="006D0B30"/>
    <w:rsid w:val="006D1421"/>
    <w:rsid w:val="006D256F"/>
    <w:rsid w:val="006D29D9"/>
    <w:rsid w:val="006E03A3"/>
    <w:rsid w:val="006E12A2"/>
    <w:rsid w:val="006E1FD9"/>
    <w:rsid w:val="006E25D9"/>
    <w:rsid w:val="006F35A1"/>
    <w:rsid w:val="006F39AC"/>
    <w:rsid w:val="006F721C"/>
    <w:rsid w:val="007044AD"/>
    <w:rsid w:val="007045E5"/>
    <w:rsid w:val="00716237"/>
    <w:rsid w:val="007169E2"/>
    <w:rsid w:val="00720444"/>
    <w:rsid w:val="007214AB"/>
    <w:rsid w:val="007215FF"/>
    <w:rsid w:val="00722377"/>
    <w:rsid w:val="007320EF"/>
    <w:rsid w:val="007344B8"/>
    <w:rsid w:val="00735EBA"/>
    <w:rsid w:val="00736939"/>
    <w:rsid w:val="00736A04"/>
    <w:rsid w:val="00742965"/>
    <w:rsid w:val="00744F8C"/>
    <w:rsid w:val="0074573F"/>
    <w:rsid w:val="00753F5D"/>
    <w:rsid w:val="00754F05"/>
    <w:rsid w:val="00756C79"/>
    <w:rsid w:val="0075732D"/>
    <w:rsid w:val="007605A8"/>
    <w:rsid w:val="00767B88"/>
    <w:rsid w:val="007708D1"/>
    <w:rsid w:val="0077103D"/>
    <w:rsid w:val="00771EE1"/>
    <w:rsid w:val="007736CD"/>
    <w:rsid w:val="00773AA5"/>
    <w:rsid w:val="007762ED"/>
    <w:rsid w:val="00776A0A"/>
    <w:rsid w:val="00783971"/>
    <w:rsid w:val="0078459C"/>
    <w:rsid w:val="0078646D"/>
    <w:rsid w:val="00787E26"/>
    <w:rsid w:val="007941B0"/>
    <w:rsid w:val="0079526A"/>
    <w:rsid w:val="007A1F54"/>
    <w:rsid w:val="007A2CA6"/>
    <w:rsid w:val="007A2CBF"/>
    <w:rsid w:val="007A2DC1"/>
    <w:rsid w:val="007A3A8E"/>
    <w:rsid w:val="007A788B"/>
    <w:rsid w:val="007B1ED9"/>
    <w:rsid w:val="007B2197"/>
    <w:rsid w:val="007B2988"/>
    <w:rsid w:val="007B3BB1"/>
    <w:rsid w:val="007B3DA6"/>
    <w:rsid w:val="007B434A"/>
    <w:rsid w:val="007B4D47"/>
    <w:rsid w:val="007B4EA3"/>
    <w:rsid w:val="007B64E8"/>
    <w:rsid w:val="007B70FC"/>
    <w:rsid w:val="007C016D"/>
    <w:rsid w:val="007C18C7"/>
    <w:rsid w:val="007C250E"/>
    <w:rsid w:val="007C5901"/>
    <w:rsid w:val="007C5E35"/>
    <w:rsid w:val="007D1CCF"/>
    <w:rsid w:val="007D35DC"/>
    <w:rsid w:val="007E1F2F"/>
    <w:rsid w:val="007E224A"/>
    <w:rsid w:val="007E26A7"/>
    <w:rsid w:val="007E47A7"/>
    <w:rsid w:val="007E674A"/>
    <w:rsid w:val="007E74D1"/>
    <w:rsid w:val="007F2BFA"/>
    <w:rsid w:val="007F7F69"/>
    <w:rsid w:val="008009C3"/>
    <w:rsid w:val="008045B8"/>
    <w:rsid w:val="00805320"/>
    <w:rsid w:val="00805C3C"/>
    <w:rsid w:val="00806B1B"/>
    <w:rsid w:val="00811270"/>
    <w:rsid w:val="008124FA"/>
    <w:rsid w:val="00814A90"/>
    <w:rsid w:val="00817241"/>
    <w:rsid w:val="0081731D"/>
    <w:rsid w:val="008225AA"/>
    <w:rsid w:val="008235C5"/>
    <w:rsid w:val="008248DC"/>
    <w:rsid w:val="00825576"/>
    <w:rsid w:val="00825602"/>
    <w:rsid w:val="008256AA"/>
    <w:rsid w:val="00825BB2"/>
    <w:rsid w:val="00832C04"/>
    <w:rsid w:val="00835BD6"/>
    <w:rsid w:val="008377A6"/>
    <w:rsid w:val="00837CA6"/>
    <w:rsid w:val="008400E7"/>
    <w:rsid w:val="0084309F"/>
    <w:rsid w:val="00843204"/>
    <w:rsid w:val="00844928"/>
    <w:rsid w:val="008457B8"/>
    <w:rsid w:val="00851663"/>
    <w:rsid w:val="008521B9"/>
    <w:rsid w:val="00853999"/>
    <w:rsid w:val="00856671"/>
    <w:rsid w:val="00856C61"/>
    <w:rsid w:val="008614DA"/>
    <w:rsid w:val="0086514D"/>
    <w:rsid w:val="0086569B"/>
    <w:rsid w:val="008758A0"/>
    <w:rsid w:val="00876135"/>
    <w:rsid w:val="00884165"/>
    <w:rsid w:val="00884F3C"/>
    <w:rsid w:val="008861B2"/>
    <w:rsid w:val="00886FA9"/>
    <w:rsid w:val="00892322"/>
    <w:rsid w:val="00892E22"/>
    <w:rsid w:val="008932AA"/>
    <w:rsid w:val="00893F6A"/>
    <w:rsid w:val="008A1295"/>
    <w:rsid w:val="008A2312"/>
    <w:rsid w:val="008A3084"/>
    <w:rsid w:val="008A3353"/>
    <w:rsid w:val="008A36D8"/>
    <w:rsid w:val="008A783C"/>
    <w:rsid w:val="008A7F7F"/>
    <w:rsid w:val="008B3BB1"/>
    <w:rsid w:val="008B5447"/>
    <w:rsid w:val="008B7790"/>
    <w:rsid w:val="008C3336"/>
    <w:rsid w:val="008C398E"/>
    <w:rsid w:val="008C53D8"/>
    <w:rsid w:val="008C7056"/>
    <w:rsid w:val="008D28CD"/>
    <w:rsid w:val="008D2944"/>
    <w:rsid w:val="008D3389"/>
    <w:rsid w:val="008D3A10"/>
    <w:rsid w:val="008D44A4"/>
    <w:rsid w:val="008E1545"/>
    <w:rsid w:val="008E302C"/>
    <w:rsid w:val="008E5F37"/>
    <w:rsid w:val="008F20F3"/>
    <w:rsid w:val="009010F9"/>
    <w:rsid w:val="00904CD8"/>
    <w:rsid w:val="009064B1"/>
    <w:rsid w:val="00906AA1"/>
    <w:rsid w:val="0090701B"/>
    <w:rsid w:val="009072D2"/>
    <w:rsid w:val="00911C91"/>
    <w:rsid w:val="00913669"/>
    <w:rsid w:val="009205FB"/>
    <w:rsid w:val="0092450B"/>
    <w:rsid w:val="00933758"/>
    <w:rsid w:val="00936156"/>
    <w:rsid w:val="00936629"/>
    <w:rsid w:val="00940CB6"/>
    <w:rsid w:val="00942827"/>
    <w:rsid w:val="009449B1"/>
    <w:rsid w:val="00944C93"/>
    <w:rsid w:val="009466FD"/>
    <w:rsid w:val="009512FB"/>
    <w:rsid w:val="00955ACC"/>
    <w:rsid w:val="00957CCD"/>
    <w:rsid w:val="00964251"/>
    <w:rsid w:val="00964848"/>
    <w:rsid w:val="00965DDD"/>
    <w:rsid w:val="00967013"/>
    <w:rsid w:val="009677A1"/>
    <w:rsid w:val="00977393"/>
    <w:rsid w:val="009775EE"/>
    <w:rsid w:val="009777D1"/>
    <w:rsid w:val="00981DB0"/>
    <w:rsid w:val="00982EDE"/>
    <w:rsid w:val="009845E5"/>
    <w:rsid w:val="009852BC"/>
    <w:rsid w:val="009916E7"/>
    <w:rsid w:val="009919A4"/>
    <w:rsid w:val="009956AE"/>
    <w:rsid w:val="00995D5E"/>
    <w:rsid w:val="009A066B"/>
    <w:rsid w:val="009A0C5F"/>
    <w:rsid w:val="009A1FB1"/>
    <w:rsid w:val="009A270F"/>
    <w:rsid w:val="009A59E9"/>
    <w:rsid w:val="009B160E"/>
    <w:rsid w:val="009B1CE7"/>
    <w:rsid w:val="009B59DB"/>
    <w:rsid w:val="009B6849"/>
    <w:rsid w:val="009C50C1"/>
    <w:rsid w:val="009C6EB7"/>
    <w:rsid w:val="009C7597"/>
    <w:rsid w:val="009D029A"/>
    <w:rsid w:val="009D0A3A"/>
    <w:rsid w:val="009D3F55"/>
    <w:rsid w:val="009D4060"/>
    <w:rsid w:val="009D407D"/>
    <w:rsid w:val="009D75FD"/>
    <w:rsid w:val="009E1B9B"/>
    <w:rsid w:val="009E20E2"/>
    <w:rsid w:val="009E309E"/>
    <w:rsid w:val="009E46F8"/>
    <w:rsid w:val="009E7A34"/>
    <w:rsid w:val="009F10CB"/>
    <w:rsid w:val="009F1418"/>
    <w:rsid w:val="009F334D"/>
    <w:rsid w:val="009F3480"/>
    <w:rsid w:val="009F35A2"/>
    <w:rsid w:val="009F545A"/>
    <w:rsid w:val="00A021E3"/>
    <w:rsid w:val="00A059AB"/>
    <w:rsid w:val="00A1168D"/>
    <w:rsid w:val="00A11735"/>
    <w:rsid w:val="00A1181A"/>
    <w:rsid w:val="00A12A37"/>
    <w:rsid w:val="00A133EB"/>
    <w:rsid w:val="00A14851"/>
    <w:rsid w:val="00A21FE3"/>
    <w:rsid w:val="00A23C11"/>
    <w:rsid w:val="00A24281"/>
    <w:rsid w:val="00A26B35"/>
    <w:rsid w:val="00A3001E"/>
    <w:rsid w:val="00A31C08"/>
    <w:rsid w:val="00A358E4"/>
    <w:rsid w:val="00A36954"/>
    <w:rsid w:val="00A404EA"/>
    <w:rsid w:val="00A40E4E"/>
    <w:rsid w:val="00A41E76"/>
    <w:rsid w:val="00A42E92"/>
    <w:rsid w:val="00A502C4"/>
    <w:rsid w:val="00A535E1"/>
    <w:rsid w:val="00A56A34"/>
    <w:rsid w:val="00A56B65"/>
    <w:rsid w:val="00A621E0"/>
    <w:rsid w:val="00A6302B"/>
    <w:rsid w:val="00A63A13"/>
    <w:rsid w:val="00A6407D"/>
    <w:rsid w:val="00A6461E"/>
    <w:rsid w:val="00A652F2"/>
    <w:rsid w:val="00A656C6"/>
    <w:rsid w:val="00A6633E"/>
    <w:rsid w:val="00A73137"/>
    <w:rsid w:val="00A743A7"/>
    <w:rsid w:val="00A74CE9"/>
    <w:rsid w:val="00A7526C"/>
    <w:rsid w:val="00A77299"/>
    <w:rsid w:val="00A77F46"/>
    <w:rsid w:val="00A77F62"/>
    <w:rsid w:val="00A80EBC"/>
    <w:rsid w:val="00A84A07"/>
    <w:rsid w:val="00A85462"/>
    <w:rsid w:val="00A8684E"/>
    <w:rsid w:val="00A92A74"/>
    <w:rsid w:val="00A95152"/>
    <w:rsid w:val="00A97838"/>
    <w:rsid w:val="00AA1F58"/>
    <w:rsid w:val="00AB342C"/>
    <w:rsid w:val="00AB44B5"/>
    <w:rsid w:val="00AB4650"/>
    <w:rsid w:val="00AB59A0"/>
    <w:rsid w:val="00AB70BD"/>
    <w:rsid w:val="00AC050D"/>
    <w:rsid w:val="00AC305B"/>
    <w:rsid w:val="00AC38C2"/>
    <w:rsid w:val="00AC5810"/>
    <w:rsid w:val="00AC6F3C"/>
    <w:rsid w:val="00AD0C24"/>
    <w:rsid w:val="00AD4CCE"/>
    <w:rsid w:val="00AD601F"/>
    <w:rsid w:val="00AD7B4F"/>
    <w:rsid w:val="00AE4E72"/>
    <w:rsid w:val="00AE75F2"/>
    <w:rsid w:val="00AF19D8"/>
    <w:rsid w:val="00AF224A"/>
    <w:rsid w:val="00AF3191"/>
    <w:rsid w:val="00AF3DD9"/>
    <w:rsid w:val="00AF59C7"/>
    <w:rsid w:val="00AF5F08"/>
    <w:rsid w:val="00AF783C"/>
    <w:rsid w:val="00B03F58"/>
    <w:rsid w:val="00B056AB"/>
    <w:rsid w:val="00B06DD3"/>
    <w:rsid w:val="00B11619"/>
    <w:rsid w:val="00B11F23"/>
    <w:rsid w:val="00B148B1"/>
    <w:rsid w:val="00B15CC8"/>
    <w:rsid w:val="00B201A4"/>
    <w:rsid w:val="00B22D2A"/>
    <w:rsid w:val="00B2445C"/>
    <w:rsid w:val="00B25C8E"/>
    <w:rsid w:val="00B269C0"/>
    <w:rsid w:val="00B27493"/>
    <w:rsid w:val="00B304D1"/>
    <w:rsid w:val="00B32486"/>
    <w:rsid w:val="00B32B64"/>
    <w:rsid w:val="00B333CB"/>
    <w:rsid w:val="00B34A29"/>
    <w:rsid w:val="00B41082"/>
    <w:rsid w:val="00B44637"/>
    <w:rsid w:val="00B45419"/>
    <w:rsid w:val="00B46B73"/>
    <w:rsid w:val="00B4751D"/>
    <w:rsid w:val="00B47B6E"/>
    <w:rsid w:val="00B50193"/>
    <w:rsid w:val="00B50B87"/>
    <w:rsid w:val="00B51259"/>
    <w:rsid w:val="00B53834"/>
    <w:rsid w:val="00B543C6"/>
    <w:rsid w:val="00B55047"/>
    <w:rsid w:val="00B563CF"/>
    <w:rsid w:val="00B62AAC"/>
    <w:rsid w:val="00B63C4E"/>
    <w:rsid w:val="00B64A10"/>
    <w:rsid w:val="00B671F7"/>
    <w:rsid w:val="00B67D80"/>
    <w:rsid w:val="00B70B7E"/>
    <w:rsid w:val="00B73F2D"/>
    <w:rsid w:val="00B75688"/>
    <w:rsid w:val="00B76B05"/>
    <w:rsid w:val="00B77302"/>
    <w:rsid w:val="00B77EEE"/>
    <w:rsid w:val="00B809FE"/>
    <w:rsid w:val="00B81766"/>
    <w:rsid w:val="00B859FD"/>
    <w:rsid w:val="00B85B2D"/>
    <w:rsid w:val="00B86179"/>
    <w:rsid w:val="00B91F58"/>
    <w:rsid w:val="00B925CB"/>
    <w:rsid w:val="00BA02D4"/>
    <w:rsid w:val="00BA0CF9"/>
    <w:rsid w:val="00BA2ADD"/>
    <w:rsid w:val="00BA3FBF"/>
    <w:rsid w:val="00BA5ED6"/>
    <w:rsid w:val="00BA7362"/>
    <w:rsid w:val="00BA7D83"/>
    <w:rsid w:val="00BB0007"/>
    <w:rsid w:val="00BB3CE4"/>
    <w:rsid w:val="00BC3A0D"/>
    <w:rsid w:val="00BC5FF1"/>
    <w:rsid w:val="00BD0CA6"/>
    <w:rsid w:val="00BD2CD2"/>
    <w:rsid w:val="00BD36AF"/>
    <w:rsid w:val="00BD48FE"/>
    <w:rsid w:val="00BE08F0"/>
    <w:rsid w:val="00BE14A1"/>
    <w:rsid w:val="00BE1E66"/>
    <w:rsid w:val="00BE3CCC"/>
    <w:rsid w:val="00BE4EC4"/>
    <w:rsid w:val="00BF368C"/>
    <w:rsid w:val="00BF3A9C"/>
    <w:rsid w:val="00BF5A37"/>
    <w:rsid w:val="00BF6CF3"/>
    <w:rsid w:val="00C007DF"/>
    <w:rsid w:val="00C02682"/>
    <w:rsid w:val="00C04582"/>
    <w:rsid w:val="00C05016"/>
    <w:rsid w:val="00C05B72"/>
    <w:rsid w:val="00C13E04"/>
    <w:rsid w:val="00C20296"/>
    <w:rsid w:val="00C206C3"/>
    <w:rsid w:val="00C20BCE"/>
    <w:rsid w:val="00C23113"/>
    <w:rsid w:val="00C2333E"/>
    <w:rsid w:val="00C23C6B"/>
    <w:rsid w:val="00C251DD"/>
    <w:rsid w:val="00C26220"/>
    <w:rsid w:val="00C30558"/>
    <w:rsid w:val="00C3212C"/>
    <w:rsid w:val="00C34089"/>
    <w:rsid w:val="00C35E5E"/>
    <w:rsid w:val="00C40E51"/>
    <w:rsid w:val="00C4450E"/>
    <w:rsid w:val="00C4497B"/>
    <w:rsid w:val="00C5286D"/>
    <w:rsid w:val="00C53938"/>
    <w:rsid w:val="00C53BFF"/>
    <w:rsid w:val="00C54279"/>
    <w:rsid w:val="00C55EAA"/>
    <w:rsid w:val="00C5609C"/>
    <w:rsid w:val="00C57226"/>
    <w:rsid w:val="00C57AD5"/>
    <w:rsid w:val="00C6364F"/>
    <w:rsid w:val="00C639CA"/>
    <w:rsid w:val="00C65286"/>
    <w:rsid w:val="00C72AC4"/>
    <w:rsid w:val="00C73628"/>
    <w:rsid w:val="00C76B4F"/>
    <w:rsid w:val="00C82C76"/>
    <w:rsid w:val="00C84774"/>
    <w:rsid w:val="00C86D0F"/>
    <w:rsid w:val="00C9563A"/>
    <w:rsid w:val="00CA0656"/>
    <w:rsid w:val="00CA48E7"/>
    <w:rsid w:val="00CB288B"/>
    <w:rsid w:val="00CB300F"/>
    <w:rsid w:val="00CB36E1"/>
    <w:rsid w:val="00CB419E"/>
    <w:rsid w:val="00CC05FA"/>
    <w:rsid w:val="00CC07E2"/>
    <w:rsid w:val="00CC5E08"/>
    <w:rsid w:val="00CD04E8"/>
    <w:rsid w:val="00CD1C97"/>
    <w:rsid w:val="00CD3323"/>
    <w:rsid w:val="00CE00B9"/>
    <w:rsid w:val="00CE01DE"/>
    <w:rsid w:val="00CE22B3"/>
    <w:rsid w:val="00CE4036"/>
    <w:rsid w:val="00CE453E"/>
    <w:rsid w:val="00CE6302"/>
    <w:rsid w:val="00CE7B9A"/>
    <w:rsid w:val="00CF1E91"/>
    <w:rsid w:val="00CF1EED"/>
    <w:rsid w:val="00CF2AF2"/>
    <w:rsid w:val="00CF6135"/>
    <w:rsid w:val="00CF6D10"/>
    <w:rsid w:val="00D01CD4"/>
    <w:rsid w:val="00D02D78"/>
    <w:rsid w:val="00D03578"/>
    <w:rsid w:val="00D10A7E"/>
    <w:rsid w:val="00D11F49"/>
    <w:rsid w:val="00D1258F"/>
    <w:rsid w:val="00D137EF"/>
    <w:rsid w:val="00D16191"/>
    <w:rsid w:val="00D216D9"/>
    <w:rsid w:val="00D23A1B"/>
    <w:rsid w:val="00D27964"/>
    <w:rsid w:val="00D43769"/>
    <w:rsid w:val="00D43ADC"/>
    <w:rsid w:val="00D43E78"/>
    <w:rsid w:val="00D471CE"/>
    <w:rsid w:val="00D53C81"/>
    <w:rsid w:val="00D54174"/>
    <w:rsid w:val="00D54E00"/>
    <w:rsid w:val="00D5678B"/>
    <w:rsid w:val="00D601A4"/>
    <w:rsid w:val="00D6199A"/>
    <w:rsid w:val="00D6333B"/>
    <w:rsid w:val="00D65BCC"/>
    <w:rsid w:val="00D665F9"/>
    <w:rsid w:val="00D7047F"/>
    <w:rsid w:val="00D70966"/>
    <w:rsid w:val="00D75375"/>
    <w:rsid w:val="00D8068A"/>
    <w:rsid w:val="00D81617"/>
    <w:rsid w:val="00D82DF0"/>
    <w:rsid w:val="00D85EAF"/>
    <w:rsid w:val="00D90ABC"/>
    <w:rsid w:val="00D921F8"/>
    <w:rsid w:val="00D92EBB"/>
    <w:rsid w:val="00D935ED"/>
    <w:rsid w:val="00D9600A"/>
    <w:rsid w:val="00D96203"/>
    <w:rsid w:val="00D96461"/>
    <w:rsid w:val="00DA7E4D"/>
    <w:rsid w:val="00DC361C"/>
    <w:rsid w:val="00DC3CE8"/>
    <w:rsid w:val="00DC3EC5"/>
    <w:rsid w:val="00DC4C20"/>
    <w:rsid w:val="00DC73EB"/>
    <w:rsid w:val="00DD08F4"/>
    <w:rsid w:val="00DD1835"/>
    <w:rsid w:val="00DD67C6"/>
    <w:rsid w:val="00DE4FA2"/>
    <w:rsid w:val="00DF1351"/>
    <w:rsid w:val="00DF324D"/>
    <w:rsid w:val="00DF426A"/>
    <w:rsid w:val="00DF54B9"/>
    <w:rsid w:val="00DF6CC1"/>
    <w:rsid w:val="00E0109A"/>
    <w:rsid w:val="00E01E4A"/>
    <w:rsid w:val="00E03334"/>
    <w:rsid w:val="00E06215"/>
    <w:rsid w:val="00E077C5"/>
    <w:rsid w:val="00E10143"/>
    <w:rsid w:val="00E14047"/>
    <w:rsid w:val="00E14111"/>
    <w:rsid w:val="00E16F1C"/>
    <w:rsid w:val="00E16FE5"/>
    <w:rsid w:val="00E17B71"/>
    <w:rsid w:val="00E21CFB"/>
    <w:rsid w:val="00E27DA0"/>
    <w:rsid w:val="00E33124"/>
    <w:rsid w:val="00E3567E"/>
    <w:rsid w:val="00E35D1C"/>
    <w:rsid w:val="00E419D6"/>
    <w:rsid w:val="00E41C20"/>
    <w:rsid w:val="00E435FB"/>
    <w:rsid w:val="00E51A06"/>
    <w:rsid w:val="00E51A9B"/>
    <w:rsid w:val="00E52B87"/>
    <w:rsid w:val="00E53063"/>
    <w:rsid w:val="00E54A8E"/>
    <w:rsid w:val="00E57809"/>
    <w:rsid w:val="00E60812"/>
    <w:rsid w:val="00E60CF2"/>
    <w:rsid w:val="00E60D30"/>
    <w:rsid w:val="00E61149"/>
    <w:rsid w:val="00E6335E"/>
    <w:rsid w:val="00E645BC"/>
    <w:rsid w:val="00E70A6B"/>
    <w:rsid w:val="00E76B06"/>
    <w:rsid w:val="00E77DAB"/>
    <w:rsid w:val="00E813A5"/>
    <w:rsid w:val="00E87B7B"/>
    <w:rsid w:val="00E9095A"/>
    <w:rsid w:val="00E94561"/>
    <w:rsid w:val="00E979D0"/>
    <w:rsid w:val="00E97E37"/>
    <w:rsid w:val="00EA070B"/>
    <w:rsid w:val="00EA3107"/>
    <w:rsid w:val="00EA721C"/>
    <w:rsid w:val="00EA769B"/>
    <w:rsid w:val="00EA79C6"/>
    <w:rsid w:val="00EB4EEC"/>
    <w:rsid w:val="00EB6AE1"/>
    <w:rsid w:val="00EC0054"/>
    <w:rsid w:val="00EC184A"/>
    <w:rsid w:val="00EC28BF"/>
    <w:rsid w:val="00EC3FFC"/>
    <w:rsid w:val="00EC7B04"/>
    <w:rsid w:val="00ED1DC6"/>
    <w:rsid w:val="00ED5F34"/>
    <w:rsid w:val="00ED7F4A"/>
    <w:rsid w:val="00EE118C"/>
    <w:rsid w:val="00EE1B4C"/>
    <w:rsid w:val="00EE1CDC"/>
    <w:rsid w:val="00EE497E"/>
    <w:rsid w:val="00EE5353"/>
    <w:rsid w:val="00EE60A0"/>
    <w:rsid w:val="00EF0194"/>
    <w:rsid w:val="00EF0FB8"/>
    <w:rsid w:val="00EF6FFF"/>
    <w:rsid w:val="00EF71EC"/>
    <w:rsid w:val="00F04376"/>
    <w:rsid w:val="00F064AE"/>
    <w:rsid w:val="00F108ED"/>
    <w:rsid w:val="00F13581"/>
    <w:rsid w:val="00F141A8"/>
    <w:rsid w:val="00F201F0"/>
    <w:rsid w:val="00F252E3"/>
    <w:rsid w:val="00F303BB"/>
    <w:rsid w:val="00F326E6"/>
    <w:rsid w:val="00F35811"/>
    <w:rsid w:val="00F36270"/>
    <w:rsid w:val="00F365CE"/>
    <w:rsid w:val="00F37DC2"/>
    <w:rsid w:val="00F416EB"/>
    <w:rsid w:val="00F4235C"/>
    <w:rsid w:val="00F429B2"/>
    <w:rsid w:val="00F43607"/>
    <w:rsid w:val="00F44A2C"/>
    <w:rsid w:val="00F45B01"/>
    <w:rsid w:val="00F51193"/>
    <w:rsid w:val="00F53318"/>
    <w:rsid w:val="00F551C0"/>
    <w:rsid w:val="00F6346E"/>
    <w:rsid w:val="00F67F82"/>
    <w:rsid w:val="00F70883"/>
    <w:rsid w:val="00F7139B"/>
    <w:rsid w:val="00F74045"/>
    <w:rsid w:val="00F75EC4"/>
    <w:rsid w:val="00F76ECE"/>
    <w:rsid w:val="00F7753F"/>
    <w:rsid w:val="00F80486"/>
    <w:rsid w:val="00F817DE"/>
    <w:rsid w:val="00F82A7C"/>
    <w:rsid w:val="00F86CEC"/>
    <w:rsid w:val="00F871CA"/>
    <w:rsid w:val="00F876AA"/>
    <w:rsid w:val="00F876C6"/>
    <w:rsid w:val="00F9127C"/>
    <w:rsid w:val="00F94AA7"/>
    <w:rsid w:val="00FA2165"/>
    <w:rsid w:val="00FA2451"/>
    <w:rsid w:val="00FA2610"/>
    <w:rsid w:val="00FA396A"/>
    <w:rsid w:val="00FA5905"/>
    <w:rsid w:val="00FB15A1"/>
    <w:rsid w:val="00FB2AD5"/>
    <w:rsid w:val="00FB3467"/>
    <w:rsid w:val="00FB3601"/>
    <w:rsid w:val="00FB45DE"/>
    <w:rsid w:val="00FB768C"/>
    <w:rsid w:val="00FB7C8A"/>
    <w:rsid w:val="00FC1490"/>
    <w:rsid w:val="00FC3C68"/>
    <w:rsid w:val="00FC5199"/>
    <w:rsid w:val="00FC553B"/>
    <w:rsid w:val="00FD2180"/>
    <w:rsid w:val="00FD3DCB"/>
    <w:rsid w:val="00FD42EE"/>
    <w:rsid w:val="00FD7371"/>
    <w:rsid w:val="00FD7E73"/>
    <w:rsid w:val="00FE0450"/>
    <w:rsid w:val="00FE4347"/>
    <w:rsid w:val="00FE57B4"/>
    <w:rsid w:val="00FE6FC2"/>
    <w:rsid w:val="00FF052A"/>
    <w:rsid w:val="00FF36A1"/>
    <w:rsid w:val="00FF6A6A"/>
    <w:rsid w:val="00FF70FD"/>
    <w:rsid w:val="00FF7A9D"/>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3A0D"/>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C3A0D"/>
  </w:style>
  <w:style w:type="character" w:customStyle="1" w:styleId="FootnoteTextChar">
    <w:name w:val="Footnote Text Char"/>
    <w:basedOn w:val="DefaultParagraphFont"/>
    <w:link w:val="FootnoteText"/>
    <w:uiPriority w:val="99"/>
    <w:rsid w:val="00BC3A0D"/>
    <w:rPr>
      <w:sz w:val="24"/>
      <w:szCs w:val="24"/>
      <w:lang w:eastAsia="en-US"/>
    </w:rPr>
  </w:style>
  <w:style w:type="character" w:styleId="FootnoteReference">
    <w:name w:val="footnote reference"/>
    <w:basedOn w:val="DefaultParagraphFont"/>
    <w:uiPriority w:val="99"/>
    <w:unhideWhenUsed/>
    <w:rsid w:val="00BC3A0D"/>
    <w:rPr>
      <w:vertAlign w:val="superscript"/>
    </w:rPr>
  </w:style>
  <w:style w:type="paragraph" w:styleId="Header">
    <w:name w:val="header"/>
    <w:basedOn w:val="Normal"/>
    <w:link w:val="HeaderChar"/>
    <w:uiPriority w:val="99"/>
    <w:unhideWhenUsed/>
    <w:rsid w:val="00BC3A0D"/>
    <w:pPr>
      <w:tabs>
        <w:tab w:val="center" w:pos="4153"/>
        <w:tab w:val="right" w:pos="8306"/>
      </w:tabs>
    </w:pPr>
  </w:style>
  <w:style w:type="character" w:customStyle="1" w:styleId="HeaderChar">
    <w:name w:val="Header Char"/>
    <w:basedOn w:val="DefaultParagraphFont"/>
    <w:link w:val="Header"/>
    <w:uiPriority w:val="99"/>
    <w:rsid w:val="00BC3A0D"/>
    <w:rPr>
      <w:sz w:val="24"/>
      <w:szCs w:val="24"/>
      <w:lang w:eastAsia="en-US"/>
    </w:rPr>
  </w:style>
  <w:style w:type="paragraph" w:styleId="Footer">
    <w:name w:val="footer"/>
    <w:basedOn w:val="Normal"/>
    <w:link w:val="FooterChar"/>
    <w:uiPriority w:val="99"/>
    <w:unhideWhenUsed/>
    <w:rsid w:val="00BC3A0D"/>
    <w:pPr>
      <w:tabs>
        <w:tab w:val="center" w:pos="4153"/>
        <w:tab w:val="right" w:pos="8306"/>
      </w:tabs>
    </w:pPr>
  </w:style>
  <w:style w:type="character" w:customStyle="1" w:styleId="FooterChar">
    <w:name w:val="Footer Char"/>
    <w:basedOn w:val="DefaultParagraphFont"/>
    <w:link w:val="Footer"/>
    <w:uiPriority w:val="99"/>
    <w:rsid w:val="00BC3A0D"/>
    <w:rPr>
      <w:sz w:val="24"/>
      <w:szCs w:val="24"/>
      <w:lang w:eastAsia="en-US"/>
    </w:rPr>
  </w:style>
  <w:style w:type="character" w:styleId="PageNumber">
    <w:name w:val="page number"/>
    <w:basedOn w:val="DefaultParagraphFont"/>
    <w:uiPriority w:val="99"/>
    <w:semiHidden/>
    <w:unhideWhenUsed/>
    <w:rsid w:val="00BC3A0D"/>
  </w:style>
  <w:style w:type="character" w:styleId="CommentReference">
    <w:name w:val="annotation reference"/>
    <w:basedOn w:val="DefaultParagraphFont"/>
    <w:uiPriority w:val="99"/>
    <w:semiHidden/>
    <w:unhideWhenUsed/>
    <w:rsid w:val="00BC3A0D"/>
    <w:rPr>
      <w:sz w:val="18"/>
      <w:szCs w:val="18"/>
    </w:rPr>
  </w:style>
  <w:style w:type="paragraph" w:styleId="CommentText">
    <w:name w:val="annotation text"/>
    <w:basedOn w:val="Normal"/>
    <w:link w:val="CommentTextChar"/>
    <w:uiPriority w:val="99"/>
    <w:semiHidden/>
    <w:unhideWhenUsed/>
    <w:rsid w:val="00BC3A0D"/>
  </w:style>
  <w:style w:type="character" w:customStyle="1" w:styleId="CommentTextChar">
    <w:name w:val="Comment Text Char"/>
    <w:basedOn w:val="DefaultParagraphFont"/>
    <w:link w:val="CommentText"/>
    <w:uiPriority w:val="99"/>
    <w:semiHidden/>
    <w:rsid w:val="00BC3A0D"/>
    <w:rPr>
      <w:sz w:val="24"/>
      <w:szCs w:val="24"/>
      <w:lang w:eastAsia="en-US"/>
    </w:rPr>
  </w:style>
  <w:style w:type="paragraph" w:styleId="CommentSubject">
    <w:name w:val="annotation subject"/>
    <w:basedOn w:val="CommentText"/>
    <w:next w:val="CommentText"/>
    <w:link w:val="CommentSubjectChar"/>
    <w:uiPriority w:val="99"/>
    <w:semiHidden/>
    <w:unhideWhenUsed/>
    <w:rsid w:val="00BC3A0D"/>
    <w:rPr>
      <w:b/>
      <w:bCs/>
      <w:sz w:val="20"/>
      <w:szCs w:val="20"/>
    </w:rPr>
  </w:style>
  <w:style w:type="character" w:customStyle="1" w:styleId="CommentSubjectChar">
    <w:name w:val="Comment Subject Char"/>
    <w:basedOn w:val="CommentTextChar"/>
    <w:link w:val="CommentSubject"/>
    <w:uiPriority w:val="99"/>
    <w:semiHidden/>
    <w:rsid w:val="00BC3A0D"/>
    <w:rPr>
      <w:b/>
      <w:bCs/>
      <w:sz w:val="24"/>
      <w:szCs w:val="24"/>
      <w:lang w:eastAsia="en-US"/>
    </w:rPr>
  </w:style>
  <w:style w:type="paragraph" w:styleId="BalloonText">
    <w:name w:val="Balloon Text"/>
    <w:basedOn w:val="Normal"/>
    <w:link w:val="BalloonTextChar"/>
    <w:uiPriority w:val="99"/>
    <w:semiHidden/>
    <w:unhideWhenUsed/>
    <w:rsid w:val="00BC3A0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C3A0D"/>
    <w:rPr>
      <w:rFonts w:ascii="Lucida Grande" w:hAnsi="Lucida Grande" w:cs="Lucida Grande"/>
      <w:sz w:val="18"/>
      <w:szCs w:val="18"/>
      <w:lang w:eastAsia="en-US"/>
    </w:rPr>
  </w:style>
  <w:style w:type="character" w:styleId="EndnoteReference">
    <w:name w:val="endnote reference"/>
    <w:basedOn w:val="DefaultParagraphFont"/>
    <w:uiPriority w:val="99"/>
    <w:semiHidden/>
    <w:unhideWhenUsed/>
    <w:rsid w:val="00BC3A0D"/>
    <w:rPr>
      <w:vertAlign w:val="superscript"/>
    </w:rPr>
  </w:style>
  <w:style w:type="paragraph" w:styleId="ListParagraph">
    <w:name w:val="List Paragraph"/>
    <w:basedOn w:val="Normal"/>
    <w:uiPriority w:val="34"/>
    <w:qFormat/>
    <w:rsid w:val="00BC3A0D"/>
    <w:pPr>
      <w:ind w:left="720"/>
      <w:contextualSpacing/>
    </w:pPr>
  </w:style>
  <w:style w:type="paragraph" w:styleId="NormalWeb">
    <w:name w:val="Normal (Web)"/>
    <w:basedOn w:val="Normal"/>
    <w:uiPriority w:val="99"/>
    <w:semiHidden/>
    <w:unhideWhenUsed/>
    <w:rsid w:val="00BC3A0D"/>
    <w:pPr>
      <w:spacing w:before="100" w:beforeAutospacing="1" w:after="100" w:afterAutospacing="1"/>
    </w:pPr>
    <w:rPr>
      <w:rFonts w:ascii="Times" w:hAnsi="Times"/>
      <w:sz w:val="20"/>
      <w:szCs w:val="20"/>
      <w:lang w:val="de-DE"/>
    </w:rPr>
  </w:style>
  <w:style w:type="character" w:styleId="Hyperlink">
    <w:name w:val="Hyperlink"/>
    <w:basedOn w:val="DefaultParagraphFont"/>
    <w:uiPriority w:val="99"/>
    <w:unhideWhenUsed/>
    <w:rsid w:val="00FA396A"/>
    <w:rPr>
      <w:color w:val="0000FF"/>
      <w:u w:val="single"/>
    </w:rPr>
  </w:style>
  <w:style w:type="character" w:styleId="Strong">
    <w:name w:val="Strong"/>
    <w:basedOn w:val="DefaultParagraphFont"/>
    <w:uiPriority w:val="22"/>
    <w:qFormat/>
    <w:rsid w:val="008C398E"/>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3A0D"/>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C3A0D"/>
  </w:style>
  <w:style w:type="character" w:customStyle="1" w:styleId="FootnoteTextChar">
    <w:name w:val="Footnote Text Char"/>
    <w:basedOn w:val="DefaultParagraphFont"/>
    <w:link w:val="FootnoteText"/>
    <w:uiPriority w:val="99"/>
    <w:rsid w:val="00BC3A0D"/>
    <w:rPr>
      <w:sz w:val="24"/>
      <w:szCs w:val="24"/>
      <w:lang w:eastAsia="en-US"/>
    </w:rPr>
  </w:style>
  <w:style w:type="character" w:styleId="FootnoteReference">
    <w:name w:val="footnote reference"/>
    <w:basedOn w:val="DefaultParagraphFont"/>
    <w:uiPriority w:val="99"/>
    <w:unhideWhenUsed/>
    <w:rsid w:val="00BC3A0D"/>
    <w:rPr>
      <w:vertAlign w:val="superscript"/>
    </w:rPr>
  </w:style>
  <w:style w:type="paragraph" w:styleId="Header">
    <w:name w:val="header"/>
    <w:basedOn w:val="Normal"/>
    <w:link w:val="HeaderChar"/>
    <w:uiPriority w:val="99"/>
    <w:unhideWhenUsed/>
    <w:rsid w:val="00BC3A0D"/>
    <w:pPr>
      <w:tabs>
        <w:tab w:val="center" w:pos="4153"/>
        <w:tab w:val="right" w:pos="8306"/>
      </w:tabs>
    </w:pPr>
  </w:style>
  <w:style w:type="character" w:customStyle="1" w:styleId="HeaderChar">
    <w:name w:val="Header Char"/>
    <w:basedOn w:val="DefaultParagraphFont"/>
    <w:link w:val="Header"/>
    <w:uiPriority w:val="99"/>
    <w:rsid w:val="00BC3A0D"/>
    <w:rPr>
      <w:sz w:val="24"/>
      <w:szCs w:val="24"/>
      <w:lang w:eastAsia="en-US"/>
    </w:rPr>
  </w:style>
  <w:style w:type="paragraph" w:styleId="Footer">
    <w:name w:val="footer"/>
    <w:basedOn w:val="Normal"/>
    <w:link w:val="FooterChar"/>
    <w:uiPriority w:val="99"/>
    <w:unhideWhenUsed/>
    <w:rsid w:val="00BC3A0D"/>
    <w:pPr>
      <w:tabs>
        <w:tab w:val="center" w:pos="4153"/>
        <w:tab w:val="right" w:pos="8306"/>
      </w:tabs>
    </w:pPr>
  </w:style>
  <w:style w:type="character" w:customStyle="1" w:styleId="FooterChar">
    <w:name w:val="Footer Char"/>
    <w:basedOn w:val="DefaultParagraphFont"/>
    <w:link w:val="Footer"/>
    <w:uiPriority w:val="99"/>
    <w:rsid w:val="00BC3A0D"/>
    <w:rPr>
      <w:sz w:val="24"/>
      <w:szCs w:val="24"/>
      <w:lang w:eastAsia="en-US"/>
    </w:rPr>
  </w:style>
  <w:style w:type="character" w:styleId="PageNumber">
    <w:name w:val="page number"/>
    <w:basedOn w:val="DefaultParagraphFont"/>
    <w:uiPriority w:val="99"/>
    <w:semiHidden/>
    <w:unhideWhenUsed/>
    <w:rsid w:val="00BC3A0D"/>
  </w:style>
  <w:style w:type="character" w:styleId="CommentReference">
    <w:name w:val="annotation reference"/>
    <w:basedOn w:val="DefaultParagraphFont"/>
    <w:uiPriority w:val="99"/>
    <w:semiHidden/>
    <w:unhideWhenUsed/>
    <w:rsid w:val="00BC3A0D"/>
    <w:rPr>
      <w:sz w:val="18"/>
      <w:szCs w:val="18"/>
    </w:rPr>
  </w:style>
  <w:style w:type="paragraph" w:styleId="CommentText">
    <w:name w:val="annotation text"/>
    <w:basedOn w:val="Normal"/>
    <w:link w:val="CommentTextChar"/>
    <w:uiPriority w:val="99"/>
    <w:semiHidden/>
    <w:unhideWhenUsed/>
    <w:rsid w:val="00BC3A0D"/>
  </w:style>
  <w:style w:type="character" w:customStyle="1" w:styleId="CommentTextChar">
    <w:name w:val="Comment Text Char"/>
    <w:basedOn w:val="DefaultParagraphFont"/>
    <w:link w:val="CommentText"/>
    <w:uiPriority w:val="99"/>
    <w:semiHidden/>
    <w:rsid w:val="00BC3A0D"/>
    <w:rPr>
      <w:sz w:val="24"/>
      <w:szCs w:val="24"/>
      <w:lang w:eastAsia="en-US"/>
    </w:rPr>
  </w:style>
  <w:style w:type="paragraph" w:styleId="CommentSubject">
    <w:name w:val="annotation subject"/>
    <w:basedOn w:val="CommentText"/>
    <w:next w:val="CommentText"/>
    <w:link w:val="CommentSubjectChar"/>
    <w:uiPriority w:val="99"/>
    <w:semiHidden/>
    <w:unhideWhenUsed/>
    <w:rsid w:val="00BC3A0D"/>
    <w:rPr>
      <w:b/>
      <w:bCs/>
      <w:sz w:val="20"/>
      <w:szCs w:val="20"/>
    </w:rPr>
  </w:style>
  <w:style w:type="character" w:customStyle="1" w:styleId="CommentSubjectChar">
    <w:name w:val="Comment Subject Char"/>
    <w:basedOn w:val="CommentTextChar"/>
    <w:link w:val="CommentSubject"/>
    <w:uiPriority w:val="99"/>
    <w:semiHidden/>
    <w:rsid w:val="00BC3A0D"/>
    <w:rPr>
      <w:b/>
      <w:bCs/>
      <w:sz w:val="24"/>
      <w:szCs w:val="24"/>
      <w:lang w:eastAsia="en-US"/>
    </w:rPr>
  </w:style>
  <w:style w:type="paragraph" w:styleId="BalloonText">
    <w:name w:val="Balloon Text"/>
    <w:basedOn w:val="Normal"/>
    <w:link w:val="BalloonTextChar"/>
    <w:uiPriority w:val="99"/>
    <w:semiHidden/>
    <w:unhideWhenUsed/>
    <w:rsid w:val="00BC3A0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C3A0D"/>
    <w:rPr>
      <w:rFonts w:ascii="Lucida Grande" w:hAnsi="Lucida Grande" w:cs="Lucida Grande"/>
      <w:sz w:val="18"/>
      <w:szCs w:val="18"/>
      <w:lang w:eastAsia="en-US"/>
    </w:rPr>
  </w:style>
  <w:style w:type="character" w:styleId="EndnoteReference">
    <w:name w:val="endnote reference"/>
    <w:basedOn w:val="DefaultParagraphFont"/>
    <w:uiPriority w:val="99"/>
    <w:semiHidden/>
    <w:unhideWhenUsed/>
    <w:rsid w:val="00BC3A0D"/>
    <w:rPr>
      <w:vertAlign w:val="superscript"/>
    </w:rPr>
  </w:style>
  <w:style w:type="paragraph" w:styleId="ListParagraph">
    <w:name w:val="List Paragraph"/>
    <w:basedOn w:val="Normal"/>
    <w:uiPriority w:val="34"/>
    <w:qFormat/>
    <w:rsid w:val="00BC3A0D"/>
    <w:pPr>
      <w:ind w:left="720"/>
      <w:contextualSpacing/>
    </w:pPr>
  </w:style>
  <w:style w:type="paragraph" w:styleId="NormalWeb">
    <w:name w:val="Normal (Web)"/>
    <w:basedOn w:val="Normal"/>
    <w:uiPriority w:val="99"/>
    <w:semiHidden/>
    <w:unhideWhenUsed/>
    <w:rsid w:val="00BC3A0D"/>
    <w:pPr>
      <w:spacing w:before="100" w:beforeAutospacing="1" w:after="100" w:afterAutospacing="1"/>
    </w:pPr>
    <w:rPr>
      <w:rFonts w:ascii="Times" w:hAnsi="Times"/>
      <w:sz w:val="20"/>
      <w:szCs w:val="20"/>
      <w:lang w:val="de-DE"/>
    </w:rPr>
  </w:style>
  <w:style w:type="character" w:styleId="Hyperlink">
    <w:name w:val="Hyperlink"/>
    <w:basedOn w:val="DefaultParagraphFont"/>
    <w:uiPriority w:val="99"/>
    <w:unhideWhenUsed/>
    <w:rsid w:val="00FA396A"/>
    <w:rPr>
      <w:color w:val="0000FF"/>
      <w:u w:val="single"/>
    </w:rPr>
  </w:style>
  <w:style w:type="character" w:styleId="Strong">
    <w:name w:val="Strong"/>
    <w:basedOn w:val="DefaultParagraphFont"/>
    <w:uiPriority w:val="22"/>
    <w:qFormat/>
    <w:rsid w:val="008C398E"/>
    <w:rPr>
      <w:b/>
      <w:bCs/>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049846-1C7F-4D0E-940B-2AFF18685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22267</Words>
  <Characters>126922</Characters>
  <Application>Microsoft Office Word</Application>
  <DocSecurity>4</DocSecurity>
  <Lines>1057</Lines>
  <Paragraphs>297</Paragraphs>
  <ScaleCrop>false</ScaleCrop>
  <Company/>
  <LinksUpToDate>false</LinksUpToDate>
  <CharactersWithSpaces>148892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Office 2004 Test Drive Jeff</dc:creator>
  <cp:lastModifiedBy>Amy Schultz</cp:lastModifiedBy>
  <cp:revision>2</cp:revision>
  <cp:lastPrinted>2011-04-28T19:25:00Z</cp:lastPrinted>
  <dcterms:created xsi:type="dcterms:W3CDTF">2011-05-10T14:01:00Z</dcterms:created>
  <dcterms:modified xsi:type="dcterms:W3CDTF">2011-05-10T14:01:00Z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zotero-version="2.1.1"&gt;&lt;session id="2avSmn7O"/&gt;&lt;style id="http://www.zotero.org/styles/chicago-fullnote-bibliography" hasBibliography="1" bibliographyStyleHasBeenSet="0"/&gt;&lt;prefs&gt;&lt;pref name="fieldType" value="Field"/&gt;&lt;pref name="note</vt:lpwstr>
  </property>
  <property fmtid="{D5CDD505-2E9C-101B-9397-08002B2CF9AE}" pid="3" name="ZOTERO_PREF_2">
    <vt:lpwstr>Type" value="1"/&gt;&lt;/prefs&gt;&lt;/data&gt;</vt:lpwstr>
  </property>
</Properties>
</file>