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ECD735" w14:textId="77777777" w:rsidR="00035E23" w:rsidRDefault="00A363AC">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OBJECT: TBD</w:t>
      </w:r>
    </w:p>
    <w:p w14:paraId="4208EC9D" w14:textId="77777777" w:rsidR="00035E23" w:rsidRDefault="00A363AC">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A Reflective Essay on the Nature of the yet-to-be-decided Object in </w:t>
      </w:r>
    </w:p>
    <w:p w14:paraId="5E86EA34" w14:textId="7C9165F3" w:rsidR="00035E23" w:rsidRDefault="00A363AC">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Exhibition Design</w:t>
      </w:r>
      <w:r w:rsidR="00A745CD">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Field Museum, 2020</w:t>
      </w:r>
    </w:p>
    <w:p w14:paraId="71010958" w14:textId="4FD06EBA" w:rsidR="00A745CD" w:rsidRDefault="00A745CD">
      <w:pPr>
        <w:jc w:val="center"/>
        <w:rPr>
          <w:rFonts w:ascii="Times New Roman" w:eastAsia="Times New Roman" w:hAnsi="Times New Roman" w:cs="Times New Roman"/>
          <w:b/>
          <w:sz w:val="28"/>
          <w:szCs w:val="28"/>
        </w:rPr>
      </w:pPr>
    </w:p>
    <w:p w14:paraId="233155B2" w14:textId="77777777" w:rsidR="00A745CD" w:rsidRDefault="00A745CD" w:rsidP="00A745CD">
      <w:pPr>
        <w:jc w:val="center"/>
        <w:rPr>
          <w:rFonts w:ascii="Times New Roman" w:hAnsi="Times New Roman" w:cs="Times New Roman"/>
          <w:i/>
          <w:iCs/>
        </w:rPr>
      </w:pPr>
      <w:r>
        <w:rPr>
          <w:rFonts w:ascii="Times New Roman" w:hAnsi="Times New Roman" w:cs="Times New Roman"/>
          <w:i/>
          <w:iCs/>
        </w:rPr>
        <w:t xml:space="preserve">Anirudh </w:t>
      </w:r>
      <w:proofErr w:type="spellStart"/>
      <w:r>
        <w:rPr>
          <w:rFonts w:ascii="Times New Roman" w:hAnsi="Times New Roman" w:cs="Times New Roman"/>
          <w:i/>
          <w:iCs/>
        </w:rPr>
        <w:t>Shaktawat</w:t>
      </w:r>
      <w:proofErr w:type="spellEnd"/>
    </w:p>
    <w:p w14:paraId="36B15DEA" w14:textId="77777777" w:rsidR="00A745CD" w:rsidRDefault="00A745CD" w:rsidP="00A745CD">
      <w:pPr>
        <w:jc w:val="center"/>
        <w:rPr>
          <w:rFonts w:ascii="Times New Roman" w:hAnsi="Times New Roman" w:cs="Times New Roman"/>
          <w:i/>
          <w:iCs/>
        </w:rPr>
      </w:pPr>
    </w:p>
    <w:p w14:paraId="4D6CA217" w14:textId="77777777" w:rsidR="00A745CD" w:rsidRDefault="00A745CD" w:rsidP="00A745CD">
      <w:pPr>
        <w:jc w:val="center"/>
        <w:rPr>
          <w:rFonts w:ascii="Times New Roman" w:hAnsi="Times New Roman" w:cs="Times New Roman"/>
          <w:i/>
          <w:iCs/>
        </w:rPr>
      </w:pPr>
    </w:p>
    <w:p w14:paraId="5B931C27" w14:textId="77777777" w:rsidR="00A745CD" w:rsidRPr="00A745CD" w:rsidRDefault="00A745CD" w:rsidP="00A745CD">
      <w:pPr>
        <w:jc w:val="both"/>
        <w:rPr>
          <w:rFonts w:ascii="Times New Roman" w:hAnsi="Times New Roman" w:cs="Times New Roman"/>
          <w:sz w:val="20"/>
          <w:szCs w:val="20"/>
        </w:rPr>
      </w:pPr>
      <w:r w:rsidRPr="00A745CD">
        <w:rPr>
          <w:rFonts w:ascii="Times New Roman" w:hAnsi="Times New Roman" w:cs="Times New Roman"/>
          <w:i/>
          <w:iCs/>
          <w:sz w:val="20"/>
          <w:szCs w:val="20"/>
        </w:rPr>
        <w:t>Abstract:</w:t>
      </w:r>
      <w:r w:rsidRPr="00A745CD">
        <w:rPr>
          <w:rFonts w:ascii="Times New Roman" w:hAnsi="Times New Roman" w:cs="Times New Roman"/>
          <w:sz w:val="20"/>
          <w:szCs w:val="20"/>
        </w:rPr>
        <w:t xml:space="preserve"> In the year 2018 the Field Museum in Chicago, in response to the contemporary demands of inclusivity and decolonization, declared that it will redesign its Native American Hall. The developers and curators, in collaboration with Native American communities and curators from Chicago and elsewhere, came up with a list of 6 ‘truths’ about the community. By basing the show on these truths, the aim was to create a plan for an exhibition that can re-educate the public and dispel stereotypes associated with Native Americans. Within the abstract space of the exhibition plan many spots were labeled OBJECT: TBD (to-be-decided), which, in the final show, would be occupied by objects which hadn’t been finalized yet. This essay is an endeavor to bring out the attributes of this “would be” category (referred to as OBJECT: TBD) that the yet-to-be- decided objects reside in. </w:t>
      </w:r>
    </w:p>
    <w:p w14:paraId="35ABEF2B" w14:textId="77777777" w:rsidR="00A745CD" w:rsidRDefault="00A745CD" w:rsidP="00A745CD">
      <w:pPr>
        <w:rPr>
          <w:rFonts w:ascii="Times New Roman" w:hAnsi="Times New Roman" w:cs="Times New Roman"/>
          <w:sz w:val="20"/>
          <w:szCs w:val="20"/>
        </w:rPr>
      </w:pPr>
    </w:p>
    <w:p w14:paraId="200306C9" w14:textId="77777777" w:rsidR="00A745CD" w:rsidRPr="009A0609" w:rsidRDefault="00A745CD" w:rsidP="00A745CD">
      <w:pPr>
        <w:rPr>
          <w:rFonts w:ascii="Times New Roman" w:eastAsia="Times New Roman" w:hAnsi="Times New Roman" w:cs="Times New Roman"/>
        </w:rPr>
      </w:pPr>
      <w:r w:rsidRPr="00CA28E6">
        <w:rPr>
          <w:rFonts w:ascii="Times New Roman" w:hAnsi="Times New Roman" w:cs="Times New Roman"/>
          <w:b/>
          <w:bCs/>
          <w:sz w:val="18"/>
          <w:szCs w:val="18"/>
        </w:rPr>
        <w:t>Keywords:</w:t>
      </w:r>
      <w:r>
        <w:rPr>
          <w:rFonts w:ascii="Times New Roman" w:hAnsi="Times New Roman" w:cs="Times New Roman"/>
          <w:b/>
          <w:bCs/>
          <w:sz w:val="18"/>
          <w:szCs w:val="18"/>
        </w:rPr>
        <w:t xml:space="preserve"> </w:t>
      </w:r>
      <w:r w:rsidRPr="009A0609">
        <w:rPr>
          <w:rFonts w:ascii="Times New Roman" w:eastAsia="Times New Roman" w:hAnsi="Times New Roman" w:cs="Times New Roman"/>
          <w:sz w:val="18"/>
          <w:szCs w:val="18"/>
        </w:rPr>
        <w:t>Decolonization, Exhibition design, Field Museum, Object, Museum studies</w:t>
      </w:r>
    </w:p>
    <w:p w14:paraId="0A34B5DB" w14:textId="77777777" w:rsidR="00A745CD" w:rsidRDefault="00A745CD">
      <w:pPr>
        <w:jc w:val="center"/>
        <w:rPr>
          <w:rFonts w:ascii="Times New Roman" w:eastAsia="Times New Roman" w:hAnsi="Times New Roman" w:cs="Times New Roman"/>
          <w:b/>
          <w:sz w:val="28"/>
          <w:szCs w:val="28"/>
        </w:rPr>
      </w:pPr>
    </w:p>
    <w:p w14:paraId="78D3BBB5" w14:textId="77777777" w:rsidR="00035E23" w:rsidRDefault="00035E23">
      <w:pPr>
        <w:jc w:val="center"/>
        <w:rPr>
          <w:rFonts w:ascii="Times New Roman" w:eastAsia="Times New Roman" w:hAnsi="Times New Roman" w:cs="Times New Roman"/>
          <w:b/>
          <w:sz w:val="28"/>
          <w:szCs w:val="28"/>
        </w:rPr>
      </w:pPr>
    </w:p>
    <w:p w14:paraId="6DD50164" w14:textId="77777777" w:rsidR="00035E23" w:rsidRDefault="00A363AC">
      <w:pPr>
        <w:rPr>
          <w:rFonts w:ascii="Times New Roman" w:eastAsia="Times New Roman" w:hAnsi="Times New Roman" w:cs="Times New Roman"/>
          <w:b/>
        </w:rPr>
      </w:pPr>
      <w:r>
        <w:rPr>
          <w:rFonts w:ascii="Times New Roman" w:eastAsia="Times New Roman" w:hAnsi="Times New Roman" w:cs="Times New Roman"/>
          <w:b/>
        </w:rPr>
        <w:t>Introduction</w:t>
      </w:r>
    </w:p>
    <w:p w14:paraId="1FA3563C" w14:textId="77777777" w:rsidR="00035E23" w:rsidRDefault="00035E23">
      <w:pPr>
        <w:rPr>
          <w:rFonts w:ascii="Times New Roman" w:eastAsia="Times New Roman" w:hAnsi="Times New Roman" w:cs="Times New Roman"/>
          <w:sz w:val="20"/>
          <w:szCs w:val="20"/>
        </w:rPr>
      </w:pPr>
    </w:p>
    <w:p w14:paraId="58300DD8" w14:textId="77777777" w:rsidR="00035E23" w:rsidRDefault="00A363AC" w:rsidP="00BE53D1">
      <w:pPr>
        <w:ind w:firstLine="720"/>
        <w:jc w:val="both"/>
      </w:pPr>
      <w:r>
        <w:rPr>
          <w:rFonts w:ascii="Times New Roman" w:eastAsia="Times New Roman" w:hAnsi="Times New Roman" w:cs="Times New Roman"/>
          <w:sz w:val="20"/>
          <w:szCs w:val="20"/>
        </w:rPr>
        <w:t>Established during the World’s Columbian Exposition of 1893, the Field Museum in Chicago houses one of the better-known collections of Anthropology and Natural Sciences. Past the massive staircase and security checkpoint, its gaping hall invites the public</w:t>
      </w:r>
      <w:r>
        <w:rPr>
          <w:rFonts w:ascii="Times New Roman" w:eastAsia="Times New Roman" w:hAnsi="Times New Roman" w:cs="Times New Roman"/>
          <w:sz w:val="20"/>
          <w:szCs w:val="20"/>
        </w:rPr>
        <w:t xml:space="preserve"> to observe in awe the recreations of fossilized dinosaurs, elephants, and archaeological artifacts. Arches that rise to the ceiling and barricade the hall on both sides hide in their thickness galleries that bleed meaning into objects. Nested in their coo</w:t>
      </w:r>
      <w:r>
        <w:rPr>
          <w:rFonts w:ascii="Times New Roman" w:eastAsia="Times New Roman" w:hAnsi="Times New Roman" w:cs="Times New Roman"/>
          <w:sz w:val="20"/>
          <w:szCs w:val="20"/>
        </w:rPr>
        <w:t xml:space="preserve">l darkness are the academic, managerial, and creative departments which, although often operating as individual cells with internal systems, come together to run the engine of the Museum. Multiple elevators and countless puzzling staircases rise up to the </w:t>
      </w:r>
      <w:r>
        <w:rPr>
          <w:rFonts w:ascii="Times New Roman" w:eastAsia="Times New Roman" w:hAnsi="Times New Roman" w:cs="Times New Roman"/>
          <w:sz w:val="20"/>
          <w:szCs w:val="20"/>
        </w:rPr>
        <w:t>loft of Exhibition Design where, in a tiny cabin, I spent most of my time as an independent research intern. Besides exploring the various exhibitions on display, reading books on the design process, and occasional siestas, my days involved observing inter</w:t>
      </w:r>
      <w:r>
        <w:rPr>
          <w:rFonts w:ascii="Times New Roman" w:eastAsia="Times New Roman" w:hAnsi="Times New Roman" w:cs="Times New Roman"/>
          <w:sz w:val="20"/>
          <w:szCs w:val="20"/>
        </w:rPr>
        <w:t xml:space="preserve"> and intra departmental meetings that discussed the museum’s endeavor to redesign its Native American Hall. Since the initial opening of the Hall in the 1950s, its content and display have remained largely unchanged. The objects in this collection have als</w:t>
      </w:r>
      <w:r>
        <w:rPr>
          <w:rFonts w:ascii="Times New Roman" w:eastAsia="Times New Roman" w:hAnsi="Times New Roman" w:cs="Times New Roman"/>
          <w:sz w:val="20"/>
          <w:szCs w:val="20"/>
        </w:rPr>
        <w:t>o had a very controversial history. As the museum’s repatriation portal notes, many of the items in its possession were unethically acquired if not directly looted (n.d. Field Museum). Responding to contemporary discourses on inclusivity and decolonization</w:t>
      </w:r>
      <w:r>
        <w:rPr>
          <w:rFonts w:ascii="Times New Roman" w:eastAsia="Times New Roman" w:hAnsi="Times New Roman" w:cs="Times New Roman"/>
          <w:sz w:val="20"/>
          <w:szCs w:val="20"/>
        </w:rPr>
        <w:t>, and, in the process, to validate its own existence and that of its collection, the museum decided to alter the Hall</w:t>
      </w:r>
      <w:hyperlink w:anchor="bookmark=id.gjdgxs">
        <w:r>
          <w:rPr>
            <w:rFonts w:ascii="Times New Roman" w:eastAsia="Times New Roman" w:hAnsi="Times New Roman" w:cs="Times New Roman"/>
            <w:color w:val="0563C1"/>
            <w:sz w:val="20"/>
            <w:szCs w:val="20"/>
            <w:u w:val="single"/>
            <w:vertAlign w:val="superscript"/>
          </w:rPr>
          <w:t>1</w:t>
        </w:r>
      </w:hyperlink>
      <w:r>
        <w:rPr>
          <w:rFonts w:ascii="Times New Roman" w:eastAsia="Times New Roman" w:hAnsi="Times New Roman" w:cs="Times New Roman"/>
          <w:sz w:val="20"/>
          <w:szCs w:val="20"/>
        </w:rPr>
        <w:t>. This strategy of the museum to respond to critique on its collection is not particularly new; i</w:t>
      </w:r>
      <w:r>
        <w:rPr>
          <w:rFonts w:ascii="Times New Roman" w:eastAsia="Times New Roman" w:hAnsi="Times New Roman" w:cs="Times New Roman"/>
          <w:sz w:val="20"/>
          <w:szCs w:val="20"/>
        </w:rPr>
        <w:t>n the past, it has re-presented its bronze sculptures from the Races of Mankind exhibit of 1933 to either avoid or indulge in conversations around its own racist history (Macdonald 1998:46-66). In the case of the future Native American Hall, this reconfigu</w:t>
      </w:r>
      <w:r>
        <w:rPr>
          <w:rFonts w:ascii="Times New Roman" w:eastAsia="Times New Roman" w:hAnsi="Times New Roman" w:cs="Times New Roman"/>
          <w:sz w:val="20"/>
          <w:szCs w:val="20"/>
        </w:rPr>
        <w:t>ration will be facilitated by a shift from an object-based display to a context-based one. In the weekly team meetings to discuss the progress of the development process, this move was quite evident.</w:t>
      </w:r>
    </w:p>
    <w:p w14:paraId="468FED56" w14:textId="77777777" w:rsidR="00035E23" w:rsidRDefault="00A363AC" w:rsidP="00BE53D1">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1A90DC3A" w14:textId="77777777" w:rsidR="00035E23" w:rsidRDefault="00A363AC" w:rsidP="00BE53D1">
      <w:pPr>
        <w:ind w:firstLine="720"/>
        <w:jc w:val="both"/>
      </w:pPr>
      <w:r>
        <w:rPr>
          <w:rFonts w:ascii="Times New Roman" w:eastAsia="Times New Roman" w:hAnsi="Times New Roman" w:cs="Times New Roman"/>
          <w:sz w:val="20"/>
          <w:szCs w:val="20"/>
        </w:rPr>
        <w:t xml:space="preserve">The developers, in collaboration with Native American </w:t>
      </w:r>
      <w:r>
        <w:rPr>
          <w:rFonts w:ascii="Times New Roman" w:eastAsia="Times New Roman" w:hAnsi="Times New Roman" w:cs="Times New Roman"/>
          <w:sz w:val="20"/>
          <w:szCs w:val="20"/>
        </w:rPr>
        <w:t xml:space="preserve">communities and curators from Chicago and elsewhere, had come up with a list of </w:t>
      </w:r>
      <w:r>
        <w:rPr>
          <w:rFonts w:ascii="Times New Roman" w:eastAsia="Times New Roman" w:hAnsi="Times New Roman" w:cs="Times New Roman"/>
          <w:b/>
          <w:sz w:val="20"/>
          <w:szCs w:val="20"/>
        </w:rPr>
        <w:t>Six ‘truths’</w:t>
      </w:r>
      <w:r>
        <w:rPr>
          <w:rFonts w:ascii="Times New Roman" w:eastAsia="Times New Roman" w:hAnsi="Times New Roman" w:cs="Times New Roman"/>
          <w:sz w:val="20"/>
          <w:szCs w:val="20"/>
        </w:rPr>
        <w:t xml:space="preserve"> about the community. In the meetings, these truths were described as follows: Our ancestors connect us to past, present, and the future; native people are everywhe</w:t>
      </w:r>
      <w:r>
        <w:rPr>
          <w:rFonts w:ascii="Times New Roman" w:eastAsia="Times New Roman" w:hAnsi="Times New Roman" w:cs="Times New Roman"/>
          <w:sz w:val="20"/>
          <w:szCs w:val="20"/>
        </w:rPr>
        <w:t>re; we are deeply connected to the places we come from; we have the right to govern ourselves; should the Field Museum house the works of our ancestors; when we don’t speak for ourselves, there are consequences for our communities. By organizing the object</w:t>
      </w:r>
      <w:r>
        <w:rPr>
          <w:rFonts w:ascii="Times New Roman" w:eastAsia="Times New Roman" w:hAnsi="Times New Roman" w:cs="Times New Roman"/>
          <w:sz w:val="20"/>
          <w:szCs w:val="20"/>
        </w:rPr>
        <w:t xml:space="preserve">s around these truths, the aim was to create a plan for an exhibition that can re-educate the public and dispel stereotypes associated with Native Americans </w:t>
      </w:r>
      <w:r>
        <w:rPr>
          <w:rFonts w:ascii="Times New Roman" w:eastAsia="Times New Roman" w:hAnsi="Times New Roman" w:cs="Times New Roman"/>
          <w:color w:val="000000"/>
          <w:sz w:val="20"/>
          <w:szCs w:val="20"/>
        </w:rPr>
        <w:t>(some of the objects which were considered for the show were jewelry items, native flags, the curre</w:t>
      </w:r>
      <w:r>
        <w:rPr>
          <w:rFonts w:ascii="Times New Roman" w:eastAsia="Times New Roman" w:hAnsi="Times New Roman" w:cs="Times New Roman"/>
          <w:color w:val="000000"/>
          <w:sz w:val="20"/>
          <w:szCs w:val="20"/>
        </w:rPr>
        <w:t xml:space="preserve">ncy of native nations, models of sacred turtle shells, etc.). </w:t>
      </w:r>
      <w:r>
        <w:rPr>
          <w:rFonts w:ascii="Times New Roman" w:eastAsia="Times New Roman" w:hAnsi="Times New Roman" w:cs="Times New Roman"/>
          <w:sz w:val="20"/>
          <w:szCs w:val="20"/>
        </w:rPr>
        <w:t xml:space="preserve">In their essay Introduction: Museums and the Educational Turn: History, Memory, Inclusivity, Anderman, and </w:t>
      </w:r>
      <w:proofErr w:type="spellStart"/>
      <w:r>
        <w:rPr>
          <w:rFonts w:ascii="Times New Roman" w:eastAsia="Times New Roman" w:hAnsi="Times New Roman" w:cs="Times New Roman"/>
          <w:sz w:val="20"/>
          <w:szCs w:val="20"/>
        </w:rPr>
        <w:t>Simine</w:t>
      </w:r>
      <w:proofErr w:type="spellEnd"/>
      <w:r>
        <w:rPr>
          <w:rFonts w:ascii="Times New Roman" w:eastAsia="Times New Roman" w:hAnsi="Times New Roman" w:cs="Times New Roman"/>
          <w:sz w:val="20"/>
          <w:szCs w:val="20"/>
        </w:rPr>
        <w:t xml:space="preserve"> note the educational focus in new museum practices. They say that in “responding</w:t>
      </w:r>
      <w:r>
        <w:rPr>
          <w:rFonts w:ascii="Times New Roman" w:eastAsia="Times New Roman" w:hAnsi="Times New Roman" w:cs="Times New Roman"/>
          <w:sz w:val="20"/>
          <w:szCs w:val="20"/>
        </w:rPr>
        <w:t xml:space="preserve"> to feminist, postcolonial and </w:t>
      </w:r>
      <w:proofErr w:type="spellStart"/>
      <w:r>
        <w:rPr>
          <w:rFonts w:ascii="Times New Roman" w:eastAsia="Times New Roman" w:hAnsi="Times New Roman" w:cs="Times New Roman"/>
          <w:sz w:val="20"/>
          <w:szCs w:val="20"/>
        </w:rPr>
        <w:t>memorialistic</w:t>
      </w:r>
      <w:proofErr w:type="spellEnd"/>
      <w:r>
        <w:rPr>
          <w:rFonts w:ascii="Times New Roman" w:eastAsia="Times New Roman" w:hAnsi="Times New Roman" w:cs="Times New Roman"/>
          <w:sz w:val="20"/>
          <w:szCs w:val="20"/>
        </w:rPr>
        <w:t xml:space="preserve"> critiques, museums </w:t>
      </w:r>
      <w:r>
        <w:rPr>
          <w:rFonts w:ascii="Times New Roman" w:eastAsia="Times New Roman" w:hAnsi="Times New Roman" w:cs="Times New Roman"/>
          <w:sz w:val="20"/>
          <w:szCs w:val="20"/>
        </w:rPr>
        <w:lastRenderedPageBreak/>
        <w:t>have over the past decades radically revised their protocols of collecting and display, aiming to register in their own curatorial and pedagogical practice the open and contested nature of the</w:t>
      </w:r>
      <w:r>
        <w:rPr>
          <w:rFonts w:ascii="Times New Roman" w:eastAsia="Times New Roman" w:hAnsi="Times New Roman" w:cs="Times New Roman"/>
          <w:sz w:val="20"/>
          <w:szCs w:val="20"/>
        </w:rPr>
        <w:t xml:space="preserve"> historical and ethnographic narratives on which their object lessons had traditionally conferred the status of hard evidence.” They say that this new emphasis on the museum encounter, referred to as the educational shift, has resulted in a new type of “in</w:t>
      </w:r>
      <w:r>
        <w:rPr>
          <w:rFonts w:ascii="Times New Roman" w:eastAsia="Times New Roman" w:hAnsi="Times New Roman" w:cs="Times New Roman"/>
          <w:sz w:val="20"/>
          <w:szCs w:val="20"/>
        </w:rPr>
        <w:t>clusive museum” (</w:t>
      </w:r>
      <w:proofErr w:type="spellStart"/>
      <w:r>
        <w:rPr>
          <w:rFonts w:ascii="Times New Roman" w:eastAsia="Times New Roman" w:hAnsi="Times New Roman" w:cs="Times New Roman"/>
          <w:sz w:val="20"/>
          <w:szCs w:val="20"/>
        </w:rPr>
        <w:t>Andermann</w:t>
      </w:r>
      <w:proofErr w:type="spellEnd"/>
      <w:r>
        <w:rPr>
          <w:rFonts w:ascii="Times New Roman" w:eastAsia="Times New Roman" w:hAnsi="Times New Roman" w:cs="Times New Roman"/>
          <w:sz w:val="20"/>
          <w:szCs w:val="20"/>
        </w:rPr>
        <w:t xml:space="preserve"> &amp; </w:t>
      </w:r>
      <w:proofErr w:type="spellStart"/>
      <w:r>
        <w:rPr>
          <w:rFonts w:ascii="Times New Roman" w:eastAsia="Times New Roman" w:hAnsi="Times New Roman" w:cs="Times New Roman"/>
          <w:sz w:val="20"/>
          <w:szCs w:val="20"/>
        </w:rPr>
        <w:t>Simine</w:t>
      </w:r>
      <w:proofErr w:type="spellEnd"/>
      <w:r>
        <w:rPr>
          <w:rFonts w:ascii="Times New Roman" w:eastAsia="Times New Roman" w:hAnsi="Times New Roman" w:cs="Times New Roman"/>
          <w:sz w:val="20"/>
          <w:szCs w:val="20"/>
        </w:rPr>
        <w:t xml:space="preserve"> 2012:1) In the case of the Field Museum, this turn is evident in the organization of the exhibition around the previously mentioned “truths.” </w:t>
      </w:r>
    </w:p>
    <w:p w14:paraId="425D6AB2" w14:textId="77777777" w:rsidR="00035E23" w:rsidRDefault="00035E23" w:rsidP="00BE53D1">
      <w:pPr>
        <w:jc w:val="both"/>
        <w:rPr>
          <w:rFonts w:ascii="Times New Roman" w:eastAsia="Times New Roman" w:hAnsi="Times New Roman" w:cs="Times New Roman"/>
          <w:sz w:val="20"/>
          <w:szCs w:val="20"/>
        </w:rPr>
      </w:pPr>
    </w:p>
    <w:p w14:paraId="14D30F66" w14:textId="77777777" w:rsidR="00035E23" w:rsidRDefault="00A363AC" w:rsidP="00BE53D1">
      <w:pPr>
        <w:ind w:firstLine="720"/>
        <w:jc w:val="both"/>
      </w:pPr>
      <w:r>
        <w:rPr>
          <w:rFonts w:ascii="Times New Roman" w:eastAsia="Times New Roman" w:hAnsi="Times New Roman" w:cs="Times New Roman"/>
          <w:sz w:val="20"/>
          <w:szCs w:val="20"/>
        </w:rPr>
        <w:t>In the wall and floor plans for the show that were presented in the team mee</w:t>
      </w:r>
      <w:r>
        <w:rPr>
          <w:rFonts w:ascii="Times New Roman" w:eastAsia="Times New Roman" w:hAnsi="Times New Roman" w:cs="Times New Roman"/>
          <w:sz w:val="20"/>
          <w:szCs w:val="20"/>
        </w:rPr>
        <w:t>tings, many boxes were left empty and were labeled as OBJECT: TBD (to be decided), signaling the future occupation of these spots by yet-to-be-decided objects. Within the abstract space of the exhibition plan, these “objects” were points that “would” compl</w:t>
      </w:r>
      <w:r>
        <w:rPr>
          <w:rFonts w:ascii="Times New Roman" w:eastAsia="Times New Roman" w:hAnsi="Times New Roman" w:cs="Times New Roman"/>
          <w:sz w:val="20"/>
          <w:szCs w:val="20"/>
        </w:rPr>
        <w:t>ete the story of a specific segment. These placeholders for objects, resulting from the educational turn in museum practices, are the primary focus of this paper. Through interviews with developers of the show, observation of the development process, and a</w:t>
      </w:r>
      <w:r>
        <w:rPr>
          <w:rFonts w:ascii="Times New Roman" w:eastAsia="Times New Roman" w:hAnsi="Times New Roman" w:cs="Times New Roman"/>
          <w:sz w:val="20"/>
          <w:szCs w:val="20"/>
        </w:rPr>
        <w:t xml:space="preserve"> study of decolonial literature, museum theory, and philosophical discussions on the nature of objects, I will try to bring out the attributes of the “would be” category (that I call OBJECT: TBD) that the yet-to-be-decided objects reside in. Instead of emp</w:t>
      </w:r>
      <w:r>
        <w:rPr>
          <w:rFonts w:ascii="Times New Roman" w:eastAsia="Times New Roman" w:hAnsi="Times New Roman" w:cs="Times New Roman"/>
          <w:sz w:val="20"/>
          <w:szCs w:val="20"/>
        </w:rPr>
        <w:t>hasizing the materially present objects in realized exhibitions, I will focus on the placeholder category Object: TBD that is used to signal the future presence of a currently undecided/unmaterialized object. By observing the development process in its ear</w:t>
      </w:r>
      <w:r>
        <w:rPr>
          <w:rFonts w:ascii="Times New Roman" w:eastAsia="Times New Roman" w:hAnsi="Times New Roman" w:cs="Times New Roman"/>
          <w:sz w:val="20"/>
          <w:szCs w:val="20"/>
        </w:rPr>
        <w:t>ly stages, I hope to express how the production of a definition of the concept of Object is an active process that is historically contingent. By the end of my paper, I wish for it to become clear how the curatorial and development processes of exhibitions</w:t>
      </w:r>
      <w:r>
        <w:rPr>
          <w:rFonts w:ascii="Times New Roman" w:eastAsia="Times New Roman" w:hAnsi="Times New Roman" w:cs="Times New Roman"/>
          <w:sz w:val="20"/>
          <w:szCs w:val="20"/>
        </w:rPr>
        <w:t xml:space="preserve"> impact the nature of the objects that are included in the show. Hopefully, my work can contribute to the diverse range of literature trying to find ways to decolonize museums and other cultural institutions actively.</w:t>
      </w:r>
    </w:p>
    <w:p w14:paraId="000282A4" w14:textId="77777777" w:rsidR="00035E23" w:rsidRDefault="00035E23" w:rsidP="00BE53D1">
      <w:pPr>
        <w:jc w:val="both"/>
        <w:rPr>
          <w:rFonts w:ascii="Times New Roman" w:eastAsia="Times New Roman" w:hAnsi="Times New Roman" w:cs="Times New Roman"/>
          <w:sz w:val="20"/>
          <w:szCs w:val="20"/>
        </w:rPr>
      </w:pPr>
    </w:p>
    <w:p w14:paraId="7B5A8519" w14:textId="77777777" w:rsidR="00035E23" w:rsidRDefault="00A363AC" w:rsidP="00BE53D1">
      <w:pPr>
        <w:ind w:firstLine="720"/>
        <w:jc w:val="both"/>
      </w:pPr>
      <w:r>
        <w:rPr>
          <w:rFonts w:ascii="Times New Roman" w:eastAsia="Times New Roman" w:hAnsi="Times New Roman" w:cs="Times New Roman"/>
          <w:sz w:val="20"/>
          <w:szCs w:val="20"/>
        </w:rPr>
        <w:t>Before I dive into the body of this p</w:t>
      </w:r>
      <w:r>
        <w:rPr>
          <w:rFonts w:ascii="Times New Roman" w:eastAsia="Times New Roman" w:hAnsi="Times New Roman" w:cs="Times New Roman"/>
          <w:sz w:val="20"/>
          <w:szCs w:val="20"/>
        </w:rPr>
        <w:t>aper, I want to acknowledge several things. First, I am an artist, and my views are influenced by the education I have received at the School of the Art Institute of Chicago (SAIC) in addition to the work experience I have had at the Field Museum. Addition</w:t>
      </w:r>
      <w:r>
        <w:rPr>
          <w:rFonts w:ascii="Times New Roman" w:eastAsia="Times New Roman" w:hAnsi="Times New Roman" w:cs="Times New Roman"/>
          <w:sz w:val="20"/>
          <w:szCs w:val="20"/>
        </w:rPr>
        <w:t>ally, my work has been significantly impacted by the ongoing Coronavirus Pandemic (COVID-19), which forced me to leave the US and continue my project from India. I also want to make it clear that I am neither a member of nor an expert on any Native America</w:t>
      </w:r>
      <w:r>
        <w:rPr>
          <w:rFonts w:ascii="Times New Roman" w:eastAsia="Times New Roman" w:hAnsi="Times New Roman" w:cs="Times New Roman"/>
          <w:sz w:val="20"/>
          <w:szCs w:val="20"/>
        </w:rPr>
        <w:t>n community. However, I do belong to a community that has similarly suffered at the hands of the European colonizers. Although I can never speak for Native Americans, I can sympathize with many issues that this community has faced. Nonetheless, I have take</w:t>
      </w:r>
      <w:r>
        <w:rPr>
          <w:rFonts w:ascii="Times New Roman" w:eastAsia="Times New Roman" w:hAnsi="Times New Roman" w:cs="Times New Roman"/>
          <w:sz w:val="20"/>
          <w:szCs w:val="20"/>
        </w:rPr>
        <w:t>n care not to overstep my boundaries and discuss sensitive issues that I don’t have the authority to speak on. I must also acknowledge that this study was conducted in the very early stages of the Field Museum’s reconfiguration project when most things had</w:t>
      </w:r>
      <w:r>
        <w:rPr>
          <w:rFonts w:ascii="Times New Roman" w:eastAsia="Times New Roman" w:hAnsi="Times New Roman" w:cs="Times New Roman"/>
          <w:sz w:val="20"/>
          <w:szCs w:val="20"/>
        </w:rPr>
        <w:t xml:space="preserve"> not been realized; at that point, primarily the larger frame for the show was being determined. Additionally, I was a temporary intern with a non-participatory role. My attendance in team meetings was as an observer and I did not contribute in any way to </w:t>
      </w:r>
      <w:r>
        <w:rPr>
          <w:rFonts w:ascii="Times New Roman" w:eastAsia="Times New Roman" w:hAnsi="Times New Roman" w:cs="Times New Roman"/>
          <w:sz w:val="20"/>
          <w:szCs w:val="20"/>
        </w:rPr>
        <w:t xml:space="preserve">the development or design of the exhibit. </w:t>
      </w:r>
    </w:p>
    <w:p w14:paraId="5AB100C6" w14:textId="77777777" w:rsidR="00035E23" w:rsidRDefault="00035E23">
      <w:pPr>
        <w:rPr>
          <w:rFonts w:ascii="Times New Roman" w:eastAsia="Times New Roman" w:hAnsi="Times New Roman" w:cs="Times New Roman"/>
          <w:sz w:val="20"/>
          <w:szCs w:val="20"/>
        </w:rPr>
      </w:pPr>
    </w:p>
    <w:p w14:paraId="53779AE6" w14:textId="77777777" w:rsidR="00035E23" w:rsidRDefault="00A363AC">
      <w:pPr>
        <w:rPr>
          <w:rFonts w:ascii="Times New Roman" w:eastAsia="Times New Roman" w:hAnsi="Times New Roman" w:cs="Times New Roman"/>
          <w:b/>
        </w:rPr>
      </w:pPr>
      <w:r>
        <w:rPr>
          <w:rFonts w:ascii="Times New Roman" w:eastAsia="Times New Roman" w:hAnsi="Times New Roman" w:cs="Times New Roman"/>
          <w:b/>
        </w:rPr>
        <w:t>From Object to objects.</w:t>
      </w:r>
    </w:p>
    <w:p w14:paraId="2E7E43C5" w14:textId="77777777" w:rsidR="00035E23" w:rsidRDefault="00035E23">
      <w:pPr>
        <w:rPr>
          <w:rFonts w:ascii="Times New Roman" w:eastAsia="Times New Roman" w:hAnsi="Times New Roman" w:cs="Times New Roman"/>
          <w:b/>
        </w:rPr>
      </w:pPr>
    </w:p>
    <w:p w14:paraId="3CFAAAB8" w14:textId="77777777" w:rsidR="00035E23" w:rsidRDefault="00A363AC">
      <w:pPr>
        <w:rPr>
          <w:rFonts w:ascii="Times New Roman" w:eastAsia="Times New Roman" w:hAnsi="Times New Roman" w:cs="Times New Roman"/>
          <w:b/>
        </w:rPr>
      </w:pPr>
      <w:r>
        <w:rPr>
          <w:rFonts w:ascii="Times New Roman" w:eastAsia="Times New Roman" w:hAnsi="Times New Roman" w:cs="Times New Roman"/>
          <w:b/>
        </w:rPr>
        <w:t>I</w:t>
      </w:r>
    </w:p>
    <w:p w14:paraId="777419A0" w14:textId="77777777" w:rsidR="00035E23" w:rsidRDefault="00035E23">
      <w:pPr>
        <w:rPr>
          <w:rFonts w:ascii="Times New Roman" w:eastAsia="Times New Roman" w:hAnsi="Times New Roman" w:cs="Times New Roman"/>
          <w:sz w:val="20"/>
          <w:szCs w:val="20"/>
        </w:rPr>
      </w:pPr>
    </w:p>
    <w:p w14:paraId="3C080596" w14:textId="77777777" w:rsidR="00035E23" w:rsidRDefault="00A363AC" w:rsidP="00BE53D1">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Object is a broad category. Almost anything can be included in it. However, none of the things included in it can describe in totality what “Object” is. Nonetheless, each thing include</w:t>
      </w:r>
      <w:r>
        <w:rPr>
          <w:rFonts w:ascii="Times New Roman" w:eastAsia="Times New Roman" w:hAnsi="Times New Roman" w:cs="Times New Roman"/>
          <w:sz w:val="20"/>
          <w:szCs w:val="20"/>
        </w:rPr>
        <w:t>d will be an object and will speak to that totality. Thus, each specific object can only hint at a particular (limited) attribute of the “Object”</w:t>
      </w:r>
      <w:hyperlink w:anchor="bookmark=id.30j0zll">
        <w:r>
          <w:rPr>
            <w:rFonts w:ascii="Times New Roman" w:eastAsia="Times New Roman" w:hAnsi="Times New Roman" w:cs="Times New Roman"/>
            <w:color w:val="0563C1"/>
            <w:sz w:val="20"/>
            <w:szCs w:val="20"/>
            <w:u w:val="single"/>
            <w:vertAlign w:val="superscript"/>
          </w:rPr>
          <w:t>2</w:t>
        </w:r>
      </w:hyperlink>
      <w:r>
        <w:rPr>
          <w:rFonts w:ascii="Times New Roman" w:eastAsia="Times New Roman" w:hAnsi="Times New Roman" w:cs="Times New Roman"/>
          <w:sz w:val="20"/>
          <w:szCs w:val="20"/>
        </w:rPr>
        <w:t xml:space="preserve">. In a way, specific objects are like fragments of buildings. A building has many parts- walls, stairs, floors, etc.- which form its entire structure. Although these parts are never the complete building, they always </w:t>
      </w:r>
      <w:proofErr w:type="gramStart"/>
      <w:r>
        <w:rPr>
          <w:rFonts w:ascii="Times New Roman" w:eastAsia="Times New Roman" w:hAnsi="Times New Roman" w:cs="Times New Roman"/>
          <w:sz w:val="20"/>
          <w:szCs w:val="20"/>
        </w:rPr>
        <w:t>make reference</w:t>
      </w:r>
      <w:proofErr w:type="gramEnd"/>
      <w:r>
        <w:rPr>
          <w:rFonts w:ascii="Times New Roman" w:eastAsia="Times New Roman" w:hAnsi="Times New Roman" w:cs="Times New Roman"/>
          <w:sz w:val="20"/>
          <w:szCs w:val="20"/>
        </w:rPr>
        <w:t xml:space="preserve"> to its totality. Thus, a</w:t>
      </w:r>
      <w:r>
        <w:rPr>
          <w:rFonts w:ascii="Times New Roman" w:eastAsia="Times New Roman" w:hAnsi="Times New Roman" w:cs="Times New Roman"/>
          <w:sz w:val="20"/>
          <w:szCs w:val="20"/>
        </w:rPr>
        <w:t xml:space="preserve"> fragment (and the specific object) always refers to the whole while simultaneously failing to be it</w:t>
      </w:r>
      <w:hyperlink w:anchor="bookmark=id.1fob9te">
        <w:r>
          <w:rPr>
            <w:rFonts w:ascii="Times New Roman" w:eastAsia="Times New Roman" w:hAnsi="Times New Roman" w:cs="Times New Roman"/>
            <w:color w:val="0563C1"/>
            <w:sz w:val="20"/>
            <w:szCs w:val="20"/>
            <w:u w:val="single"/>
            <w:vertAlign w:val="superscript"/>
          </w:rPr>
          <w:t>3</w:t>
        </w:r>
      </w:hyperlink>
      <w:r>
        <w:rPr>
          <w:rFonts w:ascii="Times New Roman" w:eastAsia="Times New Roman" w:hAnsi="Times New Roman" w:cs="Times New Roman"/>
          <w:sz w:val="20"/>
          <w:szCs w:val="20"/>
        </w:rPr>
        <w:t>.</w:t>
      </w:r>
    </w:p>
    <w:p w14:paraId="1ACB2C14" w14:textId="77777777" w:rsidR="00035E23" w:rsidRDefault="00035E23" w:rsidP="00BE53D1">
      <w:pPr>
        <w:jc w:val="both"/>
        <w:rPr>
          <w:rFonts w:ascii="Times New Roman" w:eastAsia="Times New Roman" w:hAnsi="Times New Roman" w:cs="Times New Roman"/>
          <w:sz w:val="20"/>
          <w:szCs w:val="20"/>
        </w:rPr>
      </w:pPr>
    </w:p>
    <w:p w14:paraId="7F66B3E8" w14:textId="77777777" w:rsidR="00035E23" w:rsidRDefault="00A363AC" w:rsidP="00BE53D1">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While the building metaphor clarifies the relationship between the “Object” and the specific objects, it is st</w:t>
      </w:r>
      <w:r>
        <w:rPr>
          <w:rFonts w:ascii="Times New Roman" w:eastAsia="Times New Roman" w:hAnsi="Times New Roman" w:cs="Times New Roman"/>
          <w:sz w:val="20"/>
          <w:szCs w:val="20"/>
        </w:rPr>
        <w:t>ill insufficient as it pairs together entities that are not congruent. A building provides experience both in its totality and its fragments (you can touch and see both). The category Object, however, can only be understood through its parts as it can neve</w:t>
      </w:r>
      <w:r>
        <w:rPr>
          <w:rFonts w:ascii="Times New Roman" w:eastAsia="Times New Roman" w:hAnsi="Times New Roman" w:cs="Times New Roman"/>
          <w:sz w:val="20"/>
          <w:szCs w:val="20"/>
        </w:rPr>
        <w:t>r be seen or felt. Thus, to understand the “Object”, or in our case, the yet-to-be-decided Object category (Object: TBD), we must look at its constituent parts, or the specific objects. However, even the specific objects in our case aren’t material because</w:t>
      </w:r>
      <w:r>
        <w:rPr>
          <w:rFonts w:ascii="Times New Roman" w:eastAsia="Times New Roman" w:hAnsi="Times New Roman" w:cs="Times New Roman"/>
          <w:sz w:val="20"/>
          <w:szCs w:val="20"/>
        </w:rPr>
        <w:t xml:space="preserve"> they haven’t been decided yet. Instead, we have access to the qualities that they will have as the design process sets up criteria for the specific objects to be included</w:t>
      </w:r>
      <w:hyperlink w:anchor="bookmark=id.3znysh7">
        <w:r>
          <w:rPr>
            <w:rFonts w:ascii="Times New Roman" w:eastAsia="Times New Roman" w:hAnsi="Times New Roman" w:cs="Times New Roman"/>
            <w:color w:val="0563C1"/>
            <w:sz w:val="20"/>
            <w:szCs w:val="20"/>
            <w:u w:val="single"/>
            <w:vertAlign w:val="superscript"/>
          </w:rPr>
          <w:t>4</w:t>
        </w:r>
      </w:hyperlink>
      <w:r>
        <w:rPr>
          <w:rFonts w:ascii="Times New Roman" w:eastAsia="Times New Roman" w:hAnsi="Times New Roman" w:cs="Times New Roman"/>
          <w:sz w:val="20"/>
          <w:szCs w:val="20"/>
        </w:rPr>
        <w:t>. For example, the museum wishes to includ</w:t>
      </w:r>
      <w:r>
        <w:rPr>
          <w:rFonts w:ascii="Times New Roman" w:eastAsia="Times New Roman" w:hAnsi="Times New Roman" w:cs="Times New Roman"/>
          <w:sz w:val="20"/>
          <w:szCs w:val="20"/>
        </w:rPr>
        <w:t xml:space="preserve">e video games in the show. Even though we don’t know the specific game that will be included, we do know </w:t>
      </w:r>
      <w:r>
        <w:rPr>
          <w:rFonts w:ascii="Times New Roman" w:eastAsia="Times New Roman" w:hAnsi="Times New Roman" w:cs="Times New Roman"/>
          <w:sz w:val="20"/>
          <w:szCs w:val="20"/>
        </w:rPr>
        <w:lastRenderedPageBreak/>
        <w:t>that there will be a video game. Thus, to understand the nature of the Object: TBD category, I will take these criteria as the defining characteristics</w:t>
      </w:r>
      <w:r>
        <w:rPr>
          <w:rFonts w:ascii="Times New Roman" w:eastAsia="Times New Roman" w:hAnsi="Times New Roman" w:cs="Times New Roman"/>
          <w:sz w:val="20"/>
          <w:szCs w:val="20"/>
        </w:rPr>
        <w:t xml:space="preserve"> of our specific objects.</w:t>
      </w:r>
    </w:p>
    <w:p w14:paraId="2210D7C6" w14:textId="77777777" w:rsidR="00035E23" w:rsidRDefault="00035E23">
      <w:pPr>
        <w:rPr>
          <w:rFonts w:ascii="Times New Roman" w:eastAsia="Times New Roman" w:hAnsi="Times New Roman" w:cs="Times New Roman"/>
          <w:sz w:val="20"/>
          <w:szCs w:val="20"/>
        </w:rPr>
      </w:pPr>
    </w:p>
    <w:p w14:paraId="7B329095" w14:textId="77777777" w:rsidR="00035E23" w:rsidRDefault="00A363AC">
      <w:pPr>
        <w:rPr>
          <w:rFonts w:ascii="Times New Roman" w:eastAsia="Times New Roman" w:hAnsi="Times New Roman" w:cs="Times New Roman"/>
          <w:b/>
        </w:rPr>
      </w:pPr>
      <w:r>
        <w:rPr>
          <w:rFonts w:ascii="Times New Roman" w:eastAsia="Times New Roman" w:hAnsi="Times New Roman" w:cs="Times New Roman"/>
          <w:b/>
        </w:rPr>
        <w:t>II</w:t>
      </w:r>
    </w:p>
    <w:p w14:paraId="5DE1932C" w14:textId="77777777" w:rsidR="00035E23" w:rsidRDefault="00035E23">
      <w:pPr>
        <w:rPr>
          <w:rFonts w:ascii="Times New Roman" w:eastAsia="Times New Roman" w:hAnsi="Times New Roman" w:cs="Times New Roman"/>
          <w:sz w:val="20"/>
          <w:szCs w:val="20"/>
        </w:rPr>
      </w:pPr>
    </w:p>
    <w:p w14:paraId="31D7E051" w14:textId="77777777" w:rsidR="00035E23" w:rsidRDefault="00A363AC" w:rsidP="00BE53D1">
      <w:pPr>
        <w:ind w:firstLine="720"/>
        <w:jc w:val="both"/>
      </w:pPr>
      <w:r>
        <w:rPr>
          <w:rFonts w:ascii="Times New Roman" w:eastAsia="Times New Roman" w:hAnsi="Times New Roman" w:cs="Times New Roman"/>
          <w:sz w:val="20"/>
          <w:szCs w:val="20"/>
        </w:rPr>
        <w:t>In modern history, popular definitions have often associated museums of anthropology and ethnography with death. They have been described as grave-yards, catacombs, mausoleums, etc. In the paper, The Rites of Things, the auth</w:t>
      </w:r>
      <w:r>
        <w:rPr>
          <w:rFonts w:ascii="Times New Roman" w:eastAsia="Times New Roman" w:hAnsi="Times New Roman" w:cs="Times New Roman"/>
          <w:sz w:val="20"/>
          <w:szCs w:val="20"/>
        </w:rPr>
        <w:t xml:space="preserve">or, </w:t>
      </w:r>
      <w:proofErr w:type="spellStart"/>
      <w:r>
        <w:rPr>
          <w:rFonts w:ascii="Times New Roman" w:eastAsia="Times New Roman" w:hAnsi="Times New Roman" w:cs="Times New Roman"/>
          <w:sz w:val="20"/>
          <w:szCs w:val="20"/>
        </w:rPr>
        <w:t>Gosewijn</w:t>
      </w:r>
      <w:proofErr w:type="spellEnd"/>
      <w:r>
        <w:rPr>
          <w:rFonts w:ascii="Times New Roman" w:eastAsia="Times New Roman" w:hAnsi="Times New Roman" w:cs="Times New Roman"/>
          <w:sz w:val="20"/>
          <w:szCs w:val="20"/>
        </w:rPr>
        <w:t xml:space="preserve"> van Beek quotes the following statement from </w:t>
      </w:r>
      <w:proofErr w:type="spellStart"/>
      <w:r>
        <w:rPr>
          <w:rFonts w:ascii="Times New Roman" w:eastAsia="Times New Roman" w:hAnsi="Times New Roman" w:cs="Times New Roman"/>
          <w:sz w:val="20"/>
          <w:szCs w:val="20"/>
        </w:rPr>
        <w:t>Hainard</w:t>
      </w:r>
      <w:proofErr w:type="spellEnd"/>
      <w:r>
        <w:rPr>
          <w:rFonts w:ascii="Times New Roman" w:eastAsia="Times New Roman" w:hAnsi="Times New Roman" w:cs="Times New Roman"/>
          <w:sz w:val="20"/>
          <w:szCs w:val="20"/>
        </w:rPr>
        <w:t xml:space="preserve"> and </w:t>
      </w:r>
      <w:proofErr w:type="spellStart"/>
      <w:r>
        <w:rPr>
          <w:rFonts w:ascii="Times New Roman" w:eastAsia="Times New Roman" w:hAnsi="Times New Roman" w:cs="Times New Roman"/>
          <w:sz w:val="20"/>
          <w:szCs w:val="20"/>
        </w:rPr>
        <w:t>Kaehar</w:t>
      </w:r>
      <w:proofErr w:type="spellEnd"/>
      <w:r>
        <w:rPr>
          <w:rFonts w:ascii="Times New Roman" w:eastAsia="Times New Roman" w:hAnsi="Times New Roman" w:cs="Times New Roman"/>
          <w:sz w:val="20"/>
          <w:szCs w:val="20"/>
        </w:rPr>
        <w:t>: “prestigious places for locking things up, museums give value to things outside life: in this way they resemble cemeteries” (Beek 1990:27). Those who occupy these “cemeteries” te</w:t>
      </w:r>
      <w:r>
        <w:rPr>
          <w:rFonts w:ascii="Times New Roman" w:eastAsia="Times New Roman" w:hAnsi="Times New Roman" w:cs="Times New Roman"/>
          <w:sz w:val="20"/>
          <w:szCs w:val="20"/>
        </w:rPr>
        <w:t>nd to be from some communities more than others. Out of the widespread belief in the colonial era that native nations were dying, many cultural objects of Native Americans were looted and stored in museums. The myth of the “Vanishing Indian” pushed anthrop</w:t>
      </w:r>
      <w:r>
        <w:rPr>
          <w:rFonts w:ascii="Times New Roman" w:eastAsia="Times New Roman" w:hAnsi="Times New Roman" w:cs="Times New Roman"/>
          <w:sz w:val="20"/>
          <w:szCs w:val="20"/>
        </w:rPr>
        <w:t xml:space="preserve">ologists to “record as many of the old ways as possible before the last instance or even last memory of them disappeared completely” (Weaver 1997:14). However, such beliefs do not reflect contemporary realities as many native communities exist today. </w:t>
      </w:r>
    </w:p>
    <w:p w14:paraId="41C55B64" w14:textId="77777777" w:rsidR="00035E23" w:rsidRDefault="00035E23" w:rsidP="00BE53D1">
      <w:pPr>
        <w:jc w:val="both"/>
        <w:rPr>
          <w:rFonts w:ascii="Times New Roman" w:eastAsia="Times New Roman" w:hAnsi="Times New Roman" w:cs="Times New Roman"/>
          <w:sz w:val="20"/>
          <w:szCs w:val="20"/>
        </w:rPr>
      </w:pPr>
    </w:p>
    <w:p w14:paraId="4B4FEE9C" w14:textId="77777777" w:rsidR="00035E23" w:rsidRDefault="00A363AC" w:rsidP="00BE53D1">
      <w:pPr>
        <w:ind w:firstLine="720"/>
        <w:jc w:val="both"/>
      </w:pPr>
      <w:r>
        <w:rPr>
          <w:rFonts w:ascii="Times New Roman" w:eastAsia="Times New Roman" w:hAnsi="Times New Roman" w:cs="Times New Roman"/>
          <w:sz w:val="20"/>
          <w:szCs w:val="20"/>
        </w:rPr>
        <w:t>Jen</w:t>
      </w:r>
      <w:r>
        <w:rPr>
          <w:rFonts w:ascii="Times New Roman" w:eastAsia="Times New Roman" w:hAnsi="Times New Roman" w:cs="Times New Roman"/>
          <w:sz w:val="20"/>
          <w:szCs w:val="20"/>
        </w:rPr>
        <w:t xml:space="preserve">kins, in From Objects of Enlightenment to Objects of Apology, says that the term ‘repatriation’ was initially used in connection with fines exacted among states, and it now refers to “a broader project of making amends towards communities and individuals, </w:t>
      </w:r>
      <w:r>
        <w:rPr>
          <w:rFonts w:ascii="Times New Roman" w:eastAsia="Times New Roman" w:hAnsi="Times New Roman" w:cs="Times New Roman"/>
          <w:sz w:val="20"/>
          <w:szCs w:val="20"/>
        </w:rPr>
        <w:t>as part of what the sociologists Jeffrey Olick and Brenda Coughlin characterize as ‘the politics of regret’.” She says that the “inclination to repatriate objects, or grant a sympathetic ear to the possibility, comes from within museums and the academy, ei</w:t>
      </w:r>
      <w:r>
        <w:rPr>
          <w:rFonts w:ascii="Times New Roman" w:eastAsia="Times New Roman" w:hAnsi="Times New Roman" w:cs="Times New Roman"/>
          <w:sz w:val="20"/>
          <w:szCs w:val="20"/>
        </w:rPr>
        <w:t xml:space="preserve">ther because its members proactively attempt to solicit repatriation requests, or because they are unable to argue firmly a </w:t>
      </w:r>
      <w:proofErr w:type="spellStart"/>
      <w:r>
        <w:rPr>
          <w:rFonts w:ascii="Times New Roman" w:eastAsia="Times New Roman" w:hAnsi="Times New Roman" w:cs="Times New Roman"/>
          <w:sz w:val="20"/>
          <w:szCs w:val="20"/>
        </w:rPr>
        <w:t>defence</w:t>
      </w:r>
      <w:proofErr w:type="spellEnd"/>
      <w:r>
        <w:rPr>
          <w:rFonts w:ascii="Times New Roman" w:eastAsia="Times New Roman" w:hAnsi="Times New Roman" w:cs="Times New Roman"/>
          <w:sz w:val="20"/>
          <w:szCs w:val="20"/>
        </w:rPr>
        <w:t xml:space="preserve"> for retention when they receive them, effectively </w:t>
      </w:r>
      <w:proofErr w:type="spellStart"/>
      <w:r>
        <w:rPr>
          <w:rFonts w:ascii="Times New Roman" w:eastAsia="Times New Roman" w:hAnsi="Times New Roman" w:cs="Times New Roman"/>
          <w:sz w:val="20"/>
          <w:szCs w:val="20"/>
        </w:rPr>
        <w:t>advertizing</w:t>
      </w:r>
      <w:proofErr w:type="spellEnd"/>
      <w:r>
        <w:rPr>
          <w:rFonts w:ascii="Times New Roman" w:eastAsia="Times New Roman" w:hAnsi="Times New Roman" w:cs="Times New Roman"/>
          <w:sz w:val="20"/>
          <w:szCs w:val="20"/>
        </w:rPr>
        <w:t xml:space="preserve"> for repatriation claims” (Jenkins 2018:82-84) Since many objec</w:t>
      </w:r>
      <w:r>
        <w:rPr>
          <w:rFonts w:ascii="Times New Roman" w:eastAsia="Times New Roman" w:hAnsi="Times New Roman" w:cs="Times New Roman"/>
          <w:sz w:val="20"/>
          <w:szCs w:val="20"/>
        </w:rPr>
        <w:t xml:space="preserve">ts in its collection, as pointed out by the Museum’s website, were unethically acquired, it can be deduced that such repatriation demands would have been heard at the Field Museum as well. However, the legalities and time involved in NAGPRA and non-NAGPRA </w:t>
      </w:r>
      <w:r>
        <w:rPr>
          <w:rFonts w:ascii="Times New Roman" w:eastAsia="Times New Roman" w:hAnsi="Times New Roman" w:cs="Times New Roman"/>
          <w:sz w:val="20"/>
          <w:szCs w:val="20"/>
        </w:rPr>
        <w:t>repatriations probably mean that many objects will continue to stay in the Museum’s possession for a while or until the appropriate people/groups are identified for these acquisitions</w:t>
      </w:r>
      <w:hyperlink w:anchor="bookmark=id.2et92p0">
        <w:r>
          <w:rPr>
            <w:rFonts w:ascii="Times New Roman" w:eastAsia="Times New Roman" w:hAnsi="Times New Roman" w:cs="Times New Roman"/>
            <w:color w:val="0563C1"/>
            <w:sz w:val="20"/>
            <w:szCs w:val="20"/>
            <w:u w:val="single"/>
            <w:vertAlign w:val="superscript"/>
          </w:rPr>
          <w:t>5</w:t>
        </w:r>
      </w:hyperlink>
      <w:r>
        <w:rPr>
          <w:rFonts w:ascii="Times New Roman" w:eastAsia="Times New Roman" w:hAnsi="Times New Roman" w:cs="Times New Roman"/>
          <w:sz w:val="20"/>
          <w:szCs w:val="20"/>
          <w:vertAlign w:val="superscript"/>
        </w:rPr>
        <w:t xml:space="preserve"> </w:t>
      </w:r>
      <w:r>
        <w:rPr>
          <w:rFonts w:ascii="Times New Roman" w:eastAsia="Times New Roman" w:hAnsi="Times New Roman" w:cs="Times New Roman"/>
          <w:sz w:val="20"/>
          <w:szCs w:val="20"/>
        </w:rPr>
        <w:t>(n.d. Field Museum). Thus, to</w:t>
      </w:r>
      <w:r>
        <w:rPr>
          <w:rFonts w:ascii="Times New Roman" w:eastAsia="Times New Roman" w:hAnsi="Times New Roman" w:cs="Times New Roman"/>
          <w:sz w:val="20"/>
          <w:szCs w:val="20"/>
        </w:rPr>
        <w:t xml:space="preserve"> respond to decolonization’s cultural demands, and to maintain a morally high ground, the museum must respond in some symbolically apologetic way</w:t>
      </w:r>
      <w:hyperlink w:anchor="bookmark=id.tyjcwt">
        <w:r>
          <w:rPr>
            <w:rFonts w:ascii="Times New Roman" w:eastAsia="Times New Roman" w:hAnsi="Times New Roman" w:cs="Times New Roman"/>
            <w:color w:val="0563C1"/>
            <w:sz w:val="20"/>
            <w:szCs w:val="20"/>
            <w:u w:val="single"/>
            <w:vertAlign w:val="superscript"/>
          </w:rPr>
          <w:t>6</w:t>
        </w:r>
      </w:hyperlink>
      <w:r>
        <w:rPr>
          <w:rFonts w:ascii="Times New Roman" w:eastAsia="Times New Roman" w:hAnsi="Times New Roman" w:cs="Times New Roman"/>
          <w:sz w:val="20"/>
          <w:szCs w:val="20"/>
        </w:rPr>
        <w:t xml:space="preserve">. In order to do this, the museum needs to make a shift from being a </w:t>
      </w:r>
      <w:r>
        <w:rPr>
          <w:rFonts w:ascii="Times New Roman" w:eastAsia="Times New Roman" w:hAnsi="Times New Roman" w:cs="Times New Roman"/>
          <w:sz w:val="20"/>
          <w:szCs w:val="20"/>
        </w:rPr>
        <w:t xml:space="preserve">“cemetery” and storehouse of objects to what Anderman and </w:t>
      </w:r>
      <w:proofErr w:type="spellStart"/>
      <w:r>
        <w:rPr>
          <w:rFonts w:ascii="Times New Roman" w:eastAsia="Times New Roman" w:hAnsi="Times New Roman" w:cs="Times New Roman"/>
          <w:sz w:val="20"/>
          <w:szCs w:val="20"/>
        </w:rPr>
        <w:t>Simine</w:t>
      </w:r>
      <w:proofErr w:type="spellEnd"/>
      <w:r>
        <w:rPr>
          <w:rFonts w:ascii="Times New Roman" w:eastAsia="Times New Roman" w:hAnsi="Times New Roman" w:cs="Times New Roman"/>
          <w:sz w:val="20"/>
          <w:szCs w:val="20"/>
        </w:rPr>
        <w:t xml:space="preserve"> describe as an inclusive (educational) museum (</w:t>
      </w:r>
      <w:proofErr w:type="spellStart"/>
      <w:r>
        <w:rPr>
          <w:rFonts w:ascii="Times New Roman" w:eastAsia="Times New Roman" w:hAnsi="Times New Roman" w:cs="Times New Roman"/>
          <w:sz w:val="20"/>
          <w:szCs w:val="20"/>
        </w:rPr>
        <w:t>Andermann</w:t>
      </w:r>
      <w:proofErr w:type="spellEnd"/>
      <w:r>
        <w:rPr>
          <w:rFonts w:ascii="Times New Roman" w:eastAsia="Times New Roman" w:hAnsi="Times New Roman" w:cs="Times New Roman"/>
          <w:sz w:val="20"/>
          <w:szCs w:val="20"/>
        </w:rPr>
        <w:t xml:space="preserve"> &amp; </w:t>
      </w:r>
      <w:proofErr w:type="spellStart"/>
      <w:r>
        <w:rPr>
          <w:rFonts w:ascii="Times New Roman" w:eastAsia="Times New Roman" w:hAnsi="Times New Roman" w:cs="Times New Roman"/>
          <w:sz w:val="20"/>
          <w:szCs w:val="20"/>
        </w:rPr>
        <w:t>Simine</w:t>
      </w:r>
      <w:proofErr w:type="spellEnd"/>
      <w:r>
        <w:rPr>
          <w:rFonts w:ascii="Times New Roman" w:eastAsia="Times New Roman" w:hAnsi="Times New Roman" w:cs="Times New Roman"/>
          <w:sz w:val="20"/>
          <w:szCs w:val="20"/>
        </w:rPr>
        <w:t xml:space="preserve"> 2012:1). In the case of the Native American Hall, this happens by moving from an object-centered exhibition to what Alvaro </w:t>
      </w:r>
      <w:proofErr w:type="spellStart"/>
      <w:r>
        <w:rPr>
          <w:rFonts w:ascii="Times New Roman" w:eastAsia="Times New Roman" w:hAnsi="Times New Roman" w:cs="Times New Roman"/>
          <w:sz w:val="20"/>
          <w:szCs w:val="20"/>
        </w:rPr>
        <w:t>Am</w:t>
      </w:r>
      <w:r>
        <w:rPr>
          <w:rFonts w:ascii="Times New Roman" w:eastAsia="Times New Roman" w:hAnsi="Times New Roman" w:cs="Times New Roman"/>
          <w:sz w:val="20"/>
          <w:szCs w:val="20"/>
        </w:rPr>
        <w:t>at</w:t>
      </w:r>
      <w:proofErr w:type="spellEnd"/>
      <w:r>
        <w:rPr>
          <w:rFonts w:ascii="Times New Roman" w:eastAsia="Times New Roman" w:hAnsi="Times New Roman" w:cs="Times New Roman"/>
          <w:sz w:val="20"/>
          <w:szCs w:val="20"/>
        </w:rPr>
        <w:t xml:space="preserve">, the Director of Exhibition Design, describes as a Context-based one (PC, </w:t>
      </w:r>
      <w:proofErr w:type="spellStart"/>
      <w:r>
        <w:rPr>
          <w:rFonts w:ascii="Times New Roman" w:eastAsia="Times New Roman" w:hAnsi="Times New Roman" w:cs="Times New Roman"/>
          <w:sz w:val="20"/>
          <w:szCs w:val="20"/>
        </w:rPr>
        <w:t>Amat</w:t>
      </w:r>
      <w:proofErr w:type="spellEnd"/>
      <w:r>
        <w:rPr>
          <w:rFonts w:ascii="Times New Roman" w:eastAsia="Times New Roman" w:hAnsi="Times New Roman" w:cs="Times New Roman"/>
          <w:sz w:val="20"/>
          <w:szCs w:val="20"/>
        </w:rPr>
        <w:t>, February 17, 2020).</w:t>
      </w:r>
    </w:p>
    <w:p w14:paraId="5481A3FF" w14:textId="77777777" w:rsidR="00035E23" w:rsidRDefault="00035E23" w:rsidP="00BE53D1">
      <w:pPr>
        <w:jc w:val="both"/>
        <w:rPr>
          <w:rFonts w:ascii="Times New Roman" w:eastAsia="Times New Roman" w:hAnsi="Times New Roman" w:cs="Times New Roman"/>
          <w:sz w:val="20"/>
          <w:szCs w:val="20"/>
        </w:rPr>
      </w:pPr>
    </w:p>
    <w:p w14:paraId="0C7D58DD" w14:textId="77777777" w:rsidR="00035E23" w:rsidRDefault="00A363AC" w:rsidP="00BE53D1">
      <w:pPr>
        <w:ind w:firstLine="720"/>
        <w:jc w:val="both"/>
      </w:pPr>
      <w:r>
        <w:rPr>
          <w:rFonts w:ascii="Times New Roman" w:eastAsia="Times New Roman" w:hAnsi="Times New Roman" w:cs="Times New Roman"/>
          <w:sz w:val="20"/>
          <w:szCs w:val="20"/>
        </w:rPr>
        <w:t xml:space="preserve">In a personal conversation, Mr. </w:t>
      </w:r>
      <w:proofErr w:type="spellStart"/>
      <w:r>
        <w:rPr>
          <w:rFonts w:ascii="Times New Roman" w:eastAsia="Times New Roman" w:hAnsi="Times New Roman" w:cs="Times New Roman"/>
          <w:sz w:val="20"/>
          <w:szCs w:val="20"/>
        </w:rPr>
        <w:t>Amat</w:t>
      </w:r>
      <w:proofErr w:type="spellEnd"/>
      <w:r>
        <w:rPr>
          <w:rFonts w:ascii="Times New Roman" w:eastAsia="Times New Roman" w:hAnsi="Times New Roman" w:cs="Times New Roman"/>
          <w:sz w:val="20"/>
          <w:szCs w:val="20"/>
        </w:rPr>
        <w:t xml:space="preserve"> had described to me two main kinds of exhibitions: Collection-Based Exhibitions (these have objects in a collection as their starting point, and the overall narrative of the show is put together afterward) and Context-b</w:t>
      </w:r>
      <w:r>
        <w:rPr>
          <w:rFonts w:ascii="Times New Roman" w:eastAsia="Times New Roman" w:hAnsi="Times New Roman" w:cs="Times New Roman"/>
          <w:sz w:val="20"/>
          <w:szCs w:val="20"/>
        </w:rPr>
        <w:t>ased Exhibitions (these have conversations in culture as the main inspiration for putting together a collection of objects). In the latter, the focus is no longer the specific object; instead, it has a narrative as its central element. Here fewer objects a</w:t>
      </w:r>
      <w:r>
        <w:rPr>
          <w:rFonts w:ascii="Times New Roman" w:eastAsia="Times New Roman" w:hAnsi="Times New Roman" w:cs="Times New Roman"/>
          <w:sz w:val="20"/>
          <w:szCs w:val="20"/>
        </w:rPr>
        <w:t>re used as they are interwoven with texts, and they no longer need to do all the work. Their autonomy is sacrificed for a bigger story</w:t>
      </w:r>
      <w:hyperlink w:anchor="bookmark=id.3dy6vkm">
        <w:r>
          <w:rPr>
            <w:rFonts w:ascii="Times New Roman" w:eastAsia="Times New Roman" w:hAnsi="Times New Roman" w:cs="Times New Roman"/>
            <w:color w:val="0563C1"/>
            <w:sz w:val="20"/>
            <w:szCs w:val="20"/>
            <w:u w:val="single"/>
            <w:vertAlign w:val="superscript"/>
          </w:rPr>
          <w:t>7</w:t>
        </w:r>
      </w:hyperlink>
      <w:r>
        <w:rPr>
          <w:rFonts w:ascii="Times New Roman" w:eastAsia="Times New Roman" w:hAnsi="Times New Roman" w:cs="Times New Roman"/>
          <w:sz w:val="20"/>
          <w:szCs w:val="20"/>
          <w:vertAlign w:val="superscript"/>
        </w:rPr>
        <w:t xml:space="preserve"> </w:t>
      </w:r>
      <w:r>
        <w:rPr>
          <w:rFonts w:ascii="Times New Roman" w:eastAsia="Times New Roman" w:hAnsi="Times New Roman" w:cs="Times New Roman"/>
          <w:sz w:val="20"/>
          <w:szCs w:val="20"/>
        </w:rPr>
        <w:t>(in the exhibition, the objects, as discussed previously, will be organized ar</w:t>
      </w:r>
      <w:r>
        <w:rPr>
          <w:rFonts w:ascii="Times New Roman" w:eastAsia="Times New Roman" w:hAnsi="Times New Roman" w:cs="Times New Roman"/>
          <w:sz w:val="20"/>
          <w:szCs w:val="20"/>
        </w:rPr>
        <w:t xml:space="preserve">ound the six “truths”) (PC, </w:t>
      </w:r>
      <w:proofErr w:type="spellStart"/>
      <w:r>
        <w:rPr>
          <w:rFonts w:ascii="Times New Roman" w:eastAsia="Times New Roman" w:hAnsi="Times New Roman" w:cs="Times New Roman"/>
          <w:sz w:val="20"/>
          <w:szCs w:val="20"/>
        </w:rPr>
        <w:t>Amat</w:t>
      </w:r>
      <w:proofErr w:type="spellEnd"/>
      <w:r>
        <w:rPr>
          <w:rFonts w:ascii="Times New Roman" w:eastAsia="Times New Roman" w:hAnsi="Times New Roman" w:cs="Times New Roman"/>
          <w:sz w:val="20"/>
          <w:szCs w:val="20"/>
        </w:rPr>
        <w:t xml:space="preserve">, February 17, 2020). In my conversations at the museum, the developers expressed </w:t>
      </w:r>
      <w:proofErr w:type="gramStart"/>
      <w:r>
        <w:rPr>
          <w:rFonts w:ascii="Times New Roman" w:eastAsia="Times New Roman" w:hAnsi="Times New Roman" w:cs="Times New Roman"/>
          <w:sz w:val="20"/>
          <w:szCs w:val="20"/>
        </w:rPr>
        <w:t>that objects</w:t>
      </w:r>
      <w:proofErr w:type="gramEnd"/>
      <w:r>
        <w:rPr>
          <w:rFonts w:ascii="Times New Roman" w:eastAsia="Times New Roman" w:hAnsi="Times New Roman" w:cs="Times New Roman"/>
          <w:sz w:val="20"/>
          <w:szCs w:val="20"/>
        </w:rPr>
        <w:t xml:space="preserve"> were not central to the show. They even went ahead and commented that they “don’t want stuff” in it</w:t>
      </w:r>
      <w:hyperlink w:anchor="bookmark=id.1t3h5sf">
        <w:r>
          <w:rPr>
            <w:rFonts w:ascii="Times New Roman" w:eastAsia="Times New Roman" w:hAnsi="Times New Roman" w:cs="Times New Roman"/>
            <w:color w:val="0563C1"/>
            <w:sz w:val="20"/>
            <w:szCs w:val="20"/>
            <w:u w:val="single"/>
            <w:vertAlign w:val="superscript"/>
          </w:rPr>
          <w:t>8</w:t>
        </w:r>
      </w:hyperlink>
      <w:r>
        <w:rPr>
          <w:rFonts w:ascii="Times New Roman" w:eastAsia="Times New Roman" w:hAnsi="Times New Roman" w:cs="Times New Roman"/>
          <w:sz w:val="20"/>
          <w:szCs w:val="20"/>
        </w:rPr>
        <w:t xml:space="preserve">. The lesser value given to the possession and display of objects is also reflected in their reduced number in the show. Mr. </w:t>
      </w:r>
      <w:proofErr w:type="spellStart"/>
      <w:r>
        <w:rPr>
          <w:rFonts w:ascii="Times New Roman" w:eastAsia="Times New Roman" w:hAnsi="Times New Roman" w:cs="Times New Roman"/>
          <w:sz w:val="20"/>
          <w:szCs w:val="20"/>
        </w:rPr>
        <w:t>Amat</w:t>
      </w:r>
      <w:proofErr w:type="spellEnd"/>
      <w:r>
        <w:rPr>
          <w:rFonts w:ascii="Times New Roman" w:eastAsia="Times New Roman" w:hAnsi="Times New Roman" w:cs="Times New Roman"/>
          <w:sz w:val="20"/>
          <w:szCs w:val="20"/>
        </w:rPr>
        <w:t xml:space="preserve"> estimated around 120 in comparison to the thousands in the previous exhibit (</w:t>
      </w:r>
      <w:proofErr w:type="spellStart"/>
      <w:r>
        <w:rPr>
          <w:rFonts w:ascii="Times New Roman" w:eastAsia="Times New Roman" w:hAnsi="Times New Roman" w:cs="Times New Roman"/>
          <w:sz w:val="20"/>
          <w:szCs w:val="20"/>
        </w:rPr>
        <w:t>Amat</w:t>
      </w:r>
      <w:proofErr w:type="spellEnd"/>
      <w:r>
        <w:rPr>
          <w:rFonts w:ascii="Times New Roman" w:eastAsia="Times New Roman" w:hAnsi="Times New Roman" w:cs="Times New Roman"/>
          <w:sz w:val="20"/>
          <w:szCs w:val="20"/>
        </w:rPr>
        <w:t>).</w:t>
      </w:r>
    </w:p>
    <w:p w14:paraId="3FC6C6FD" w14:textId="77777777" w:rsidR="00035E23" w:rsidRDefault="00035E23" w:rsidP="00BE53D1">
      <w:pPr>
        <w:jc w:val="both"/>
        <w:rPr>
          <w:rFonts w:ascii="Times New Roman" w:eastAsia="Times New Roman" w:hAnsi="Times New Roman" w:cs="Times New Roman"/>
          <w:sz w:val="20"/>
          <w:szCs w:val="20"/>
        </w:rPr>
      </w:pPr>
    </w:p>
    <w:p w14:paraId="47CCB44C" w14:textId="77777777" w:rsidR="00035E23" w:rsidRDefault="00A363AC" w:rsidP="00BE53D1">
      <w:pPr>
        <w:ind w:firstLine="720"/>
        <w:jc w:val="both"/>
      </w:pPr>
      <w:r>
        <w:rPr>
          <w:rFonts w:ascii="Times New Roman" w:eastAsia="Times New Roman" w:hAnsi="Times New Roman" w:cs="Times New Roman"/>
          <w:sz w:val="20"/>
          <w:szCs w:val="20"/>
        </w:rPr>
        <w:t>Within an exhibition that in</w:t>
      </w:r>
      <w:r>
        <w:rPr>
          <w:rFonts w:ascii="Times New Roman" w:eastAsia="Times New Roman" w:hAnsi="Times New Roman" w:cs="Times New Roman"/>
          <w:sz w:val="20"/>
          <w:szCs w:val="20"/>
        </w:rPr>
        <w:t xml:space="preserve">terposes them with text, objects become points in a big nexus of ideas. In essence, they become </w:t>
      </w:r>
      <w:r>
        <w:rPr>
          <w:rFonts w:ascii="Times New Roman" w:eastAsia="Times New Roman" w:hAnsi="Times New Roman" w:cs="Times New Roman"/>
          <w:b/>
          <w:sz w:val="20"/>
          <w:szCs w:val="20"/>
        </w:rPr>
        <w:t>conceptual</w:t>
      </w:r>
      <w:hyperlink w:anchor="bookmark=id.4d34og8">
        <w:r>
          <w:rPr>
            <w:rFonts w:ascii="Times New Roman" w:eastAsia="Times New Roman" w:hAnsi="Times New Roman" w:cs="Times New Roman"/>
            <w:color w:val="0563C1"/>
            <w:sz w:val="20"/>
            <w:szCs w:val="20"/>
            <w:u w:val="single"/>
            <w:vertAlign w:val="superscript"/>
          </w:rPr>
          <w:t>9</w:t>
        </w:r>
      </w:hyperlink>
      <w:r>
        <w:rPr>
          <w:rFonts w:ascii="Times New Roman" w:eastAsia="Times New Roman" w:hAnsi="Times New Roman" w:cs="Times New Roman"/>
          <w:sz w:val="20"/>
          <w:szCs w:val="20"/>
        </w:rPr>
        <w:t xml:space="preserve">. Each object becomes an idea that represents a specific object. For example, in Joseph </w:t>
      </w:r>
      <w:proofErr w:type="spellStart"/>
      <w:r>
        <w:rPr>
          <w:rFonts w:ascii="Times New Roman" w:eastAsia="Times New Roman" w:hAnsi="Times New Roman" w:cs="Times New Roman"/>
          <w:sz w:val="20"/>
          <w:szCs w:val="20"/>
        </w:rPr>
        <w:t>Kosuth’s</w:t>
      </w:r>
      <w:proofErr w:type="spellEnd"/>
      <w:r>
        <w:rPr>
          <w:rFonts w:ascii="Times New Roman" w:eastAsia="Times New Roman" w:hAnsi="Times New Roman" w:cs="Times New Roman"/>
          <w:sz w:val="20"/>
          <w:szCs w:val="20"/>
        </w:rPr>
        <w:t xml:space="preserve"> One and Three Chairs (Figure 1), an actual chair is just as much of a representation of a chair as is a definition or photograph of it. What is of prominence i</w:t>
      </w:r>
      <w:r>
        <w:rPr>
          <w:rFonts w:ascii="Times New Roman" w:eastAsia="Times New Roman" w:hAnsi="Times New Roman" w:cs="Times New Roman"/>
          <w:sz w:val="20"/>
          <w:szCs w:val="20"/>
        </w:rPr>
        <w:t>s the idea of a chair (n.d. The Museum of Modern Art). Similarly, what is important for the show is the idea that the objects reflect, and not the actual things. Additionally, if we imagine the exhibition as a paragraph, the different segments of it become</w:t>
      </w:r>
      <w:r>
        <w:rPr>
          <w:rFonts w:ascii="Times New Roman" w:eastAsia="Times New Roman" w:hAnsi="Times New Roman" w:cs="Times New Roman"/>
          <w:sz w:val="20"/>
          <w:szCs w:val="20"/>
        </w:rPr>
        <w:t xml:space="preserve"> sentences. Within these, the individual objects become words: alone, they represent something limited, but in a sentence or a paragraph they help express a bigger story than their individual contents.</w:t>
      </w:r>
    </w:p>
    <w:p w14:paraId="5860ECE8" w14:textId="77777777" w:rsidR="00035E23" w:rsidRDefault="00035E23" w:rsidP="00BE53D1">
      <w:pPr>
        <w:jc w:val="both"/>
        <w:rPr>
          <w:rFonts w:ascii="Times New Roman" w:eastAsia="Times New Roman" w:hAnsi="Times New Roman" w:cs="Times New Roman"/>
          <w:sz w:val="20"/>
          <w:szCs w:val="20"/>
        </w:rPr>
      </w:pPr>
    </w:p>
    <w:p w14:paraId="196D5B3F" w14:textId="77777777" w:rsidR="00035E23" w:rsidRDefault="00A363AC" w:rsidP="00BE53D1">
      <w:pPr>
        <w:ind w:firstLine="720"/>
        <w:jc w:val="both"/>
      </w:pPr>
      <w:r>
        <w:rPr>
          <w:rFonts w:ascii="Times New Roman" w:eastAsia="Times New Roman" w:hAnsi="Times New Roman" w:cs="Times New Roman"/>
          <w:sz w:val="20"/>
          <w:szCs w:val="20"/>
        </w:rPr>
        <w:t>Now that we’ve established that our Object: TBD is c</w:t>
      </w:r>
      <w:r>
        <w:rPr>
          <w:rFonts w:ascii="Times New Roman" w:eastAsia="Times New Roman" w:hAnsi="Times New Roman" w:cs="Times New Roman"/>
          <w:sz w:val="20"/>
          <w:szCs w:val="20"/>
        </w:rPr>
        <w:t xml:space="preserve">onceptual (a. because it is a category and b. because the specific objects in it are conceptual), we can also claim that it is </w:t>
      </w:r>
      <w:r>
        <w:rPr>
          <w:rFonts w:ascii="Times New Roman" w:eastAsia="Times New Roman" w:hAnsi="Times New Roman" w:cs="Times New Roman"/>
          <w:b/>
          <w:sz w:val="20"/>
          <w:szCs w:val="20"/>
        </w:rPr>
        <w:t>replaceable</w:t>
      </w:r>
      <w:r>
        <w:rPr>
          <w:rFonts w:ascii="Times New Roman" w:eastAsia="Times New Roman" w:hAnsi="Times New Roman" w:cs="Times New Roman"/>
          <w:sz w:val="20"/>
          <w:szCs w:val="20"/>
        </w:rPr>
        <w:t xml:space="preserve">. An object in the show can be replaced </w:t>
      </w:r>
      <w:r>
        <w:rPr>
          <w:rFonts w:ascii="Times New Roman" w:eastAsia="Times New Roman" w:hAnsi="Times New Roman" w:cs="Times New Roman"/>
          <w:sz w:val="20"/>
          <w:szCs w:val="20"/>
        </w:rPr>
        <w:lastRenderedPageBreak/>
        <w:t>by anything that holds the capacity to speak the truth of that specific segmen</w:t>
      </w:r>
      <w:r>
        <w:rPr>
          <w:rFonts w:ascii="Times New Roman" w:eastAsia="Times New Roman" w:hAnsi="Times New Roman" w:cs="Times New Roman"/>
          <w:sz w:val="20"/>
          <w:szCs w:val="20"/>
        </w:rPr>
        <w:t xml:space="preserve">t. Once again, the idea is important and not the thing itself: a chair is as good as any other chair to describe what a chair is. The label TBD also elucidates this- it is yet to be decided what object will be used in a segment. Thus, an object that might </w:t>
      </w:r>
      <w:r>
        <w:rPr>
          <w:rFonts w:ascii="Times New Roman" w:eastAsia="Times New Roman" w:hAnsi="Times New Roman" w:cs="Times New Roman"/>
          <w:sz w:val="20"/>
          <w:szCs w:val="20"/>
        </w:rPr>
        <w:t>“fit” better, or can be accessed more easily, can be put in place of another. Further expressed by the fact that the exhibition is rotational, objects can be replaced when the need arises (n.d. Field Museum).</w:t>
      </w:r>
    </w:p>
    <w:p w14:paraId="135246FF" w14:textId="77777777" w:rsidR="00035E23" w:rsidRDefault="00035E23" w:rsidP="00BE53D1">
      <w:pPr>
        <w:jc w:val="both"/>
        <w:rPr>
          <w:rFonts w:ascii="Times New Roman" w:eastAsia="Times New Roman" w:hAnsi="Times New Roman" w:cs="Times New Roman"/>
          <w:sz w:val="20"/>
          <w:szCs w:val="20"/>
        </w:rPr>
      </w:pPr>
    </w:p>
    <w:p w14:paraId="567A6693" w14:textId="77777777" w:rsidR="00035E23" w:rsidRDefault="00A363AC" w:rsidP="00BE53D1">
      <w:pPr>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The presence of an object in an exhibition spa</w:t>
      </w:r>
      <w:r>
        <w:rPr>
          <w:rFonts w:ascii="Times New Roman" w:eastAsia="Times New Roman" w:hAnsi="Times New Roman" w:cs="Times New Roman"/>
          <w:sz w:val="20"/>
          <w:szCs w:val="20"/>
        </w:rPr>
        <w:t xml:space="preserve">ce with other things and ideas also makes it </w:t>
      </w:r>
      <w:r>
        <w:rPr>
          <w:rFonts w:ascii="Times New Roman" w:eastAsia="Times New Roman" w:hAnsi="Times New Roman" w:cs="Times New Roman"/>
          <w:b/>
          <w:sz w:val="20"/>
          <w:szCs w:val="20"/>
        </w:rPr>
        <w:t>interactive</w:t>
      </w:r>
      <w:r>
        <w:rPr>
          <w:rFonts w:ascii="Times New Roman" w:eastAsia="Times New Roman" w:hAnsi="Times New Roman" w:cs="Times New Roman"/>
          <w:sz w:val="20"/>
          <w:szCs w:val="20"/>
        </w:rPr>
        <w:t>. It actively contributes to the meanings we ascribe to other objects and to the show at large. Simultaneously, its own interpretation is determined by the other objects around it, the theme of the sh</w:t>
      </w:r>
      <w:r>
        <w:rPr>
          <w:rFonts w:ascii="Times New Roman" w:eastAsia="Times New Roman" w:hAnsi="Times New Roman" w:cs="Times New Roman"/>
          <w:sz w:val="20"/>
          <w:szCs w:val="20"/>
        </w:rPr>
        <w:t>ow, and the meanings we bring to it. Even the Object: TBD label, which exists in the exhibition plan, interacts with the other images and content around it that influence what specific object will take its place. In a way, the specific object functions lik</w:t>
      </w:r>
      <w:r>
        <w:rPr>
          <w:rFonts w:ascii="Times New Roman" w:eastAsia="Times New Roman" w:hAnsi="Times New Roman" w:cs="Times New Roman"/>
          <w:sz w:val="20"/>
          <w:szCs w:val="20"/>
        </w:rPr>
        <w:t xml:space="preserve">e Hans </w:t>
      </w:r>
      <w:proofErr w:type="spellStart"/>
      <w:r>
        <w:rPr>
          <w:rFonts w:ascii="Times New Roman" w:eastAsia="Times New Roman" w:hAnsi="Times New Roman" w:cs="Times New Roman"/>
          <w:sz w:val="20"/>
          <w:szCs w:val="20"/>
        </w:rPr>
        <w:t>Haacke’s</w:t>
      </w:r>
      <w:proofErr w:type="spellEnd"/>
      <w:r>
        <w:rPr>
          <w:rFonts w:ascii="Times New Roman" w:eastAsia="Times New Roman" w:hAnsi="Times New Roman" w:cs="Times New Roman"/>
          <w:sz w:val="20"/>
          <w:szCs w:val="20"/>
        </w:rPr>
        <w:t xml:space="preserve"> Condensation Cube (Figure 2), which depends on elements around it to achieve its actuality.</w:t>
      </w:r>
      <w:r>
        <w:t xml:space="preserve"> </w:t>
      </w:r>
      <w:r>
        <w:rPr>
          <w:rFonts w:ascii="Times New Roman" w:eastAsia="Times New Roman" w:hAnsi="Times New Roman" w:cs="Times New Roman"/>
          <w:sz w:val="20"/>
          <w:szCs w:val="20"/>
        </w:rPr>
        <w:t xml:space="preserve">While talking about the plexiglass cube, which responds to changes in light and temperature by either condensing or evaporating water inside it, </w:t>
      </w:r>
      <w:proofErr w:type="spellStart"/>
      <w:r>
        <w:rPr>
          <w:rFonts w:ascii="Times New Roman" w:eastAsia="Times New Roman" w:hAnsi="Times New Roman" w:cs="Times New Roman"/>
          <w:sz w:val="20"/>
          <w:szCs w:val="20"/>
        </w:rPr>
        <w:t>Haa</w:t>
      </w:r>
      <w:r>
        <w:rPr>
          <w:rFonts w:ascii="Times New Roman" w:eastAsia="Times New Roman" w:hAnsi="Times New Roman" w:cs="Times New Roman"/>
          <w:sz w:val="20"/>
          <w:szCs w:val="20"/>
        </w:rPr>
        <w:t>cke</w:t>
      </w:r>
      <w:proofErr w:type="spellEnd"/>
      <w:r>
        <w:rPr>
          <w:rFonts w:ascii="Times New Roman" w:eastAsia="Times New Roman" w:hAnsi="Times New Roman" w:cs="Times New Roman"/>
          <w:sz w:val="20"/>
          <w:szCs w:val="20"/>
        </w:rPr>
        <w:t xml:space="preserve"> makes the following statement:</w:t>
      </w:r>
      <w:r>
        <w:rPr>
          <w:noProof/>
        </w:rPr>
        <w:drawing>
          <wp:anchor distT="0" distB="0" distL="114300" distR="114300" simplePos="0" relativeHeight="251658240" behindDoc="0" locked="0" layoutInCell="1" hidden="0" allowOverlap="1" wp14:anchorId="0EE3FCE4" wp14:editId="5B69740B">
            <wp:simplePos x="0" y="0"/>
            <wp:positionH relativeFrom="column">
              <wp:posOffset>1</wp:posOffset>
            </wp:positionH>
            <wp:positionV relativeFrom="paragraph">
              <wp:posOffset>561975</wp:posOffset>
            </wp:positionV>
            <wp:extent cx="4070985" cy="3061970"/>
            <wp:effectExtent l="0" t="0" r="0" b="0"/>
            <wp:wrapSquare wrapText="bothSides" distT="0" distB="0" distL="114300" distR="114300"/>
            <wp:docPr id="10" name="image1.jpg" descr="A chair and a bench in a room&#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jpg" descr="A chair and a bench in a room&#10;&#10;Description automatically generated with low confidence"/>
                    <pic:cNvPicPr preferRelativeResize="0"/>
                  </pic:nvPicPr>
                  <pic:blipFill>
                    <a:blip r:embed="rId7"/>
                    <a:srcRect/>
                    <a:stretch>
                      <a:fillRect/>
                    </a:stretch>
                  </pic:blipFill>
                  <pic:spPr>
                    <a:xfrm>
                      <a:off x="0" y="0"/>
                      <a:ext cx="4070985" cy="3061970"/>
                    </a:xfrm>
                    <a:prstGeom prst="rect">
                      <a:avLst/>
                    </a:prstGeom>
                    <a:ln/>
                  </pic:spPr>
                </pic:pic>
              </a:graphicData>
            </a:graphic>
          </wp:anchor>
        </w:drawing>
      </w:r>
    </w:p>
    <w:p w14:paraId="30BDE940" w14:textId="77777777" w:rsidR="00035E23" w:rsidRDefault="00035E23">
      <w:pPr>
        <w:rPr>
          <w:rFonts w:ascii="Times New Roman" w:eastAsia="Times New Roman" w:hAnsi="Times New Roman" w:cs="Times New Roman"/>
          <w:sz w:val="20"/>
          <w:szCs w:val="20"/>
        </w:rPr>
      </w:pPr>
    </w:p>
    <w:p w14:paraId="00A9F98C" w14:textId="395F2E81" w:rsidR="00035E23" w:rsidRDefault="00A745CD" w:rsidP="00A745CD">
      <w:pPr>
        <w:ind w:left="6624"/>
        <w:jc w:val="both"/>
        <w:rPr>
          <w:rFonts w:ascii="Times New Roman" w:eastAsia="Times New Roman" w:hAnsi="Times New Roman" w:cs="Times New Roman"/>
          <w:sz w:val="20"/>
          <w:szCs w:val="20"/>
        </w:rPr>
      </w:pPr>
      <w:r>
        <w:rPr>
          <w:noProof/>
        </w:rPr>
        <mc:AlternateContent>
          <mc:Choice Requires="wps">
            <w:drawing>
              <wp:anchor distT="114300" distB="114300" distL="114300" distR="114300" simplePos="0" relativeHeight="251659264" behindDoc="0" locked="0" layoutInCell="1" hidden="0" allowOverlap="1" wp14:anchorId="7795B331" wp14:editId="587D38A2">
                <wp:simplePos x="0" y="0"/>
                <wp:positionH relativeFrom="margin">
                  <wp:align>left</wp:align>
                </wp:positionH>
                <wp:positionV relativeFrom="paragraph">
                  <wp:posOffset>857416</wp:posOffset>
                </wp:positionV>
                <wp:extent cx="4052888" cy="575461"/>
                <wp:effectExtent l="0" t="0" r="0" b="0"/>
                <wp:wrapSquare wrapText="bothSides" distT="114300" distB="114300" distL="114300" distR="114300"/>
                <wp:docPr id="8" name=""/>
                <wp:cNvGraphicFramePr/>
                <a:graphic xmlns:a="http://schemas.openxmlformats.org/drawingml/2006/main">
                  <a:graphicData uri="http://schemas.microsoft.com/office/word/2010/wordprocessingShape">
                    <wps:wsp>
                      <wps:cNvSpPr txBox="1"/>
                      <wps:spPr>
                        <a:xfrm>
                          <a:off x="0" y="0"/>
                          <a:ext cx="4052888" cy="575461"/>
                        </a:xfrm>
                        <a:prstGeom prst="rect">
                          <a:avLst/>
                        </a:prstGeom>
                        <a:noFill/>
                        <a:ln>
                          <a:noFill/>
                        </a:ln>
                      </wps:spPr>
                      <wps:txbx>
                        <w:txbxContent>
                          <w:p w14:paraId="13082F6C" w14:textId="5473CFA0" w:rsidR="00035E23" w:rsidRDefault="00A363AC">
                            <w:pPr>
                              <w:textDirection w:val="btLr"/>
                            </w:pPr>
                            <w:r>
                              <w:rPr>
                                <w:rFonts w:ascii="Times New Roman" w:eastAsia="Times New Roman" w:hAnsi="Times New Roman" w:cs="Times New Roman"/>
                                <w:color w:val="000000"/>
                                <w:sz w:val="20"/>
                              </w:rPr>
                              <w:t xml:space="preserve">Figure 1. </w:t>
                            </w:r>
                            <w:proofErr w:type="spellStart"/>
                            <w:r>
                              <w:rPr>
                                <w:rFonts w:ascii="Times New Roman" w:eastAsia="Times New Roman" w:hAnsi="Times New Roman" w:cs="Times New Roman"/>
                                <w:color w:val="000000"/>
                                <w:sz w:val="20"/>
                              </w:rPr>
                              <w:t>Kosuth</w:t>
                            </w:r>
                            <w:proofErr w:type="spellEnd"/>
                            <w:r>
                              <w:rPr>
                                <w:rFonts w:ascii="Times New Roman" w:eastAsia="Times New Roman" w:hAnsi="Times New Roman" w:cs="Times New Roman"/>
                                <w:color w:val="000000"/>
                                <w:sz w:val="20"/>
                              </w:rPr>
                              <w:t>, Joseph. 1965. Wood folding chair, mounted photograph of a chair, a</w:t>
                            </w:r>
                            <w:r>
                              <w:rPr>
                                <w:rFonts w:ascii="Times New Roman" w:eastAsia="Times New Roman" w:hAnsi="Times New Roman" w:cs="Times New Roman"/>
                                <w:color w:val="000000"/>
                                <w:sz w:val="20"/>
                              </w:rPr>
                              <w:t>nd mounted photographic enlargement of the dictionary definition of “chair”. (n.d. Museum of Modern Art)</w:t>
                            </w:r>
                            <w:r w:rsidR="00BE53D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 </w:t>
                            </w:r>
                          </w:p>
                        </w:txbxContent>
                      </wps:txbx>
                      <wps:bodyPr spcFirstLastPara="1" wrap="square" lIns="91425" tIns="91425" rIns="91425" bIns="91425"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7795B331" id="_x0000_t202" coordsize="21600,21600" o:spt="202" path="m,l,21600r21600,l21600,xe">
                <v:stroke joinstyle="miter"/>
                <v:path gradientshapeok="t" o:connecttype="rect"/>
              </v:shapetype>
              <v:shape id="_x0000_s1026" type="#_x0000_t202" style="position:absolute;left:0;text-align:left;margin-left:0;margin-top:67.5pt;width:319.15pt;height:45.3pt;z-index:251659264;visibility:visible;mso-wrap-style:square;mso-width-percent:0;mso-height-percent:0;mso-wrap-distance-left:9pt;mso-wrap-distance-top:9pt;mso-wrap-distance-right:9pt;mso-wrap-distance-bottom:9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" filled="f" stroked="f">
                <v:textbox style="mso-fit-shape-to-text:t" inset="2.53958mm,2.53958mm,2.53958mm,2.53958mm">
                  <w:txbxContent>
                    <w:p w14:paraId="13082F6C" w14:textId="5473CFA0" w:rsidR="00035E23" w:rsidRDefault="00A363AC">
                      <w:pPr>
                        <w:textDirection w:val="btLr"/>
                      </w:pPr>
                      <w:r>
                        <w:rPr>
                          <w:rFonts w:ascii="Times New Roman" w:eastAsia="Times New Roman" w:hAnsi="Times New Roman" w:cs="Times New Roman"/>
                          <w:color w:val="000000"/>
                          <w:sz w:val="20"/>
                        </w:rPr>
                        <w:t xml:space="preserve">Figure 1. </w:t>
                      </w:r>
                      <w:proofErr w:type="spellStart"/>
                      <w:r>
                        <w:rPr>
                          <w:rFonts w:ascii="Times New Roman" w:eastAsia="Times New Roman" w:hAnsi="Times New Roman" w:cs="Times New Roman"/>
                          <w:color w:val="000000"/>
                          <w:sz w:val="20"/>
                        </w:rPr>
                        <w:t>Kosuth</w:t>
                      </w:r>
                      <w:proofErr w:type="spellEnd"/>
                      <w:r>
                        <w:rPr>
                          <w:rFonts w:ascii="Times New Roman" w:eastAsia="Times New Roman" w:hAnsi="Times New Roman" w:cs="Times New Roman"/>
                          <w:color w:val="000000"/>
                          <w:sz w:val="20"/>
                        </w:rPr>
                        <w:t>, Joseph. 1965. Wood folding chair, mounted photograph of a chair, a</w:t>
                      </w:r>
                      <w:r>
                        <w:rPr>
                          <w:rFonts w:ascii="Times New Roman" w:eastAsia="Times New Roman" w:hAnsi="Times New Roman" w:cs="Times New Roman"/>
                          <w:color w:val="000000"/>
                          <w:sz w:val="20"/>
                        </w:rPr>
                        <w:t>nd mounted photographic enlargement of the dictionary definition of “chair”. (n.d. Museum of Modern Art)</w:t>
                      </w:r>
                      <w:r w:rsidR="00BE53D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 </w:t>
                      </w:r>
                    </w:p>
                  </w:txbxContent>
                </v:textbox>
                <w10:wrap type="square" anchorx="margin"/>
              </v:shape>
            </w:pict>
          </mc:Fallback>
        </mc:AlternateContent>
      </w:r>
      <w:r w:rsidR="00A363AC">
        <w:rPr>
          <w:rFonts w:ascii="Times New Roman" w:eastAsia="Times New Roman" w:hAnsi="Times New Roman" w:cs="Times New Roman"/>
          <w:sz w:val="20"/>
          <w:szCs w:val="20"/>
        </w:rPr>
        <w:t>“The range of outside factors influencing it, as well as its own radius of action, reach beyond the space it materially occupies. It thus merges with the environment in a relationship that is better understood as a syst</w:t>
      </w:r>
      <w:r w:rsidR="00A363AC">
        <w:rPr>
          <w:rFonts w:ascii="Times New Roman" w:eastAsia="Times New Roman" w:hAnsi="Times New Roman" w:cs="Times New Roman"/>
          <w:sz w:val="20"/>
          <w:szCs w:val="20"/>
        </w:rPr>
        <w:t xml:space="preserve">em of interdependent processes- transfers of energy, </w:t>
      </w:r>
      <w:proofErr w:type="gramStart"/>
      <w:r w:rsidR="00A363AC">
        <w:rPr>
          <w:rFonts w:ascii="Times New Roman" w:eastAsia="Times New Roman" w:hAnsi="Times New Roman" w:cs="Times New Roman"/>
          <w:sz w:val="20"/>
          <w:szCs w:val="20"/>
        </w:rPr>
        <w:t>matter</w:t>
      </w:r>
      <w:proofErr w:type="gramEnd"/>
      <w:r w:rsidR="00A363AC">
        <w:rPr>
          <w:rFonts w:ascii="Times New Roman" w:eastAsia="Times New Roman" w:hAnsi="Times New Roman" w:cs="Times New Roman"/>
          <w:sz w:val="20"/>
          <w:szCs w:val="20"/>
        </w:rPr>
        <w:t xml:space="preserve"> or information- evolve without the viewer’s empathy… a system is not </w:t>
      </w:r>
      <w:r>
        <w:rPr>
          <w:rFonts w:ascii="Times New Roman" w:eastAsia="Times New Roman" w:hAnsi="Times New Roman" w:cs="Times New Roman"/>
          <w:sz w:val="20"/>
          <w:szCs w:val="20"/>
        </w:rPr>
        <w:t xml:space="preserve">     </w:t>
      </w:r>
      <w:r w:rsidR="00A363AC">
        <w:rPr>
          <w:rFonts w:ascii="Times New Roman" w:eastAsia="Times New Roman" w:hAnsi="Times New Roman" w:cs="Times New Roman"/>
          <w:sz w:val="20"/>
          <w:szCs w:val="20"/>
        </w:rPr>
        <w:t>imagined, it is real”. (Tierney 2007:56</w:t>
      </w:r>
      <w:r w:rsidR="00A363AC">
        <w:rPr>
          <w:rFonts w:ascii="Times New Roman" w:eastAsia="Times New Roman" w:hAnsi="Times New Roman" w:cs="Times New Roman"/>
          <w:sz w:val="20"/>
          <w:szCs w:val="20"/>
        </w:rPr>
        <w:t>)</w:t>
      </w:r>
      <w:r>
        <w:rPr>
          <w:rFonts w:ascii="Times New Roman" w:eastAsia="Times New Roman" w:hAnsi="Times New Roman" w:cs="Times New Roman"/>
          <w:sz w:val="20"/>
          <w:szCs w:val="20"/>
        </w:rPr>
        <w:t>.</w:t>
      </w:r>
    </w:p>
    <w:p w14:paraId="13D7134E" w14:textId="4B4091FE" w:rsidR="00035E23" w:rsidRDefault="00035E23">
      <w:pPr>
        <w:rPr>
          <w:rFonts w:ascii="Times New Roman" w:eastAsia="Times New Roman" w:hAnsi="Times New Roman" w:cs="Times New Roman"/>
          <w:sz w:val="20"/>
          <w:szCs w:val="20"/>
        </w:rPr>
      </w:pPr>
    </w:p>
    <w:p w14:paraId="3D0C4797" w14:textId="50D19176" w:rsidR="00035E23" w:rsidRDefault="00A363AC" w:rsidP="00BE53D1">
      <w:pPr>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Here, </w:t>
      </w:r>
      <w:proofErr w:type="spellStart"/>
      <w:r>
        <w:rPr>
          <w:rFonts w:ascii="Times New Roman" w:eastAsia="Times New Roman" w:hAnsi="Times New Roman" w:cs="Times New Roman"/>
          <w:sz w:val="20"/>
          <w:szCs w:val="20"/>
        </w:rPr>
        <w:t>Haacke</w:t>
      </w:r>
      <w:proofErr w:type="spellEnd"/>
      <w:r>
        <w:rPr>
          <w:rFonts w:ascii="Times New Roman" w:eastAsia="Times New Roman" w:hAnsi="Times New Roman" w:cs="Times New Roman"/>
          <w:sz w:val="20"/>
          <w:szCs w:val="20"/>
        </w:rPr>
        <w:t xml:space="preserve"> recognizes that an object that responds to its surroundings exists in an interactive system. While he also claims that a thing that res</w:t>
      </w:r>
      <w:r>
        <w:rPr>
          <w:rFonts w:ascii="Times New Roman" w:eastAsia="Times New Roman" w:hAnsi="Times New Roman" w:cs="Times New Roman"/>
          <w:sz w:val="20"/>
          <w:szCs w:val="20"/>
        </w:rPr>
        <w:t>ponds to its environment doesn’t stay an object anymore, we can still argue that it does (Tierney 2007:56). It seems, based on his preoccupation with physical interactions, an object for him is primarily a physical entity. However, an object also holds the</w:t>
      </w:r>
      <w:r>
        <w:rPr>
          <w:rFonts w:ascii="Times New Roman" w:eastAsia="Times New Roman" w:hAnsi="Times New Roman" w:cs="Times New Roman"/>
          <w:sz w:val="20"/>
          <w:szCs w:val="20"/>
        </w:rPr>
        <w:t xml:space="preserve"> capacity to interact socially. This is exemplified in the media interactives that the developers plan on including in the show</w:t>
      </w:r>
      <w:hyperlink w:anchor="bookmark=id.2s8eyo1">
        <w:r>
          <w:rPr>
            <w:rFonts w:ascii="Times New Roman" w:eastAsia="Times New Roman" w:hAnsi="Times New Roman" w:cs="Times New Roman"/>
            <w:color w:val="0563C1"/>
            <w:sz w:val="20"/>
            <w:szCs w:val="20"/>
            <w:u w:val="single"/>
            <w:vertAlign w:val="superscript"/>
          </w:rPr>
          <w:t>10</w:t>
        </w:r>
      </w:hyperlink>
      <w:r>
        <w:rPr>
          <w:rFonts w:ascii="Times New Roman" w:eastAsia="Times New Roman" w:hAnsi="Times New Roman" w:cs="Times New Roman"/>
          <w:sz w:val="20"/>
          <w:szCs w:val="20"/>
        </w:rPr>
        <w:t>. While discussing the nature of interactive media in exhibitions, the editor of Poli</w:t>
      </w:r>
      <w:r>
        <w:rPr>
          <w:rFonts w:ascii="Times New Roman" w:eastAsia="Times New Roman" w:hAnsi="Times New Roman" w:cs="Times New Roman"/>
          <w:sz w:val="20"/>
          <w:szCs w:val="20"/>
        </w:rPr>
        <w:t xml:space="preserve">tics of Display, Sharon Macdonald, writes, “Both human and machine act as sources and receivers of information thereby functioning as part of an interacting system” (Macdonald 1998:85). By following the statements of both </w:t>
      </w:r>
      <w:proofErr w:type="spellStart"/>
      <w:r>
        <w:rPr>
          <w:rFonts w:ascii="Times New Roman" w:eastAsia="Times New Roman" w:hAnsi="Times New Roman" w:cs="Times New Roman"/>
          <w:sz w:val="20"/>
          <w:szCs w:val="20"/>
        </w:rPr>
        <w:t>Haacke</w:t>
      </w:r>
      <w:proofErr w:type="spellEnd"/>
      <w:r>
        <w:rPr>
          <w:rFonts w:ascii="Times New Roman" w:eastAsia="Times New Roman" w:hAnsi="Times New Roman" w:cs="Times New Roman"/>
          <w:sz w:val="20"/>
          <w:szCs w:val="20"/>
        </w:rPr>
        <w:t xml:space="preserve"> and Sharon we can claim tha</w:t>
      </w:r>
      <w:r>
        <w:rPr>
          <w:rFonts w:ascii="Times New Roman" w:eastAsia="Times New Roman" w:hAnsi="Times New Roman" w:cs="Times New Roman"/>
          <w:sz w:val="20"/>
          <w:szCs w:val="20"/>
        </w:rPr>
        <w:t xml:space="preserve">t an object in an exhibition is not restricted to its physical confines, for it also interacts in a social space. </w:t>
      </w:r>
    </w:p>
    <w:p w14:paraId="1B23504D" w14:textId="77777777" w:rsidR="00035E23" w:rsidRDefault="00035E23">
      <w:pPr>
        <w:rPr>
          <w:rFonts w:ascii="Times New Roman" w:eastAsia="Times New Roman" w:hAnsi="Times New Roman" w:cs="Times New Roman"/>
          <w:sz w:val="20"/>
          <w:szCs w:val="20"/>
        </w:rPr>
      </w:pPr>
    </w:p>
    <w:p w14:paraId="34CC4D13" w14:textId="77777777" w:rsidR="00035E23" w:rsidRDefault="00A363AC" w:rsidP="00BE53D1">
      <w:pPr>
        <w:ind w:firstLine="720"/>
        <w:jc w:val="both"/>
      </w:pPr>
      <w:r>
        <w:rPr>
          <w:rFonts w:ascii="Times New Roman" w:eastAsia="Times New Roman" w:hAnsi="Times New Roman" w:cs="Times New Roman"/>
          <w:sz w:val="20"/>
          <w:szCs w:val="20"/>
        </w:rPr>
        <w:t>Since interaction, in the case of existing objects, involves experience, it unfolds in time- it happens in a moment in the present. But what</w:t>
      </w:r>
      <w:r>
        <w:rPr>
          <w:rFonts w:ascii="Times New Roman" w:eastAsia="Times New Roman" w:hAnsi="Times New Roman" w:cs="Times New Roman"/>
          <w:sz w:val="20"/>
          <w:szCs w:val="20"/>
        </w:rPr>
        <w:t xml:space="preserve"> about the specific object that hasn’t been experienced yet and hasn’t even been put in the plan? Where does that exist temporally? Specifically, what is the temporal location of Object: TBD? I would argue that it is located in the </w:t>
      </w:r>
      <w:r>
        <w:rPr>
          <w:rFonts w:ascii="Times New Roman" w:eastAsia="Times New Roman" w:hAnsi="Times New Roman" w:cs="Times New Roman"/>
          <w:b/>
          <w:sz w:val="20"/>
          <w:szCs w:val="20"/>
        </w:rPr>
        <w:t>future</w:t>
      </w:r>
      <w:r>
        <w:rPr>
          <w:rFonts w:ascii="Times New Roman" w:eastAsia="Times New Roman" w:hAnsi="Times New Roman" w:cs="Times New Roman"/>
          <w:sz w:val="20"/>
          <w:szCs w:val="20"/>
        </w:rPr>
        <w:t xml:space="preserve">. In Making Time: </w:t>
      </w:r>
      <w:r>
        <w:rPr>
          <w:rFonts w:ascii="Times New Roman" w:eastAsia="Times New Roman" w:hAnsi="Times New Roman" w:cs="Times New Roman"/>
          <w:sz w:val="20"/>
          <w:szCs w:val="20"/>
        </w:rPr>
        <w:t xml:space="preserve">Temporality, History, and the Cultural Object, Georgina Born talks about Husserl’s model of time (which according to him has been drawn on by </w:t>
      </w:r>
      <w:proofErr w:type="spellStart"/>
      <w:r>
        <w:rPr>
          <w:rFonts w:ascii="Times New Roman" w:eastAsia="Times New Roman" w:hAnsi="Times New Roman" w:cs="Times New Roman"/>
          <w:sz w:val="20"/>
          <w:szCs w:val="20"/>
        </w:rPr>
        <w:t>Gell</w:t>
      </w:r>
      <w:proofErr w:type="spellEnd"/>
      <w:r>
        <w:rPr>
          <w:rFonts w:ascii="Times New Roman" w:eastAsia="Times New Roman" w:hAnsi="Times New Roman" w:cs="Times New Roman"/>
          <w:sz w:val="20"/>
          <w:szCs w:val="20"/>
        </w:rPr>
        <w:t xml:space="preserve"> and Munn as well) in which </w:t>
      </w:r>
      <w:r>
        <w:rPr>
          <w:rFonts w:ascii="Times New Roman" w:eastAsia="Times New Roman" w:hAnsi="Times New Roman" w:cs="Times New Roman"/>
          <w:sz w:val="20"/>
          <w:szCs w:val="20"/>
        </w:rPr>
        <w:lastRenderedPageBreak/>
        <w:t>“past and future are continually altering in cognitive time as they are apprehende</w:t>
      </w:r>
      <w:r>
        <w:rPr>
          <w:rFonts w:ascii="Times New Roman" w:eastAsia="Times New Roman" w:hAnsi="Times New Roman" w:cs="Times New Roman"/>
          <w:sz w:val="20"/>
          <w:szCs w:val="20"/>
        </w:rPr>
        <w:t xml:space="preserve">d from changing present.” Central to his model are retentions (memories or traces of the past) and </w:t>
      </w:r>
      <w:proofErr w:type="spellStart"/>
      <w:r>
        <w:rPr>
          <w:rFonts w:ascii="Times New Roman" w:eastAsia="Times New Roman" w:hAnsi="Times New Roman" w:cs="Times New Roman"/>
          <w:sz w:val="20"/>
          <w:szCs w:val="20"/>
        </w:rPr>
        <w:t>protentions</w:t>
      </w:r>
      <w:proofErr w:type="spellEnd"/>
      <w:r>
        <w:rPr>
          <w:rFonts w:ascii="Times New Roman" w:eastAsia="Times New Roman" w:hAnsi="Times New Roman" w:cs="Times New Roman"/>
          <w:sz w:val="20"/>
          <w:szCs w:val="20"/>
        </w:rPr>
        <w:t xml:space="preserve"> (projections or anticipations). The author says that the past is experienced through retentions of previous events, just as the future is experie</w:t>
      </w:r>
      <w:r>
        <w:rPr>
          <w:rFonts w:ascii="Times New Roman" w:eastAsia="Times New Roman" w:hAnsi="Times New Roman" w:cs="Times New Roman"/>
          <w:sz w:val="20"/>
          <w:szCs w:val="20"/>
        </w:rPr>
        <w:t xml:space="preserve">nced through projections of possibilities (Born 2015:368). In our case, the materialization of Object: TBD is based on projections and anticipations that are made in the present. There are various conditions that </w:t>
      </w:r>
      <w:r>
        <w:rPr>
          <w:rFonts w:ascii="Times New Roman" w:eastAsia="Times New Roman" w:hAnsi="Times New Roman" w:cs="Times New Roman"/>
          <w:i/>
          <w:sz w:val="20"/>
          <w:szCs w:val="20"/>
        </w:rPr>
        <w:t>project</w:t>
      </w:r>
      <w:r>
        <w:rPr>
          <w:rFonts w:ascii="Times New Roman" w:eastAsia="Times New Roman" w:hAnsi="Times New Roman" w:cs="Times New Roman"/>
          <w:sz w:val="20"/>
          <w:szCs w:val="20"/>
        </w:rPr>
        <w:t xml:space="preserve"> what that object will be (for examp</w:t>
      </w:r>
      <w:r>
        <w:rPr>
          <w:rFonts w:ascii="Times New Roman" w:eastAsia="Times New Roman" w:hAnsi="Times New Roman" w:cs="Times New Roman"/>
          <w:sz w:val="20"/>
          <w:szCs w:val="20"/>
        </w:rPr>
        <w:t xml:space="preserve">le, it is projected that there will be interactive video games in the show), placing the realization of the Object category (TBD) in the future. Further, the label </w:t>
      </w:r>
      <w:r>
        <w:rPr>
          <w:rFonts w:ascii="Times New Roman" w:eastAsia="Times New Roman" w:hAnsi="Times New Roman" w:cs="Times New Roman"/>
          <w:i/>
          <w:sz w:val="20"/>
          <w:szCs w:val="20"/>
        </w:rPr>
        <w:t>TBD</w:t>
      </w:r>
      <w:r>
        <w:rPr>
          <w:rFonts w:ascii="Times New Roman" w:eastAsia="Times New Roman" w:hAnsi="Times New Roman" w:cs="Times New Roman"/>
          <w:sz w:val="20"/>
          <w:szCs w:val="20"/>
        </w:rPr>
        <w:t xml:space="preserve"> signals the future occupation of a spot by a yet-to-be-decided object. Even the existenc</w:t>
      </w:r>
      <w:r>
        <w:rPr>
          <w:rFonts w:ascii="Times New Roman" w:eastAsia="Times New Roman" w:hAnsi="Times New Roman" w:cs="Times New Roman"/>
          <w:sz w:val="20"/>
          <w:szCs w:val="20"/>
        </w:rPr>
        <w:t xml:space="preserve">e of the Object Category in an exhibition </w:t>
      </w:r>
      <w:r>
        <w:rPr>
          <w:rFonts w:ascii="Times New Roman" w:eastAsia="Times New Roman" w:hAnsi="Times New Roman" w:cs="Times New Roman"/>
          <w:i/>
          <w:sz w:val="20"/>
          <w:szCs w:val="20"/>
        </w:rPr>
        <w:t>plan</w:t>
      </w:r>
      <w:r>
        <w:rPr>
          <w:rFonts w:ascii="Times New Roman" w:eastAsia="Times New Roman" w:hAnsi="Times New Roman" w:cs="Times New Roman"/>
          <w:sz w:val="20"/>
          <w:szCs w:val="20"/>
        </w:rPr>
        <w:t xml:space="preserve"> suggests that something needs to happen that hasn’t occurred yet, signaling a future- a future exhibition. In On Futures: Multi-modal Reflections on Studying the Anthropology of the Future</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the authors describ</w:t>
      </w:r>
      <w:r>
        <w:rPr>
          <w:rFonts w:ascii="Times New Roman" w:eastAsia="Times New Roman" w:hAnsi="Times New Roman" w:cs="Times New Roman"/>
          <w:sz w:val="20"/>
          <w:szCs w:val="20"/>
        </w:rPr>
        <w:t>e the future as impinging upon the present, “shaping its material, social and affective contours” (Silke et al. 2020: 127). They point out the connection that the present enjoys with the future and claim that the future is a “transitory object, one that we</w:t>
      </w:r>
      <w:r>
        <w:rPr>
          <w:rFonts w:ascii="Times New Roman" w:eastAsia="Times New Roman" w:hAnsi="Times New Roman" w:cs="Times New Roman"/>
          <w:sz w:val="20"/>
          <w:szCs w:val="20"/>
        </w:rPr>
        <w:t xml:space="preserve"> [are] constantly moving towards but which [is] difficult to interrogate.” Through the study of three books</w:t>
      </w:r>
      <w:hyperlink w:anchor="bookmark=id.17dp8vu">
        <w:r>
          <w:rPr>
            <w:rFonts w:ascii="Times New Roman" w:eastAsia="Times New Roman" w:hAnsi="Times New Roman" w:cs="Times New Roman"/>
            <w:color w:val="0563C1"/>
            <w:sz w:val="20"/>
            <w:szCs w:val="20"/>
            <w:u w:val="single"/>
            <w:vertAlign w:val="superscript"/>
          </w:rPr>
          <w:t>11</w:t>
        </w:r>
      </w:hyperlink>
      <w:r>
        <w:rPr>
          <w:rFonts w:ascii="Times New Roman" w:eastAsia="Times New Roman" w:hAnsi="Times New Roman" w:cs="Times New Roman"/>
          <w:sz w:val="20"/>
          <w:szCs w:val="20"/>
        </w:rPr>
        <w:t xml:space="preserve">, the authors concluded that “the future is evident in the present and [it] impacts the everyday” (Silke </w:t>
      </w:r>
      <w:r>
        <w:rPr>
          <w:rFonts w:ascii="Times New Roman" w:eastAsia="Times New Roman" w:hAnsi="Times New Roman" w:cs="Times New Roman"/>
          <w:sz w:val="20"/>
          <w:szCs w:val="20"/>
        </w:rPr>
        <w:t>et al.). For the Native American hall, this future is evident in the realized/ materialized objects in the present (or the present that will happen when the show is put together) as they are informed by the conditions that the Object: TBD category, which e</w:t>
      </w:r>
      <w:r>
        <w:rPr>
          <w:rFonts w:ascii="Times New Roman" w:eastAsia="Times New Roman" w:hAnsi="Times New Roman" w:cs="Times New Roman"/>
          <w:sz w:val="20"/>
          <w:szCs w:val="20"/>
        </w:rPr>
        <w:t xml:space="preserve">mbodies that future, sets up. </w:t>
      </w:r>
      <w:r>
        <w:rPr>
          <w:noProof/>
        </w:rPr>
        <w:drawing>
          <wp:anchor distT="0" distB="0" distL="114300" distR="114300" simplePos="0" relativeHeight="251660288" behindDoc="0" locked="0" layoutInCell="1" hidden="0" allowOverlap="1" wp14:anchorId="6D53F98E" wp14:editId="4999B838">
            <wp:simplePos x="0" y="0"/>
            <wp:positionH relativeFrom="column">
              <wp:posOffset>1</wp:posOffset>
            </wp:positionH>
            <wp:positionV relativeFrom="paragraph">
              <wp:posOffset>1866900</wp:posOffset>
            </wp:positionV>
            <wp:extent cx="2164080" cy="3122295"/>
            <wp:effectExtent l="0" t="0" r="0" b="0"/>
            <wp:wrapSquare wrapText="bothSides" distT="0" distB="0" distL="114300" distR="114300"/>
            <wp:docPr id="11" name="image2.jpg" descr="A picture containing text, indoor, open, empty&#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jpg" descr="A picture containing text, indoor, open, empty&#10;&#10;Description automatically generated"/>
                    <pic:cNvPicPr preferRelativeResize="0"/>
                  </pic:nvPicPr>
                  <pic:blipFill>
                    <a:blip r:embed="rId8"/>
                    <a:srcRect/>
                    <a:stretch>
                      <a:fillRect/>
                    </a:stretch>
                  </pic:blipFill>
                  <pic:spPr>
                    <a:xfrm>
                      <a:off x="0" y="0"/>
                      <a:ext cx="2164080" cy="3122295"/>
                    </a:xfrm>
                    <a:prstGeom prst="rect">
                      <a:avLst/>
                    </a:prstGeom>
                    <a:ln/>
                  </pic:spPr>
                </pic:pic>
              </a:graphicData>
            </a:graphic>
          </wp:anchor>
        </w:drawing>
      </w:r>
    </w:p>
    <w:p w14:paraId="1CB5A719" w14:textId="77777777" w:rsidR="00035E23" w:rsidRDefault="00035E23" w:rsidP="00BE53D1">
      <w:pPr>
        <w:jc w:val="both"/>
        <w:rPr>
          <w:rFonts w:ascii="Times New Roman" w:eastAsia="Times New Roman" w:hAnsi="Times New Roman" w:cs="Times New Roman"/>
          <w:sz w:val="20"/>
          <w:szCs w:val="20"/>
        </w:rPr>
      </w:pPr>
    </w:p>
    <w:p w14:paraId="7FD831B6" w14:textId="50199C02" w:rsidR="00035E23" w:rsidRDefault="00BE53D1" w:rsidP="00BE53D1">
      <w:pPr>
        <w:ind w:firstLine="720"/>
        <w:jc w:val="both"/>
      </w:pPr>
      <w:r>
        <w:rPr>
          <w:noProof/>
        </w:rPr>
        <mc:AlternateContent>
          <mc:Choice Requires="wps">
            <w:drawing>
              <wp:anchor distT="114300" distB="114300" distL="114300" distR="114300" simplePos="0" relativeHeight="251661312" behindDoc="0" locked="0" layoutInCell="1" hidden="0" allowOverlap="1" wp14:anchorId="293D0B18" wp14:editId="4AD3863F">
                <wp:simplePos x="0" y="0"/>
                <wp:positionH relativeFrom="margin">
                  <wp:align>left</wp:align>
                </wp:positionH>
                <wp:positionV relativeFrom="paragraph">
                  <wp:posOffset>2268579</wp:posOffset>
                </wp:positionV>
                <wp:extent cx="2164080" cy="779145"/>
                <wp:effectExtent l="0" t="0" r="0" b="0"/>
                <wp:wrapSquare wrapText="bothSides" distT="114300" distB="114300" distL="114300" distR="114300"/>
                <wp:docPr id="9" name=""/>
                <wp:cNvGraphicFramePr/>
                <a:graphic xmlns:a="http://schemas.openxmlformats.org/drawingml/2006/main">
                  <a:graphicData uri="http://schemas.microsoft.com/office/word/2010/wordprocessingShape">
                    <wps:wsp>
                      <wps:cNvSpPr txBox="1"/>
                      <wps:spPr>
                        <a:xfrm>
                          <a:off x="0" y="0"/>
                          <a:ext cx="2164080" cy="779145"/>
                        </a:xfrm>
                        <a:prstGeom prst="rect">
                          <a:avLst/>
                        </a:prstGeom>
                        <a:noFill/>
                        <a:ln>
                          <a:noFill/>
                        </a:ln>
                      </wps:spPr>
                      <wps:txbx>
                        <w:txbxContent>
                          <w:p w14:paraId="4E7CB452" w14:textId="09BE5D7D" w:rsidR="00035E23" w:rsidRDefault="00A363AC" w:rsidP="00A745CD">
                            <w:pPr>
                              <w:textDirection w:val="btLr"/>
                            </w:pPr>
                            <w:r>
                              <w:rPr>
                                <w:rFonts w:ascii="Times New Roman" w:eastAsia="Times New Roman" w:hAnsi="Times New Roman" w:cs="Times New Roman"/>
                                <w:color w:val="000000"/>
                                <w:sz w:val="20"/>
                              </w:rPr>
                              <w:t xml:space="preserve">Figure 2. </w:t>
                            </w:r>
                            <w:proofErr w:type="spellStart"/>
                            <w:r>
                              <w:rPr>
                                <w:rFonts w:ascii="Times New Roman" w:eastAsia="Times New Roman" w:hAnsi="Times New Roman" w:cs="Times New Roman"/>
                                <w:color w:val="000000"/>
                                <w:sz w:val="20"/>
                              </w:rPr>
                              <w:t>Haacke</w:t>
                            </w:r>
                            <w:proofErr w:type="spellEnd"/>
                            <w:r>
                              <w:rPr>
                                <w:rFonts w:ascii="Times New Roman" w:eastAsia="Times New Roman" w:hAnsi="Times New Roman" w:cs="Times New Roman"/>
                                <w:color w:val="000000"/>
                                <w:sz w:val="20"/>
                              </w:rPr>
                              <w:t>, Hans. 1965. Plexiglass and water, 76cm x 76cm x 76 cm. (n.d. Barcelona Museum of Contemporary Art)</w:t>
                            </w:r>
                            <w:r w:rsidR="00BE53D1">
                              <w:rPr>
                                <w:rFonts w:ascii="Times New Roman" w:eastAsia="Times New Roman" w:hAnsi="Times New Roman" w:cs="Times New Roman"/>
                                <w:color w:val="000000"/>
                                <w:sz w:val="20"/>
                              </w:rPr>
                              <w:t>.</w:t>
                            </w:r>
                          </w:p>
                        </w:txbxContent>
                      </wps:txbx>
                      <wps:bodyPr spcFirstLastPara="1"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 w14:anchorId="293D0B18" id="_x0000_s1027" type="#_x0000_t202" style="position:absolute;left:0;text-align:left;margin-left:0;margin-top:178.65pt;width:170.4pt;height:61.35pt;z-index:251661312;visibility:visible;mso-wrap-style:square;mso-width-percent:0;mso-height-percent:0;mso-wrap-distance-left:9pt;mso-wrap-distance-top:9pt;mso-wrap-distance-right:9pt;mso-wrap-distance-bottom:9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" filled="f" stroked="f">
                <v:textbox inset="2.53958mm,2.53958mm,2.53958mm,2.53958mm">
                  <w:txbxContent>
                    <w:p w14:paraId="4E7CB452" w14:textId="09BE5D7D" w:rsidR="00035E23" w:rsidRDefault="00A363AC" w:rsidP="00A745CD">
                      <w:pPr>
                        <w:textDirection w:val="btLr"/>
                      </w:pPr>
                      <w:r>
                        <w:rPr>
                          <w:rFonts w:ascii="Times New Roman" w:eastAsia="Times New Roman" w:hAnsi="Times New Roman" w:cs="Times New Roman"/>
                          <w:color w:val="000000"/>
                          <w:sz w:val="20"/>
                        </w:rPr>
                        <w:t xml:space="preserve">Figure 2. </w:t>
                      </w:r>
                      <w:proofErr w:type="spellStart"/>
                      <w:r>
                        <w:rPr>
                          <w:rFonts w:ascii="Times New Roman" w:eastAsia="Times New Roman" w:hAnsi="Times New Roman" w:cs="Times New Roman"/>
                          <w:color w:val="000000"/>
                          <w:sz w:val="20"/>
                        </w:rPr>
                        <w:t>Haacke</w:t>
                      </w:r>
                      <w:proofErr w:type="spellEnd"/>
                      <w:r>
                        <w:rPr>
                          <w:rFonts w:ascii="Times New Roman" w:eastAsia="Times New Roman" w:hAnsi="Times New Roman" w:cs="Times New Roman"/>
                          <w:color w:val="000000"/>
                          <w:sz w:val="20"/>
                        </w:rPr>
                        <w:t>, Hans. 1965. Plexiglass and water, 76cm x 76cm x 76 cm. (n.d. Barcelona Museum of Contemporary Art)</w:t>
                      </w:r>
                      <w:r w:rsidR="00BE53D1">
                        <w:rPr>
                          <w:rFonts w:ascii="Times New Roman" w:eastAsia="Times New Roman" w:hAnsi="Times New Roman" w:cs="Times New Roman"/>
                          <w:color w:val="000000"/>
                          <w:sz w:val="20"/>
                        </w:rPr>
                        <w:t>.</w:t>
                      </w:r>
                    </w:p>
                  </w:txbxContent>
                </v:textbox>
                <w10:wrap type="square" anchorx="margin"/>
              </v:shape>
            </w:pict>
          </mc:Fallback>
        </mc:AlternateContent>
      </w:r>
      <w:r w:rsidR="00A363AC">
        <w:rPr>
          <w:rFonts w:ascii="Times New Roman" w:eastAsia="Times New Roman" w:hAnsi="Times New Roman" w:cs="Times New Roman"/>
          <w:sz w:val="20"/>
          <w:szCs w:val="20"/>
        </w:rPr>
        <w:t xml:space="preserve">It is this capacity of the Object: TBD to embody a future that also makes it </w:t>
      </w:r>
      <w:r w:rsidR="00A363AC">
        <w:rPr>
          <w:rFonts w:ascii="Times New Roman" w:eastAsia="Times New Roman" w:hAnsi="Times New Roman" w:cs="Times New Roman"/>
          <w:b/>
          <w:sz w:val="20"/>
          <w:szCs w:val="20"/>
        </w:rPr>
        <w:t>political.</w:t>
      </w:r>
      <w:r w:rsidR="00A363AC">
        <w:rPr>
          <w:rFonts w:ascii="Times New Roman" w:eastAsia="Times New Roman" w:hAnsi="Times New Roman" w:cs="Times New Roman"/>
          <w:sz w:val="20"/>
          <w:szCs w:val="20"/>
        </w:rPr>
        <w:t xml:space="preserve"> The presence of multiple parties and their claims in the present determines what specific objects </w:t>
      </w:r>
      <w:r w:rsidR="00A363AC">
        <w:rPr>
          <w:rFonts w:ascii="Times New Roman" w:eastAsia="Times New Roman" w:hAnsi="Times New Roman" w:cs="Times New Roman"/>
          <w:color w:val="000000"/>
          <w:sz w:val="20"/>
          <w:szCs w:val="20"/>
        </w:rPr>
        <w:t>will be put in the Object: TBD’s place and how. In an attempt to represent diverse voices, the institution brought together both Native and non-Native member</w:t>
      </w:r>
      <w:r w:rsidR="00A363AC">
        <w:rPr>
          <w:rFonts w:ascii="Times New Roman" w:eastAsia="Times New Roman" w:hAnsi="Times New Roman" w:cs="Times New Roman"/>
          <w:color w:val="000000"/>
          <w:sz w:val="20"/>
          <w:szCs w:val="20"/>
        </w:rPr>
        <w:t xml:space="preserve">s to help actualize its project. An article on the museum’s website notes that on its team is an advisor from the </w:t>
      </w:r>
      <w:r w:rsidR="00A363AC">
        <w:rPr>
          <w:rFonts w:ascii="Times New Roman" w:eastAsia="Times New Roman" w:hAnsi="Times New Roman" w:cs="Times New Roman"/>
          <w:color w:val="000000"/>
          <w:sz w:val="20"/>
          <w:szCs w:val="20"/>
          <w:highlight w:val="white"/>
        </w:rPr>
        <w:t>Pokagon Band of Potawatomi, the tribe on whose land the Field Museum stands, and a representative from the Chicago American Indian Community C</w:t>
      </w:r>
      <w:r w:rsidR="00A363AC">
        <w:rPr>
          <w:rFonts w:ascii="Times New Roman" w:eastAsia="Times New Roman" w:hAnsi="Times New Roman" w:cs="Times New Roman"/>
          <w:color w:val="000000"/>
          <w:sz w:val="20"/>
          <w:szCs w:val="20"/>
          <w:highlight w:val="white"/>
        </w:rPr>
        <w:t>ollaborative. This group brings together most of the Native American organizations in the Chicago region (</w:t>
      </w:r>
      <w:proofErr w:type="spellStart"/>
      <w:r w:rsidR="00A363AC">
        <w:rPr>
          <w:rFonts w:ascii="Times New Roman" w:eastAsia="Times New Roman" w:hAnsi="Times New Roman" w:cs="Times New Roman"/>
          <w:color w:val="000000"/>
          <w:sz w:val="20"/>
          <w:szCs w:val="20"/>
          <w:highlight w:val="white"/>
        </w:rPr>
        <w:t>Wali</w:t>
      </w:r>
      <w:proofErr w:type="spellEnd"/>
      <w:r w:rsidR="00A363AC">
        <w:rPr>
          <w:rFonts w:ascii="Times New Roman" w:eastAsia="Times New Roman" w:hAnsi="Times New Roman" w:cs="Times New Roman"/>
          <w:color w:val="000000"/>
          <w:sz w:val="20"/>
          <w:szCs w:val="20"/>
          <w:highlight w:val="white"/>
        </w:rPr>
        <w:t xml:space="preserve"> et al. 2018). Along with them, there are also Native curators, developers, and engagement coordinators on the team.  While it might be naïve to a</w:t>
      </w:r>
      <w:r w:rsidR="00A363AC">
        <w:rPr>
          <w:rFonts w:ascii="Times New Roman" w:eastAsia="Times New Roman" w:hAnsi="Times New Roman" w:cs="Times New Roman"/>
          <w:color w:val="000000"/>
          <w:sz w:val="20"/>
          <w:szCs w:val="20"/>
          <w:highlight w:val="white"/>
        </w:rPr>
        <w:t xml:space="preserve">ssume that a Native/ non-Native divide in the development process would cause strife, especially since the museum has advertised giving expression to native voices as its primary goal, a previous incident narrated to me by Mr. </w:t>
      </w:r>
      <w:proofErr w:type="spellStart"/>
      <w:r w:rsidR="00A363AC">
        <w:rPr>
          <w:rFonts w:ascii="Times New Roman" w:eastAsia="Times New Roman" w:hAnsi="Times New Roman" w:cs="Times New Roman"/>
          <w:color w:val="000000"/>
          <w:sz w:val="20"/>
          <w:szCs w:val="20"/>
          <w:highlight w:val="white"/>
        </w:rPr>
        <w:t>Amat</w:t>
      </w:r>
      <w:proofErr w:type="spellEnd"/>
      <w:r w:rsidR="00A363AC">
        <w:rPr>
          <w:rFonts w:ascii="Times New Roman" w:eastAsia="Times New Roman" w:hAnsi="Times New Roman" w:cs="Times New Roman"/>
          <w:color w:val="000000"/>
          <w:sz w:val="20"/>
          <w:szCs w:val="20"/>
          <w:highlight w:val="white"/>
        </w:rPr>
        <w:t xml:space="preserve"> might indicate otherwise</w:t>
      </w:r>
      <w:r w:rsidR="00A363AC">
        <w:rPr>
          <w:rFonts w:ascii="Times New Roman" w:eastAsia="Times New Roman" w:hAnsi="Times New Roman" w:cs="Times New Roman"/>
          <w:color w:val="000000"/>
          <w:sz w:val="20"/>
          <w:szCs w:val="20"/>
          <w:highlight w:val="white"/>
        </w:rPr>
        <w:t>. According to him,</w:t>
      </w:r>
      <w:r w:rsidR="00A363AC">
        <w:rPr>
          <w:rFonts w:ascii="Times New Roman" w:eastAsia="Times New Roman" w:hAnsi="Times New Roman" w:cs="Times New Roman"/>
          <w:sz w:val="20"/>
          <w:szCs w:val="20"/>
        </w:rPr>
        <w:t xml:space="preserve"> a Native American musician had requested to play a flute in the Museum’s collection for an event. His argument was simple- the flute was alive if it was used. This was, however, countered by anthropologists and conservators who felt tha</w:t>
      </w:r>
      <w:r w:rsidR="00A363AC">
        <w:rPr>
          <w:rFonts w:ascii="Times New Roman" w:eastAsia="Times New Roman" w:hAnsi="Times New Roman" w:cs="Times New Roman"/>
          <w:sz w:val="20"/>
          <w:szCs w:val="20"/>
        </w:rPr>
        <w:t xml:space="preserve">t the act could damage the object (PC, </w:t>
      </w:r>
      <w:proofErr w:type="spellStart"/>
      <w:r w:rsidR="00A363AC">
        <w:rPr>
          <w:rFonts w:ascii="Times New Roman" w:eastAsia="Times New Roman" w:hAnsi="Times New Roman" w:cs="Times New Roman"/>
          <w:sz w:val="20"/>
          <w:szCs w:val="20"/>
        </w:rPr>
        <w:t>Amat</w:t>
      </w:r>
      <w:proofErr w:type="spellEnd"/>
      <w:r w:rsidR="00A363AC">
        <w:rPr>
          <w:rFonts w:ascii="Times New Roman" w:eastAsia="Times New Roman" w:hAnsi="Times New Roman" w:cs="Times New Roman"/>
          <w:sz w:val="20"/>
          <w:szCs w:val="20"/>
        </w:rPr>
        <w:t>, February 17, 2020). A conflict arose in this situation as two differing definitions of Object faced each other. The conservators saw the object as a defined, autonomous entity with walls that contain its entiret</w:t>
      </w:r>
      <w:r w:rsidR="00A363AC">
        <w:rPr>
          <w:rFonts w:ascii="Times New Roman" w:eastAsia="Times New Roman" w:hAnsi="Times New Roman" w:cs="Times New Roman"/>
          <w:sz w:val="20"/>
          <w:szCs w:val="20"/>
        </w:rPr>
        <w:t>y. A collapse of its autonomy for them would mean the destruction of its objecthood- even a symbolic act of breaking its walls could compromise its existence</w:t>
      </w:r>
      <w:hyperlink w:anchor="bookmark=id.3rdcrjn">
        <w:r w:rsidR="00A363AC">
          <w:rPr>
            <w:rFonts w:ascii="Times New Roman" w:eastAsia="Times New Roman" w:hAnsi="Times New Roman" w:cs="Times New Roman"/>
            <w:color w:val="0563C1"/>
            <w:sz w:val="20"/>
            <w:szCs w:val="20"/>
            <w:u w:val="single"/>
            <w:vertAlign w:val="superscript"/>
          </w:rPr>
          <w:t>12</w:t>
        </w:r>
      </w:hyperlink>
      <w:r w:rsidR="00A363AC">
        <w:rPr>
          <w:rFonts w:ascii="Times New Roman" w:eastAsia="Times New Roman" w:hAnsi="Times New Roman" w:cs="Times New Roman"/>
          <w:sz w:val="20"/>
          <w:szCs w:val="20"/>
        </w:rPr>
        <w:t xml:space="preserve">. This view, which is rooted in a colonial past, holds </w:t>
      </w:r>
      <w:r w:rsidR="00A363AC">
        <w:rPr>
          <w:rFonts w:ascii="Times New Roman" w:eastAsia="Times New Roman" w:hAnsi="Times New Roman" w:cs="Times New Roman"/>
          <w:sz w:val="20"/>
          <w:szCs w:val="20"/>
        </w:rPr>
        <w:t xml:space="preserve">that the essence of a culture is housed within the confines of an object, and to preserve the culture, the object must be protected (hence, as noted previously by Weaver, the rush to collect objects in the colonial era). For the Native performer, however, </w:t>
      </w:r>
      <w:r w:rsidR="00A363AC">
        <w:rPr>
          <w:rFonts w:ascii="Times New Roman" w:eastAsia="Times New Roman" w:hAnsi="Times New Roman" w:cs="Times New Roman"/>
          <w:sz w:val="20"/>
          <w:szCs w:val="20"/>
        </w:rPr>
        <w:t>culture exists in the interaction. The object comes “alive” when the presumed walls between itself and the actor are breached</w:t>
      </w:r>
      <w:hyperlink w:anchor="bookmark=id.26in1rg">
        <w:r w:rsidR="00A363AC">
          <w:rPr>
            <w:rFonts w:ascii="Times New Roman" w:eastAsia="Times New Roman" w:hAnsi="Times New Roman" w:cs="Times New Roman"/>
            <w:color w:val="0563C1"/>
            <w:sz w:val="20"/>
            <w:szCs w:val="20"/>
            <w:u w:val="single"/>
            <w:vertAlign w:val="superscript"/>
          </w:rPr>
          <w:t>13</w:t>
        </w:r>
      </w:hyperlink>
      <w:r w:rsidR="00A363AC">
        <w:rPr>
          <w:rFonts w:ascii="Times New Roman" w:eastAsia="Times New Roman" w:hAnsi="Times New Roman" w:cs="Times New Roman"/>
          <w:sz w:val="20"/>
          <w:szCs w:val="20"/>
        </w:rPr>
        <w:t>. The presence of such opposing opinions makes the development process a contentious on</w:t>
      </w:r>
      <w:r w:rsidR="00A363AC">
        <w:rPr>
          <w:rFonts w:ascii="Times New Roman" w:eastAsia="Times New Roman" w:hAnsi="Times New Roman" w:cs="Times New Roman"/>
          <w:sz w:val="20"/>
          <w:szCs w:val="20"/>
        </w:rPr>
        <w:t xml:space="preserve">e where different </w:t>
      </w:r>
      <w:proofErr w:type="gramStart"/>
      <w:r w:rsidR="00A363AC">
        <w:rPr>
          <w:rFonts w:ascii="Times New Roman" w:eastAsia="Times New Roman" w:hAnsi="Times New Roman" w:cs="Times New Roman"/>
          <w:sz w:val="20"/>
          <w:szCs w:val="20"/>
        </w:rPr>
        <w:t>parties</w:t>
      </w:r>
      <w:proofErr w:type="gramEnd"/>
      <w:r w:rsidR="00A363AC">
        <w:rPr>
          <w:rFonts w:ascii="Times New Roman" w:eastAsia="Times New Roman" w:hAnsi="Times New Roman" w:cs="Times New Roman"/>
          <w:sz w:val="20"/>
          <w:szCs w:val="20"/>
        </w:rPr>
        <w:t xml:space="preserve"> make claims to the same object. In the Wiley- Blackwell Encyclopedia of Social and Political Movements, contributor Lasse </w:t>
      </w:r>
      <w:proofErr w:type="spellStart"/>
      <w:r w:rsidR="00A363AC">
        <w:rPr>
          <w:rFonts w:ascii="Times New Roman" w:eastAsia="Times New Roman" w:hAnsi="Times New Roman" w:cs="Times New Roman"/>
          <w:sz w:val="20"/>
          <w:szCs w:val="20"/>
        </w:rPr>
        <w:t>Lindekilde</w:t>
      </w:r>
      <w:proofErr w:type="spellEnd"/>
      <w:r w:rsidR="00A363AC">
        <w:rPr>
          <w:rFonts w:ascii="Times New Roman" w:eastAsia="Times New Roman" w:hAnsi="Times New Roman" w:cs="Times New Roman"/>
          <w:sz w:val="20"/>
          <w:szCs w:val="20"/>
        </w:rPr>
        <w:t xml:space="preserve"> describes claims-making as follows: “Claims-making refers to the process of performing or articul</w:t>
      </w:r>
      <w:r w:rsidR="00A363AC">
        <w:rPr>
          <w:rFonts w:ascii="Times New Roman" w:eastAsia="Times New Roman" w:hAnsi="Times New Roman" w:cs="Times New Roman"/>
          <w:sz w:val="20"/>
          <w:szCs w:val="20"/>
        </w:rPr>
        <w:t>ating claims that bear on someone else’s interests. In its simplest form an instance of claims-making includes two actors- a subject (claimant) and an object (addressee) – and a verbal or physical action (demanding, protesting, criticizing, blaming, etc.)”</w:t>
      </w:r>
      <w:r w:rsidR="00A363AC">
        <w:rPr>
          <w:rFonts w:ascii="Times New Roman" w:eastAsia="Times New Roman" w:hAnsi="Times New Roman" w:cs="Times New Roman"/>
          <w:sz w:val="20"/>
          <w:szCs w:val="20"/>
        </w:rPr>
        <w:t xml:space="preserve"> ( </w:t>
      </w:r>
      <w:proofErr w:type="spellStart"/>
      <w:r w:rsidR="00A363AC">
        <w:rPr>
          <w:rFonts w:ascii="Times New Roman" w:eastAsia="Times New Roman" w:hAnsi="Times New Roman" w:cs="Times New Roman"/>
          <w:sz w:val="20"/>
          <w:szCs w:val="20"/>
        </w:rPr>
        <w:t>Lindekilde</w:t>
      </w:r>
      <w:proofErr w:type="spellEnd"/>
      <w:r w:rsidR="00A363AC">
        <w:rPr>
          <w:rFonts w:ascii="Times New Roman" w:eastAsia="Times New Roman" w:hAnsi="Times New Roman" w:cs="Times New Roman"/>
          <w:sz w:val="20"/>
          <w:szCs w:val="20"/>
        </w:rPr>
        <w:t xml:space="preserve"> 2013:1). This claims-making is at the heart of what Tilly and </w:t>
      </w:r>
      <w:proofErr w:type="spellStart"/>
      <w:r w:rsidR="00A363AC">
        <w:rPr>
          <w:rFonts w:ascii="Times New Roman" w:eastAsia="Times New Roman" w:hAnsi="Times New Roman" w:cs="Times New Roman"/>
          <w:sz w:val="20"/>
          <w:szCs w:val="20"/>
        </w:rPr>
        <w:t>Tarrow</w:t>
      </w:r>
      <w:proofErr w:type="spellEnd"/>
      <w:r w:rsidR="00A363AC">
        <w:rPr>
          <w:rFonts w:ascii="Times New Roman" w:eastAsia="Times New Roman" w:hAnsi="Times New Roman" w:cs="Times New Roman"/>
          <w:sz w:val="20"/>
          <w:szCs w:val="20"/>
        </w:rPr>
        <w:t xml:space="preserve"> describe as ‘contentious </w:t>
      </w:r>
      <w:proofErr w:type="gramStart"/>
      <w:r w:rsidR="00A363AC">
        <w:rPr>
          <w:rFonts w:ascii="Times New Roman" w:eastAsia="Times New Roman" w:hAnsi="Times New Roman" w:cs="Times New Roman"/>
          <w:sz w:val="20"/>
          <w:szCs w:val="20"/>
        </w:rPr>
        <w:t>politics’</w:t>
      </w:r>
      <w:proofErr w:type="gramEnd"/>
      <w:r w:rsidR="00A363AC">
        <w:rPr>
          <w:rFonts w:ascii="Times New Roman" w:eastAsia="Times New Roman" w:hAnsi="Times New Roman" w:cs="Times New Roman"/>
          <w:sz w:val="20"/>
          <w:szCs w:val="20"/>
        </w:rPr>
        <w:t>. They say, in Contentious Politics, that “[</w:t>
      </w:r>
      <w:proofErr w:type="spellStart"/>
      <w:r w:rsidR="00A363AC">
        <w:rPr>
          <w:rFonts w:ascii="Times New Roman" w:eastAsia="Times New Roman" w:hAnsi="Times New Roman" w:cs="Times New Roman"/>
          <w:sz w:val="20"/>
          <w:szCs w:val="20"/>
        </w:rPr>
        <w:t>i</w:t>
      </w:r>
      <w:proofErr w:type="spellEnd"/>
      <w:r w:rsidR="00A363AC">
        <w:rPr>
          <w:rFonts w:ascii="Times New Roman" w:eastAsia="Times New Roman" w:hAnsi="Times New Roman" w:cs="Times New Roman"/>
          <w:sz w:val="20"/>
          <w:szCs w:val="20"/>
        </w:rPr>
        <w:t xml:space="preserve">]n the simplest version of contention, one party makes a claim on </w:t>
      </w:r>
      <w:r w:rsidR="00A363AC">
        <w:rPr>
          <w:rFonts w:ascii="Times New Roman" w:eastAsia="Times New Roman" w:hAnsi="Times New Roman" w:cs="Times New Roman"/>
          <w:sz w:val="20"/>
          <w:szCs w:val="20"/>
        </w:rPr>
        <w:lastRenderedPageBreak/>
        <w:t>another. The parties are oft</w:t>
      </w:r>
      <w:r w:rsidR="00A363AC">
        <w:rPr>
          <w:rFonts w:ascii="Times New Roman" w:eastAsia="Times New Roman" w:hAnsi="Times New Roman" w:cs="Times New Roman"/>
          <w:sz w:val="20"/>
          <w:szCs w:val="20"/>
        </w:rPr>
        <w:t>en persons, but one or the other can also be a group or even an institution…In the elementary version, we can think of one party as a subject (the maker of a claim) and the other as an object (the receiver of a claim).” He further adds that “[c]</w:t>
      </w:r>
      <w:proofErr w:type="spellStart"/>
      <w:r w:rsidR="00A363AC">
        <w:rPr>
          <w:rFonts w:ascii="Times New Roman" w:eastAsia="Times New Roman" w:hAnsi="Times New Roman" w:cs="Times New Roman"/>
          <w:sz w:val="20"/>
          <w:szCs w:val="20"/>
        </w:rPr>
        <w:t>ontention</w:t>
      </w:r>
      <w:proofErr w:type="spellEnd"/>
      <w:r w:rsidR="00A363AC">
        <w:rPr>
          <w:rFonts w:ascii="Times New Roman" w:eastAsia="Times New Roman" w:hAnsi="Times New Roman" w:cs="Times New Roman"/>
          <w:sz w:val="20"/>
          <w:szCs w:val="20"/>
        </w:rPr>
        <w:t xml:space="preserve"> a</w:t>
      </w:r>
      <w:r w:rsidR="00A363AC">
        <w:rPr>
          <w:rFonts w:ascii="Times New Roman" w:eastAsia="Times New Roman" w:hAnsi="Times New Roman" w:cs="Times New Roman"/>
          <w:sz w:val="20"/>
          <w:szCs w:val="20"/>
        </w:rPr>
        <w:t xml:space="preserve">lways brings together subjects, objects, and claims” (Tilly &amp; </w:t>
      </w:r>
      <w:proofErr w:type="spellStart"/>
      <w:r w:rsidR="00A363AC">
        <w:rPr>
          <w:rFonts w:ascii="Times New Roman" w:eastAsia="Times New Roman" w:hAnsi="Times New Roman" w:cs="Times New Roman"/>
          <w:sz w:val="20"/>
          <w:szCs w:val="20"/>
        </w:rPr>
        <w:t>Tarrow</w:t>
      </w:r>
      <w:proofErr w:type="spellEnd"/>
      <w:r w:rsidR="00A363AC">
        <w:rPr>
          <w:rFonts w:ascii="Times New Roman" w:eastAsia="Times New Roman" w:hAnsi="Times New Roman" w:cs="Times New Roman"/>
          <w:sz w:val="20"/>
          <w:szCs w:val="20"/>
        </w:rPr>
        <w:t xml:space="preserve"> 2015:8). </w:t>
      </w:r>
    </w:p>
    <w:p w14:paraId="23F805D6" w14:textId="77777777" w:rsidR="00035E23" w:rsidRDefault="00035E23">
      <w:pPr>
        <w:rPr>
          <w:rFonts w:ascii="Times New Roman" w:eastAsia="Times New Roman" w:hAnsi="Times New Roman" w:cs="Times New Roman"/>
          <w:sz w:val="20"/>
          <w:szCs w:val="20"/>
        </w:rPr>
      </w:pPr>
    </w:p>
    <w:p w14:paraId="7D0499D0" w14:textId="77777777" w:rsidR="00035E23" w:rsidRDefault="00A363AC" w:rsidP="00BE53D1">
      <w:pPr>
        <w:ind w:firstLine="720"/>
        <w:jc w:val="both"/>
      </w:pPr>
      <w:r>
        <w:rPr>
          <w:rFonts w:ascii="Times New Roman" w:eastAsia="Times New Roman" w:hAnsi="Times New Roman" w:cs="Times New Roman"/>
          <w:sz w:val="20"/>
          <w:szCs w:val="20"/>
        </w:rPr>
        <w:t>If the inclusion of objects causes such strife, why does</w:t>
      </w:r>
      <w:r>
        <w:rPr>
          <w:rFonts w:ascii="Times New Roman" w:eastAsia="Times New Roman" w:hAnsi="Times New Roman" w:cs="Times New Roman"/>
          <w:sz w:val="20"/>
          <w:szCs w:val="20"/>
        </w:rPr>
        <w:t xml:space="preserve"> the museum choose to display them? What leads to the desire in the first place to even have objects in the show? If we follow </w:t>
      </w:r>
      <w:r>
        <w:rPr>
          <w:rFonts w:ascii="Times New Roman" w:eastAsia="Times New Roman" w:hAnsi="Times New Roman" w:cs="Times New Roman"/>
          <w:color w:val="000000"/>
          <w:sz w:val="20"/>
          <w:szCs w:val="20"/>
          <w:highlight w:val="white"/>
        </w:rPr>
        <w:t>Nelia Dias’</w:t>
      </w:r>
      <w:r>
        <w:rPr>
          <w:rFonts w:ascii="Times New Roman" w:eastAsia="Times New Roman" w:hAnsi="Times New Roman" w:cs="Times New Roman"/>
          <w:sz w:val="20"/>
          <w:szCs w:val="20"/>
        </w:rPr>
        <w:t xml:space="preserve"> view, this desire can seem to emerge from the object’s capacity to speak the “truth”.</w:t>
      </w:r>
      <w:r>
        <w:rPr>
          <w:rFonts w:ascii="Times New Roman" w:eastAsia="Times New Roman" w:hAnsi="Times New Roman" w:cs="Times New Roman"/>
          <w:color w:val="000000"/>
          <w:sz w:val="20"/>
          <w:szCs w:val="20"/>
          <w:highlight w:val="white"/>
        </w:rPr>
        <w:t xml:space="preserve"> In the chapter titled The Visib</w:t>
      </w:r>
      <w:r>
        <w:rPr>
          <w:rFonts w:ascii="Times New Roman" w:eastAsia="Times New Roman" w:hAnsi="Times New Roman" w:cs="Times New Roman"/>
          <w:color w:val="000000"/>
          <w:sz w:val="20"/>
          <w:szCs w:val="20"/>
          <w:highlight w:val="white"/>
        </w:rPr>
        <w:t>ility of Differences, from Macdonald’s Politics of Display, Dias, the author, expresses how “truth” historically became associated with museum displays and anthropology. She discusses the obsession of nineteenth-century French Anthropologists with facts, a</w:t>
      </w:r>
      <w:r>
        <w:rPr>
          <w:rFonts w:ascii="Times New Roman" w:eastAsia="Times New Roman" w:hAnsi="Times New Roman" w:cs="Times New Roman"/>
          <w:color w:val="000000"/>
          <w:sz w:val="20"/>
          <w:szCs w:val="20"/>
          <w:highlight w:val="white"/>
        </w:rPr>
        <w:t xml:space="preserve">nd distinguishing </w:t>
      </w:r>
      <w:r>
        <w:rPr>
          <w:rFonts w:ascii="Times New Roman" w:eastAsia="Times New Roman" w:hAnsi="Times New Roman" w:cs="Times New Roman"/>
          <w:sz w:val="20"/>
          <w:szCs w:val="20"/>
          <w:highlight w:val="white"/>
        </w:rPr>
        <w:t>facts</w:t>
      </w:r>
      <w:r>
        <w:rPr>
          <w:rFonts w:ascii="Times New Roman" w:eastAsia="Times New Roman" w:hAnsi="Times New Roman" w:cs="Times New Roman"/>
          <w:color w:val="000000"/>
          <w:sz w:val="20"/>
          <w:szCs w:val="20"/>
          <w:highlight w:val="white"/>
        </w:rPr>
        <w:t xml:space="preserve"> from interpretations (objective from the subjective). She says that these anthropologists repeatedly expressed their distrust of theory. The author quotes Paul </w:t>
      </w:r>
      <w:proofErr w:type="spellStart"/>
      <w:r>
        <w:rPr>
          <w:rFonts w:ascii="Times New Roman" w:eastAsia="Times New Roman" w:hAnsi="Times New Roman" w:cs="Times New Roman"/>
          <w:color w:val="000000"/>
          <w:sz w:val="20"/>
          <w:szCs w:val="20"/>
          <w:highlight w:val="white"/>
        </w:rPr>
        <w:t>Toninard</w:t>
      </w:r>
      <w:proofErr w:type="spellEnd"/>
      <w:r>
        <w:rPr>
          <w:rFonts w:ascii="Times New Roman" w:eastAsia="Times New Roman" w:hAnsi="Times New Roman" w:cs="Times New Roman"/>
          <w:color w:val="000000"/>
          <w:sz w:val="20"/>
          <w:szCs w:val="20"/>
          <w:highlight w:val="white"/>
        </w:rPr>
        <w:t xml:space="preserve"> (an anthropologist from the 1800s) commenting on his master Bro</w:t>
      </w:r>
      <w:r>
        <w:rPr>
          <w:rFonts w:ascii="Times New Roman" w:eastAsia="Times New Roman" w:hAnsi="Times New Roman" w:cs="Times New Roman"/>
          <w:color w:val="000000"/>
          <w:sz w:val="20"/>
          <w:szCs w:val="20"/>
          <w:highlight w:val="white"/>
        </w:rPr>
        <w:t xml:space="preserve">ca: “Repudiating all theory, relying completely on work, he patiently amassed numbers, let them speak for themselves and made craniometry a mathematical science.” According to Dias, if facts were regarded as objective, they must not be contested. The main </w:t>
      </w:r>
      <w:r>
        <w:rPr>
          <w:rFonts w:ascii="Times New Roman" w:eastAsia="Times New Roman" w:hAnsi="Times New Roman" w:cs="Times New Roman"/>
          <w:color w:val="000000"/>
          <w:sz w:val="20"/>
          <w:szCs w:val="20"/>
          <w:highlight w:val="white"/>
        </w:rPr>
        <w:t>points of disagreement, she says, were on interpretations of facts and not facts themselves. “‘Interpretation’ was regarded as separate from facts themselves, which were regarded as not properly disputable.” The author further adds:</w:t>
      </w:r>
    </w:p>
    <w:p w14:paraId="348DADCF" w14:textId="77777777" w:rsidR="00035E23" w:rsidRDefault="00035E23" w:rsidP="00BE53D1">
      <w:pPr>
        <w:jc w:val="both"/>
        <w:rPr>
          <w:rFonts w:ascii="Times New Roman" w:eastAsia="Times New Roman" w:hAnsi="Times New Roman" w:cs="Times New Roman"/>
          <w:color w:val="000000"/>
          <w:sz w:val="20"/>
          <w:szCs w:val="20"/>
          <w:highlight w:val="white"/>
        </w:rPr>
      </w:pPr>
    </w:p>
    <w:p w14:paraId="3A51B1BF" w14:textId="77777777" w:rsidR="00035E23" w:rsidRDefault="00A363AC" w:rsidP="00BE53D1">
      <w:pPr>
        <w:ind w:left="720" w:right="720"/>
        <w:jc w:val="both"/>
      </w:pPr>
      <w:r>
        <w:rPr>
          <w:rFonts w:ascii="Times New Roman" w:eastAsia="Times New Roman" w:hAnsi="Times New Roman" w:cs="Times New Roman"/>
          <w:color w:val="000000"/>
          <w:sz w:val="20"/>
          <w:szCs w:val="20"/>
          <w:highlight w:val="white"/>
        </w:rPr>
        <w:t>As anthropological facts were seen as ‘objective realities’, the way was open for their display and exhibition. Exposing facts to the scrutiny of a community of scholars, and to the general public, provided anthropologists with a means of demonstrating the</w:t>
      </w:r>
      <w:r>
        <w:rPr>
          <w:rFonts w:ascii="Times New Roman" w:eastAsia="Times New Roman" w:hAnsi="Times New Roman" w:cs="Times New Roman"/>
          <w:color w:val="000000"/>
          <w:sz w:val="20"/>
          <w:szCs w:val="20"/>
          <w:highlight w:val="white"/>
        </w:rPr>
        <w:t xml:space="preserve"> objective status of their knowledge and moreover, doing so in a public arena in which it could be seen to be openly available for inspection and verification…Displayed artifacts were thus subject to witnessing, and this endowed them with ‘truth’ and the c</w:t>
      </w:r>
      <w:r>
        <w:rPr>
          <w:rFonts w:ascii="Times New Roman" w:eastAsia="Times New Roman" w:hAnsi="Times New Roman" w:cs="Times New Roman"/>
          <w:color w:val="000000"/>
          <w:sz w:val="20"/>
          <w:szCs w:val="20"/>
          <w:highlight w:val="white"/>
        </w:rPr>
        <w:t>apacity to serve as instruments of knowledge (Dias 1998:34-35).</w:t>
      </w:r>
      <w:r>
        <w:rPr>
          <w:rFonts w:ascii="Times New Roman" w:eastAsia="Times New Roman" w:hAnsi="Times New Roman" w:cs="Times New Roman"/>
          <w:sz w:val="20"/>
          <w:szCs w:val="20"/>
        </w:rPr>
        <w:t xml:space="preserve"> </w:t>
      </w:r>
    </w:p>
    <w:p w14:paraId="6B1CB42A" w14:textId="77777777" w:rsidR="00035E23" w:rsidRDefault="00035E23" w:rsidP="00BE53D1">
      <w:pPr>
        <w:jc w:val="both"/>
        <w:rPr>
          <w:rFonts w:ascii="Times New Roman" w:eastAsia="Times New Roman" w:hAnsi="Times New Roman" w:cs="Times New Roman"/>
          <w:sz w:val="20"/>
          <w:szCs w:val="20"/>
        </w:rPr>
      </w:pPr>
    </w:p>
    <w:p w14:paraId="4738AFE9" w14:textId="77777777" w:rsidR="00035E23" w:rsidRDefault="00A363AC" w:rsidP="00BE53D1">
      <w:pPr>
        <w:ind w:firstLine="720"/>
        <w:jc w:val="both"/>
      </w:pPr>
      <w:r>
        <w:rPr>
          <w:rFonts w:ascii="Times New Roman" w:eastAsia="Times New Roman" w:hAnsi="Times New Roman" w:cs="Times New Roman"/>
          <w:sz w:val="20"/>
          <w:szCs w:val="20"/>
        </w:rPr>
        <w:t xml:space="preserve">Additionally, Macdonald, in her introduction, recognizes that museums were a “means of casting newly realized nations, and cultural, racial and class differences as facts”. Per her, they were effective in doing so as “they not only provided a picture, but </w:t>
      </w:r>
      <w:r>
        <w:rPr>
          <w:rFonts w:ascii="Times New Roman" w:eastAsia="Times New Roman" w:hAnsi="Times New Roman" w:cs="Times New Roman"/>
          <w:sz w:val="20"/>
          <w:szCs w:val="20"/>
        </w:rPr>
        <w:t>also objects and other tangible evidence” (Macdonald 1998:9-11). Thus, in an exhibition space, objects become indispensable as they prove the museum’s statements as valid. Even the “truths” become truer as they have “evidence” to back them in the form of o</w:t>
      </w:r>
      <w:r>
        <w:rPr>
          <w:rFonts w:ascii="Times New Roman" w:eastAsia="Times New Roman" w:hAnsi="Times New Roman" w:cs="Times New Roman"/>
          <w:sz w:val="20"/>
          <w:szCs w:val="20"/>
        </w:rPr>
        <w:t xml:space="preserve">bjects. </w:t>
      </w:r>
    </w:p>
    <w:p w14:paraId="64C152D6" w14:textId="77777777" w:rsidR="00035E23" w:rsidRDefault="00035E23" w:rsidP="00BE53D1">
      <w:pPr>
        <w:jc w:val="both"/>
        <w:rPr>
          <w:rFonts w:ascii="Times New Roman" w:eastAsia="Times New Roman" w:hAnsi="Times New Roman" w:cs="Times New Roman"/>
          <w:sz w:val="20"/>
          <w:szCs w:val="20"/>
        </w:rPr>
      </w:pPr>
    </w:p>
    <w:p w14:paraId="6793C9BC" w14:textId="77777777" w:rsidR="00035E23" w:rsidRDefault="00A363AC" w:rsidP="00BE53D1">
      <w:pPr>
        <w:ind w:firstLine="720"/>
        <w:jc w:val="both"/>
      </w:pPr>
      <w:r>
        <w:rPr>
          <w:rFonts w:ascii="Times New Roman" w:eastAsia="Times New Roman" w:hAnsi="Times New Roman" w:cs="Times New Roman"/>
          <w:sz w:val="20"/>
          <w:szCs w:val="20"/>
        </w:rPr>
        <w:t>However, isn’t the exhibition in our discussion a context-based one? Weren’t the objects less important? It seems to me that this exhibition, once realized, would reinforce the centrality of objects to the museum-going experience. While trying to</w:t>
      </w:r>
      <w:r>
        <w:rPr>
          <w:rFonts w:ascii="Times New Roman" w:eastAsia="Times New Roman" w:hAnsi="Times New Roman" w:cs="Times New Roman"/>
          <w:sz w:val="20"/>
          <w:szCs w:val="20"/>
        </w:rPr>
        <w:t xml:space="preserve"> provide a formal, simple, definition of context, Goodwin and </w:t>
      </w:r>
      <w:proofErr w:type="spellStart"/>
      <w:r>
        <w:rPr>
          <w:rFonts w:ascii="Times New Roman" w:eastAsia="Times New Roman" w:hAnsi="Times New Roman" w:cs="Times New Roman"/>
          <w:sz w:val="20"/>
          <w:szCs w:val="20"/>
        </w:rPr>
        <w:t>Duranti</w:t>
      </w:r>
      <w:proofErr w:type="spellEnd"/>
      <w:r>
        <w:rPr>
          <w:rFonts w:ascii="Times New Roman" w:eastAsia="Times New Roman" w:hAnsi="Times New Roman" w:cs="Times New Roman"/>
          <w:sz w:val="20"/>
          <w:szCs w:val="20"/>
        </w:rPr>
        <w:t xml:space="preserve"> make the following statement: “The context is...a frame (Goffman 1947) that surrounds the event being examined and provides resources for its appropriate interpretation.” They further ad</w:t>
      </w:r>
      <w:r>
        <w:rPr>
          <w:rFonts w:ascii="Times New Roman" w:eastAsia="Times New Roman" w:hAnsi="Times New Roman" w:cs="Times New Roman"/>
          <w:sz w:val="20"/>
          <w:szCs w:val="20"/>
        </w:rPr>
        <w:t xml:space="preserve">d that the notion of context “involves a fundamental juxtaposition of two entities: (1) a focal event; and (2) a field of action within which that event is embedded.” The author describes a focal event as the phenomenon that is contextualized (Goodwin &amp; </w:t>
      </w:r>
      <w:proofErr w:type="spellStart"/>
      <w:r>
        <w:rPr>
          <w:rFonts w:ascii="Times New Roman" w:eastAsia="Times New Roman" w:hAnsi="Times New Roman" w:cs="Times New Roman"/>
          <w:sz w:val="20"/>
          <w:szCs w:val="20"/>
        </w:rPr>
        <w:t>Du</w:t>
      </w:r>
      <w:r>
        <w:rPr>
          <w:rFonts w:ascii="Times New Roman" w:eastAsia="Times New Roman" w:hAnsi="Times New Roman" w:cs="Times New Roman"/>
          <w:sz w:val="20"/>
          <w:szCs w:val="20"/>
        </w:rPr>
        <w:t>ranti</w:t>
      </w:r>
      <w:proofErr w:type="spellEnd"/>
      <w:r>
        <w:rPr>
          <w:rFonts w:ascii="Times New Roman" w:eastAsia="Times New Roman" w:hAnsi="Times New Roman" w:cs="Times New Roman"/>
          <w:sz w:val="20"/>
          <w:szCs w:val="20"/>
        </w:rPr>
        <w:t xml:space="preserve"> 1992:3). As we can see, such definitions reinforce the binary of object/ context, and place the object once again at the center. </w:t>
      </w:r>
    </w:p>
    <w:p w14:paraId="2BAF2403" w14:textId="77777777" w:rsidR="00035E23" w:rsidRDefault="00035E23">
      <w:pPr>
        <w:rPr>
          <w:rFonts w:ascii="Times New Roman" w:eastAsia="Times New Roman" w:hAnsi="Times New Roman" w:cs="Times New Roman"/>
          <w:i/>
          <w:sz w:val="20"/>
          <w:szCs w:val="20"/>
        </w:rPr>
      </w:pPr>
    </w:p>
    <w:p w14:paraId="79056473" w14:textId="77777777" w:rsidR="00035E23" w:rsidRDefault="00A363AC">
      <w:pPr>
        <w:rPr>
          <w:rFonts w:ascii="Times New Roman" w:eastAsia="Times New Roman" w:hAnsi="Times New Roman" w:cs="Times New Roman"/>
          <w:b/>
        </w:rPr>
      </w:pPr>
      <w:r>
        <w:rPr>
          <w:rFonts w:ascii="Times New Roman" w:eastAsia="Times New Roman" w:hAnsi="Times New Roman" w:cs="Times New Roman"/>
          <w:b/>
        </w:rPr>
        <w:t>Concluding thoughts</w:t>
      </w:r>
    </w:p>
    <w:p w14:paraId="5EEB760E" w14:textId="77777777" w:rsidR="00035E23" w:rsidRDefault="00035E23">
      <w:pPr>
        <w:rPr>
          <w:rFonts w:ascii="Times New Roman" w:eastAsia="Times New Roman" w:hAnsi="Times New Roman" w:cs="Times New Roman"/>
          <w:b/>
        </w:rPr>
      </w:pPr>
    </w:p>
    <w:p w14:paraId="0A1CCEAE" w14:textId="77777777" w:rsidR="00035E23" w:rsidRDefault="00A363AC" w:rsidP="00BE53D1">
      <w:pPr>
        <w:ind w:firstLine="720"/>
        <w:jc w:val="both"/>
      </w:pPr>
      <w:r>
        <w:rPr>
          <w:rFonts w:ascii="Times New Roman" w:eastAsia="Times New Roman" w:hAnsi="Times New Roman" w:cs="Times New Roman"/>
          <w:color w:val="000000"/>
          <w:sz w:val="20"/>
          <w:szCs w:val="20"/>
          <w:highlight w:val="white"/>
        </w:rPr>
        <w:t>From the above discussion, we can note that the decisions made by museums like the Field to change</w:t>
      </w:r>
      <w:r>
        <w:rPr>
          <w:rFonts w:ascii="Times New Roman" w:eastAsia="Times New Roman" w:hAnsi="Times New Roman" w:cs="Times New Roman"/>
          <w:color w:val="000000"/>
          <w:sz w:val="20"/>
          <w:szCs w:val="20"/>
          <w:highlight w:val="white"/>
        </w:rPr>
        <w:t xml:space="preserve"> their existing exhibitions and to develop new shows are historically contingent and respond to the larger socio-political climate of decolonization. In the case of the Native American Hall, by shifting from an object-centered exhibition, which prioritizes</w:t>
      </w:r>
      <w:r>
        <w:rPr>
          <w:rFonts w:ascii="Times New Roman" w:eastAsia="Times New Roman" w:hAnsi="Times New Roman" w:cs="Times New Roman"/>
          <w:color w:val="000000"/>
          <w:sz w:val="20"/>
          <w:szCs w:val="20"/>
          <w:highlight w:val="white"/>
        </w:rPr>
        <w:t xml:space="preserve"> the autonomy of individual objects, to a context-based one, a new category of Object emerges, that is, Object: TBD (to be decided), a placeholder in the exhibition plan for objects that have not been decided/ materialized. By focusing on the conditions th</w:t>
      </w:r>
      <w:r>
        <w:rPr>
          <w:rFonts w:ascii="Times New Roman" w:eastAsia="Times New Roman" w:hAnsi="Times New Roman" w:cs="Times New Roman"/>
          <w:color w:val="000000"/>
          <w:sz w:val="20"/>
          <w:szCs w:val="20"/>
          <w:highlight w:val="white"/>
        </w:rPr>
        <w:t>at were considered for the items that need to be included in the show, we can deduce five attributes of this placeholder category: it is conceptual, replaceable, interactive, present in the future, and political. The conceptual nature of the category, lend</w:t>
      </w:r>
      <w:r>
        <w:rPr>
          <w:rFonts w:ascii="Times New Roman" w:eastAsia="Times New Roman" w:hAnsi="Times New Roman" w:cs="Times New Roman"/>
          <w:color w:val="000000"/>
          <w:sz w:val="20"/>
          <w:szCs w:val="20"/>
          <w:highlight w:val="white"/>
        </w:rPr>
        <w:t xml:space="preserve">ing to its interaction with text in the show, means that it operates primarily as an idea </w:t>
      </w:r>
      <w:r>
        <w:rPr>
          <w:rFonts w:ascii="Times New Roman" w:eastAsia="Times New Roman" w:hAnsi="Times New Roman" w:cs="Times New Roman"/>
          <w:color w:val="000000"/>
          <w:sz w:val="20"/>
          <w:szCs w:val="20"/>
        </w:rPr>
        <w:t>(Cray 2014:235-245)</w:t>
      </w:r>
      <w:r>
        <w:rPr>
          <w:rFonts w:ascii="Times New Roman" w:eastAsia="Times New Roman" w:hAnsi="Times New Roman" w:cs="Times New Roman"/>
          <w:color w:val="000000"/>
          <w:sz w:val="20"/>
          <w:szCs w:val="20"/>
          <w:highlight w:val="white"/>
        </w:rPr>
        <w:t xml:space="preserve">. The specific object’s individual existence doesn’t matter as much in the show as each can be replaced by any other that exemplifies the intended </w:t>
      </w:r>
      <w:r>
        <w:rPr>
          <w:rFonts w:ascii="Times New Roman" w:eastAsia="Times New Roman" w:hAnsi="Times New Roman" w:cs="Times New Roman"/>
          <w:color w:val="000000"/>
          <w:sz w:val="20"/>
          <w:szCs w:val="20"/>
          <w:highlight w:val="white"/>
        </w:rPr>
        <w:t xml:space="preserve">idea. The proposition that the Native American Hall will have rotational displays also indicates that Object: TBD is replaceable </w:t>
      </w:r>
      <w:r>
        <w:rPr>
          <w:rFonts w:ascii="Times New Roman" w:eastAsia="Times New Roman" w:hAnsi="Times New Roman" w:cs="Times New Roman"/>
          <w:sz w:val="20"/>
          <w:szCs w:val="20"/>
        </w:rPr>
        <w:t>(n.d. Field Museum)</w:t>
      </w:r>
      <w:r>
        <w:rPr>
          <w:rFonts w:ascii="Times New Roman" w:eastAsia="Times New Roman" w:hAnsi="Times New Roman" w:cs="Times New Roman"/>
          <w:color w:val="000000"/>
          <w:sz w:val="20"/>
          <w:szCs w:val="20"/>
          <w:highlight w:val="white"/>
        </w:rPr>
        <w:t xml:space="preserve">. Additionally, the existence of the specific object in a show with other objects also makes it interactive </w:t>
      </w:r>
      <w:r>
        <w:rPr>
          <w:rFonts w:ascii="Times New Roman" w:eastAsia="Times New Roman" w:hAnsi="Times New Roman" w:cs="Times New Roman"/>
          <w:color w:val="000000"/>
          <w:sz w:val="20"/>
          <w:szCs w:val="20"/>
          <w:highlight w:val="white"/>
        </w:rPr>
        <w:t xml:space="preserve">as it responds to their meanings and to the meanings the viewers bring to the space. Even the placeholder Object: TBD in the </w:t>
      </w:r>
      <w:r>
        <w:rPr>
          <w:rFonts w:ascii="Times New Roman" w:eastAsia="Times New Roman" w:hAnsi="Times New Roman" w:cs="Times New Roman"/>
          <w:color w:val="000000"/>
          <w:sz w:val="20"/>
          <w:szCs w:val="20"/>
          <w:highlight w:val="white"/>
        </w:rPr>
        <w:lastRenderedPageBreak/>
        <w:t>exhibition plan is interactive as its realization is based on the meanings that objects/ texts around it offer to it. This interact</w:t>
      </w:r>
      <w:r>
        <w:rPr>
          <w:rFonts w:ascii="Times New Roman" w:eastAsia="Times New Roman" w:hAnsi="Times New Roman" w:cs="Times New Roman"/>
          <w:color w:val="000000"/>
          <w:sz w:val="20"/>
          <w:szCs w:val="20"/>
          <w:highlight w:val="white"/>
        </w:rPr>
        <w:t xml:space="preserve">ivity is also embodied in the characteristics required of the specific objects, some of which will be actual interactable </w:t>
      </w:r>
      <w:r>
        <w:rPr>
          <w:rFonts w:ascii="Times New Roman" w:eastAsia="Times New Roman" w:hAnsi="Times New Roman" w:cs="Times New Roman"/>
          <w:sz w:val="20"/>
          <w:szCs w:val="20"/>
          <w:highlight w:val="white"/>
        </w:rPr>
        <w:t>displays</w:t>
      </w:r>
      <w:r>
        <w:rPr>
          <w:rFonts w:ascii="Times New Roman" w:eastAsia="Times New Roman" w:hAnsi="Times New Roman" w:cs="Times New Roman"/>
          <w:color w:val="000000"/>
          <w:sz w:val="20"/>
          <w:szCs w:val="20"/>
          <w:highlight w:val="white"/>
        </w:rPr>
        <w:t xml:space="preserve"> like video games. While the specific objects involve experiences that unfold in the present time, the placeholder category, O</w:t>
      </w:r>
      <w:r>
        <w:rPr>
          <w:rFonts w:ascii="Times New Roman" w:eastAsia="Times New Roman" w:hAnsi="Times New Roman" w:cs="Times New Roman"/>
          <w:color w:val="000000"/>
          <w:sz w:val="20"/>
          <w:szCs w:val="20"/>
          <w:highlight w:val="white"/>
        </w:rPr>
        <w:t xml:space="preserve">bject: TBD, resides in the future. Since it hasn’t been actualized, and because its realization is based on anticipations, it embodies a yet to be realized future </w:t>
      </w:r>
      <w:r>
        <w:rPr>
          <w:rFonts w:ascii="Times New Roman" w:eastAsia="Times New Roman" w:hAnsi="Times New Roman" w:cs="Times New Roman"/>
          <w:sz w:val="20"/>
          <w:szCs w:val="20"/>
        </w:rPr>
        <w:t>(Born 2015:368)</w:t>
      </w:r>
      <w:r>
        <w:rPr>
          <w:rFonts w:ascii="Times New Roman" w:eastAsia="Times New Roman" w:hAnsi="Times New Roman" w:cs="Times New Roman"/>
          <w:color w:val="000000"/>
          <w:sz w:val="20"/>
          <w:szCs w:val="20"/>
          <w:highlight w:val="white"/>
        </w:rPr>
        <w:t xml:space="preserve">. The presence of multiple claims in the present, which decide how it will be </w:t>
      </w:r>
      <w:r>
        <w:rPr>
          <w:rFonts w:ascii="Times New Roman" w:eastAsia="Times New Roman" w:hAnsi="Times New Roman" w:cs="Times New Roman"/>
          <w:color w:val="000000"/>
          <w:sz w:val="20"/>
          <w:szCs w:val="20"/>
          <w:highlight w:val="white"/>
        </w:rPr>
        <w:t xml:space="preserve">materialized in the future, also makes Object: TBD contentious and political </w:t>
      </w:r>
      <w:r>
        <w:rPr>
          <w:rFonts w:ascii="Times New Roman" w:eastAsia="Times New Roman" w:hAnsi="Times New Roman" w:cs="Times New Roman"/>
          <w:sz w:val="20"/>
          <w:szCs w:val="20"/>
        </w:rPr>
        <w:t xml:space="preserve">(Tilly &amp; </w:t>
      </w:r>
      <w:proofErr w:type="spellStart"/>
      <w:r>
        <w:rPr>
          <w:rFonts w:ascii="Times New Roman" w:eastAsia="Times New Roman" w:hAnsi="Times New Roman" w:cs="Times New Roman"/>
          <w:sz w:val="20"/>
          <w:szCs w:val="20"/>
        </w:rPr>
        <w:t>Tarrow</w:t>
      </w:r>
      <w:proofErr w:type="spellEnd"/>
      <w:r>
        <w:rPr>
          <w:rFonts w:ascii="Times New Roman" w:eastAsia="Times New Roman" w:hAnsi="Times New Roman" w:cs="Times New Roman"/>
          <w:sz w:val="20"/>
          <w:szCs w:val="20"/>
        </w:rPr>
        <w:t xml:space="preserve"> 2015:8)</w:t>
      </w:r>
      <w:r>
        <w:rPr>
          <w:rFonts w:ascii="Times New Roman" w:eastAsia="Times New Roman" w:hAnsi="Times New Roman" w:cs="Times New Roman"/>
          <w:color w:val="000000"/>
          <w:sz w:val="20"/>
          <w:szCs w:val="20"/>
          <w:highlight w:val="white"/>
        </w:rPr>
        <w:t xml:space="preserve">. </w:t>
      </w:r>
    </w:p>
    <w:p w14:paraId="0E31A9A7" w14:textId="77777777" w:rsidR="00035E23" w:rsidRDefault="00035E23" w:rsidP="00BE53D1">
      <w:pPr>
        <w:pBdr>
          <w:top w:val="nil"/>
          <w:left w:val="nil"/>
          <w:bottom w:val="nil"/>
          <w:right w:val="nil"/>
          <w:between w:val="nil"/>
        </w:pBdr>
        <w:ind w:left="720"/>
        <w:jc w:val="both"/>
        <w:rPr>
          <w:rFonts w:ascii="Times New Roman" w:eastAsia="Times New Roman" w:hAnsi="Times New Roman" w:cs="Times New Roman"/>
          <w:color w:val="000000"/>
          <w:sz w:val="20"/>
          <w:szCs w:val="20"/>
          <w:highlight w:val="white"/>
        </w:rPr>
      </w:pPr>
    </w:p>
    <w:p w14:paraId="0D195AB5" w14:textId="688A65EA" w:rsidR="00035E23" w:rsidRPr="00A363AC" w:rsidRDefault="00A363AC" w:rsidP="00A363AC">
      <w:pPr>
        <w:ind w:firstLine="720"/>
        <w:jc w:val="both"/>
      </w:pPr>
      <w:r>
        <w:rPr>
          <w:rFonts w:ascii="Times New Roman" w:eastAsia="Times New Roman" w:hAnsi="Times New Roman" w:cs="Times New Roman"/>
          <w:color w:val="000000"/>
          <w:sz w:val="20"/>
          <w:szCs w:val="20"/>
          <w:highlight w:val="white"/>
        </w:rPr>
        <w:t>This placeholder Object category and its attributes emerge in the condition of collaboration that the museum has set up to actualize its desires for a r</w:t>
      </w:r>
      <w:r>
        <w:rPr>
          <w:rFonts w:ascii="Times New Roman" w:eastAsia="Times New Roman" w:hAnsi="Times New Roman" w:cs="Times New Roman"/>
          <w:color w:val="000000"/>
          <w:sz w:val="20"/>
          <w:szCs w:val="20"/>
          <w:highlight w:val="white"/>
        </w:rPr>
        <w:t xml:space="preserve">edesigned Native American Hall. The ‘truths’ about Native communities, around which the show is being organized, are also a result of this collaborative effort </w:t>
      </w:r>
      <w:r>
        <w:rPr>
          <w:rFonts w:ascii="Times New Roman" w:eastAsia="Times New Roman" w:hAnsi="Times New Roman" w:cs="Times New Roman"/>
          <w:sz w:val="20"/>
          <w:szCs w:val="20"/>
        </w:rPr>
        <w:t xml:space="preserve">(PC, </w:t>
      </w:r>
      <w:proofErr w:type="spellStart"/>
      <w:r>
        <w:rPr>
          <w:rFonts w:ascii="Times New Roman" w:eastAsia="Times New Roman" w:hAnsi="Times New Roman" w:cs="Times New Roman"/>
          <w:sz w:val="20"/>
          <w:szCs w:val="20"/>
        </w:rPr>
        <w:t>Amat</w:t>
      </w:r>
      <w:proofErr w:type="spellEnd"/>
      <w:r>
        <w:rPr>
          <w:rFonts w:ascii="Times New Roman" w:eastAsia="Times New Roman" w:hAnsi="Times New Roman" w:cs="Times New Roman"/>
          <w:sz w:val="20"/>
          <w:szCs w:val="20"/>
        </w:rPr>
        <w:t>, February 17, 2020)</w:t>
      </w:r>
      <w:r>
        <w:rPr>
          <w:rFonts w:ascii="Times New Roman" w:eastAsia="Times New Roman" w:hAnsi="Times New Roman" w:cs="Times New Roman"/>
          <w:color w:val="000000"/>
          <w:sz w:val="20"/>
          <w:szCs w:val="20"/>
          <w:highlight w:val="white"/>
        </w:rPr>
        <w:t xml:space="preserve">. However, </w:t>
      </w:r>
      <w:r>
        <w:rPr>
          <w:rFonts w:ascii="Times New Roman" w:eastAsia="Times New Roman" w:hAnsi="Times New Roman" w:cs="Times New Roman"/>
          <w:sz w:val="20"/>
          <w:szCs w:val="20"/>
        </w:rPr>
        <w:t>it is yet to be seen how effective this endeavor will re</w:t>
      </w:r>
      <w:r>
        <w:rPr>
          <w:rFonts w:ascii="Times New Roman" w:eastAsia="Times New Roman" w:hAnsi="Times New Roman" w:cs="Times New Roman"/>
          <w:sz w:val="20"/>
          <w:szCs w:val="20"/>
        </w:rPr>
        <w:t>ally be. To what extent will the opportunity to choose the objects in the exhibition contribute to the outcome? More importantly, is an exhibition sufficient in undoing the wrongs unleashed by museums upon Native American communities for centuries? Or is i</w:t>
      </w:r>
      <w:r>
        <w:rPr>
          <w:rFonts w:ascii="Times New Roman" w:eastAsia="Times New Roman" w:hAnsi="Times New Roman" w:cs="Times New Roman"/>
          <w:sz w:val="20"/>
          <w:szCs w:val="20"/>
        </w:rPr>
        <w:t>t just an easier way to avoid actions around more pressing issues like repatriation and making material amends? The answers to these questions will be answered when the Native American Hall reopens.</w:t>
      </w:r>
    </w:p>
    <w:p w14:paraId="20B979EB" w14:textId="77777777" w:rsidR="00035E23" w:rsidRDefault="00035E23">
      <w:pPr>
        <w:pBdr>
          <w:bottom w:val="single" w:sz="12" w:space="1" w:color="000000"/>
        </w:pBdr>
        <w:rPr>
          <w:rFonts w:ascii="Times New Roman" w:eastAsia="Times New Roman" w:hAnsi="Times New Roman" w:cs="Times New Roman"/>
          <w:sz w:val="20"/>
          <w:szCs w:val="20"/>
        </w:rPr>
      </w:pPr>
    </w:p>
    <w:p w14:paraId="0686EDA3" w14:textId="2074AB5C" w:rsidR="00035E23" w:rsidRDefault="00035E23">
      <w:pPr>
        <w:rPr>
          <w:rFonts w:ascii="Times New Roman" w:eastAsia="Times New Roman" w:hAnsi="Times New Roman" w:cs="Times New Roman"/>
          <w:color w:val="000000"/>
          <w:sz w:val="20"/>
          <w:szCs w:val="20"/>
        </w:rPr>
      </w:pPr>
      <w:bookmarkStart w:id="0" w:name="bookmark=id.gjdgxs" w:colFirst="0" w:colLast="0"/>
      <w:bookmarkEnd w:id="0"/>
    </w:p>
    <w:p w14:paraId="36DEAABC" w14:textId="28677BEA" w:rsidR="00A363AC" w:rsidRPr="00A363AC" w:rsidRDefault="00A363AC" w:rsidP="00A363AC">
      <w:pPr>
        <w:jc w:val="center"/>
        <w:rPr>
          <w:rFonts w:ascii="Times New Roman" w:eastAsia="Times New Roman" w:hAnsi="Times New Roman" w:cs="Times New Roman"/>
          <w:b/>
          <w:bCs/>
          <w:color w:val="000000"/>
          <w:sz w:val="20"/>
          <w:szCs w:val="20"/>
        </w:rPr>
      </w:pPr>
      <w:r w:rsidRPr="00A363AC">
        <w:rPr>
          <w:rFonts w:ascii="Times New Roman" w:eastAsia="Times New Roman" w:hAnsi="Times New Roman" w:cs="Times New Roman"/>
          <w:b/>
          <w:bCs/>
          <w:color w:val="000000"/>
          <w:sz w:val="20"/>
          <w:szCs w:val="20"/>
        </w:rPr>
        <w:t>Endnotes</w:t>
      </w:r>
    </w:p>
    <w:p w14:paraId="015741B6" w14:textId="77777777" w:rsidR="00035E23" w:rsidRDefault="00035E23">
      <w:pPr>
        <w:rPr>
          <w:rFonts w:ascii="Times New Roman" w:eastAsia="Times New Roman" w:hAnsi="Times New Roman" w:cs="Times New Roman"/>
          <w:color w:val="000000"/>
          <w:sz w:val="20"/>
          <w:szCs w:val="20"/>
        </w:rPr>
      </w:pPr>
    </w:p>
    <w:p w14:paraId="0B809F23" w14:textId="77777777" w:rsidR="00035E23" w:rsidRDefault="00A363AC" w:rsidP="00BE53D1">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1. </w:t>
      </w:r>
      <w:proofErr w:type="spellStart"/>
      <w:r>
        <w:rPr>
          <w:rFonts w:ascii="Times New Roman" w:eastAsia="Times New Roman" w:hAnsi="Times New Roman" w:cs="Times New Roman"/>
          <w:color w:val="000000"/>
          <w:sz w:val="20"/>
          <w:szCs w:val="20"/>
        </w:rPr>
        <w:t>Andermann</w:t>
      </w:r>
      <w:proofErr w:type="spellEnd"/>
      <w:r>
        <w:rPr>
          <w:rFonts w:ascii="Times New Roman" w:eastAsia="Times New Roman" w:hAnsi="Times New Roman" w:cs="Times New Roman"/>
          <w:color w:val="000000"/>
          <w:sz w:val="20"/>
          <w:szCs w:val="20"/>
        </w:rPr>
        <w:t xml:space="preserve"> and </w:t>
      </w:r>
      <w:proofErr w:type="spellStart"/>
      <w:r>
        <w:rPr>
          <w:rFonts w:ascii="Times New Roman" w:eastAsia="Times New Roman" w:hAnsi="Times New Roman" w:cs="Times New Roman"/>
          <w:color w:val="000000"/>
          <w:sz w:val="20"/>
          <w:szCs w:val="20"/>
        </w:rPr>
        <w:t>Simine</w:t>
      </w:r>
      <w:proofErr w:type="spellEnd"/>
      <w:r>
        <w:rPr>
          <w:rFonts w:ascii="Times New Roman" w:eastAsia="Times New Roman" w:hAnsi="Times New Roman" w:cs="Times New Roman"/>
          <w:color w:val="000000"/>
          <w:sz w:val="20"/>
          <w:szCs w:val="20"/>
        </w:rPr>
        <w:t xml:space="preserve"> point out that in the climate of feminist, post-colonial and </w:t>
      </w:r>
      <w:proofErr w:type="spellStart"/>
      <w:r>
        <w:rPr>
          <w:rFonts w:ascii="Times New Roman" w:eastAsia="Times New Roman" w:hAnsi="Times New Roman" w:cs="Times New Roman"/>
          <w:color w:val="000000"/>
          <w:sz w:val="20"/>
          <w:szCs w:val="20"/>
        </w:rPr>
        <w:t>memorialistic</w:t>
      </w:r>
      <w:proofErr w:type="spellEnd"/>
      <w:r>
        <w:rPr>
          <w:rFonts w:ascii="Times New Roman" w:eastAsia="Times New Roman" w:hAnsi="Times New Roman" w:cs="Times New Roman"/>
          <w:color w:val="000000"/>
          <w:sz w:val="20"/>
          <w:szCs w:val="20"/>
        </w:rPr>
        <w:t xml:space="preserve"> critiques, </w:t>
      </w:r>
    </w:p>
    <w:p w14:paraId="6065C826" w14:textId="77777777" w:rsidR="00035E23" w:rsidRDefault="00A363AC" w:rsidP="00BE53D1">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museums over the past decades have taken an “educational turn” and are moving towards being inclusive institutions. This idea is discussed in dep</w:t>
      </w:r>
      <w:r>
        <w:rPr>
          <w:rFonts w:ascii="Times New Roman" w:eastAsia="Times New Roman" w:hAnsi="Times New Roman" w:cs="Times New Roman"/>
          <w:color w:val="000000"/>
          <w:sz w:val="20"/>
          <w:szCs w:val="20"/>
        </w:rPr>
        <w:t>th later-on in the essay (</w:t>
      </w:r>
      <w:proofErr w:type="spellStart"/>
      <w:r>
        <w:rPr>
          <w:rFonts w:ascii="Times New Roman" w:eastAsia="Times New Roman" w:hAnsi="Times New Roman" w:cs="Times New Roman"/>
          <w:color w:val="000000"/>
          <w:sz w:val="20"/>
          <w:szCs w:val="20"/>
        </w:rPr>
        <w:t>Andermann</w:t>
      </w:r>
      <w:proofErr w:type="spellEnd"/>
      <w:r>
        <w:rPr>
          <w:rFonts w:ascii="Times New Roman" w:eastAsia="Times New Roman" w:hAnsi="Times New Roman" w:cs="Times New Roman"/>
          <w:color w:val="000000"/>
          <w:sz w:val="20"/>
          <w:szCs w:val="20"/>
        </w:rPr>
        <w:t xml:space="preserve"> &amp; Simine:1).</w:t>
      </w:r>
    </w:p>
    <w:p w14:paraId="3E53DFDF" w14:textId="77777777" w:rsidR="00035E23" w:rsidRDefault="00035E23" w:rsidP="00BE53D1">
      <w:pPr>
        <w:jc w:val="both"/>
        <w:rPr>
          <w:rFonts w:ascii="Times New Roman" w:eastAsia="Times New Roman" w:hAnsi="Times New Roman" w:cs="Times New Roman"/>
          <w:color w:val="000000"/>
          <w:sz w:val="20"/>
          <w:szCs w:val="20"/>
        </w:rPr>
      </w:pPr>
    </w:p>
    <w:p w14:paraId="32C03F03" w14:textId="77777777" w:rsidR="00035E23" w:rsidRDefault="00A363AC" w:rsidP="00BE53D1">
      <w:pPr>
        <w:jc w:val="both"/>
        <w:rPr>
          <w:rFonts w:ascii="Times New Roman" w:eastAsia="Times New Roman" w:hAnsi="Times New Roman" w:cs="Times New Roman"/>
          <w:color w:val="000000"/>
          <w:sz w:val="20"/>
          <w:szCs w:val="20"/>
        </w:rPr>
      </w:pPr>
      <w:bookmarkStart w:id="1" w:name="bookmark=id.30j0zll" w:colFirst="0" w:colLast="0"/>
      <w:bookmarkEnd w:id="1"/>
      <w:r>
        <w:rPr>
          <w:rFonts w:ascii="Times New Roman" w:eastAsia="Times New Roman" w:hAnsi="Times New Roman" w:cs="Times New Roman"/>
          <w:color w:val="000000"/>
          <w:sz w:val="20"/>
          <w:szCs w:val="20"/>
        </w:rPr>
        <w:t xml:space="preserve">2. Here, the Object Category is understood as a Formal Ontological Concept. In the essay, Is Object Concept Formal? Roberto </w:t>
      </w:r>
      <w:proofErr w:type="spellStart"/>
      <w:r>
        <w:rPr>
          <w:rFonts w:ascii="Times New Roman" w:eastAsia="Times New Roman" w:hAnsi="Times New Roman" w:cs="Times New Roman"/>
          <w:color w:val="000000"/>
          <w:sz w:val="20"/>
          <w:szCs w:val="20"/>
        </w:rPr>
        <w:t>Casati</w:t>
      </w:r>
      <w:proofErr w:type="spellEnd"/>
      <w:r>
        <w:rPr>
          <w:rFonts w:ascii="Times New Roman" w:eastAsia="Times New Roman" w:hAnsi="Times New Roman" w:cs="Times New Roman"/>
          <w:color w:val="000000"/>
          <w:sz w:val="20"/>
          <w:szCs w:val="20"/>
        </w:rPr>
        <w:t xml:space="preserve"> distinguishes between Sortal, Mass, and Formal Concepts. While quoting Str</w:t>
      </w:r>
      <w:r>
        <w:rPr>
          <w:rFonts w:ascii="Times New Roman" w:eastAsia="Times New Roman" w:hAnsi="Times New Roman" w:cs="Times New Roman"/>
          <w:color w:val="000000"/>
          <w:sz w:val="20"/>
          <w:szCs w:val="20"/>
        </w:rPr>
        <w:t xml:space="preserve">awson, he says that a Sortal concept supplies “a principle for distinguishing and counting individual particulars which it collects.” A Mass concept, like the color </w:t>
      </w:r>
      <w:r>
        <w:rPr>
          <w:rFonts w:ascii="Times New Roman" w:eastAsia="Times New Roman" w:hAnsi="Times New Roman" w:cs="Times New Roman"/>
          <w:i/>
          <w:color w:val="000000"/>
          <w:sz w:val="20"/>
          <w:szCs w:val="20"/>
        </w:rPr>
        <w:t>red</w:t>
      </w:r>
      <w:r>
        <w:rPr>
          <w:rFonts w:ascii="Times New Roman" w:eastAsia="Times New Roman" w:hAnsi="Times New Roman" w:cs="Times New Roman"/>
          <w:color w:val="000000"/>
          <w:sz w:val="20"/>
          <w:szCs w:val="20"/>
        </w:rPr>
        <w:t>, “does not ‘divide reference’ and hence does not provide criteria for counting and deli</w:t>
      </w:r>
      <w:r>
        <w:rPr>
          <w:rFonts w:ascii="Times New Roman" w:eastAsia="Times New Roman" w:hAnsi="Times New Roman" w:cs="Times New Roman"/>
          <w:color w:val="000000"/>
          <w:sz w:val="20"/>
          <w:szCs w:val="20"/>
        </w:rPr>
        <w:t xml:space="preserve">neating individuals.” The third kind are Formal Concepts, more specifically Formal </w:t>
      </w:r>
      <w:r>
        <w:rPr>
          <w:rFonts w:ascii="Times New Roman" w:eastAsia="Times New Roman" w:hAnsi="Times New Roman" w:cs="Times New Roman"/>
          <w:i/>
          <w:color w:val="000000"/>
          <w:sz w:val="20"/>
          <w:szCs w:val="20"/>
        </w:rPr>
        <w:t xml:space="preserve">ontological </w:t>
      </w:r>
      <w:r>
        <w:rPr>
          <w:rFonts w:ascii="Times New Roman" w:eastAsia="Times New Roman" w:hAnsi="Times New Roman" w:cs="Times New Roman"/>
          <w:color w:val="000000"/>
          <w:sz w:val="20"/>
          <w:szCs w:val="20"/>
        </w:rPr>
        <w:t xml:space="preserve">concepts (distinguished from Formal logical concepts). The Object category (or how the author writes it- OBJECT) and PART are described as these concepts. </w:t>
      </w:r>
      <w:proofErr w:type="spellStart"/>
      <w:r>
        <w:rPr>
          <w:rFonts w:ascii="Times New Roman" w:eastAsia="Times New Roman" w:hAnsi="Times New Roman" w:cs="Times New Roman"/>
          <w:color w:val="000000"/>
          <w:sz w:val="20"/>
          <w:szCs w:val="20"/>
        </w:rPr>
        <w:t>Casati</w:t>
      </w:r>
      <w:proofErr w:type="spellEnd"/>
      <w:r>
        <w:rPr>
          <w:rFonts w:ascii="Times New Roman" w:eastAsia="Times New Roman" w:hAnsi="Times New Roman" w:cs="Times New Roman"/>
          <w:color w:val="000000"/>
          <w:sz w:val="20"/>
          <w:szCs w:val="20"/>
        </w:rPr>
        <w:t xml:space="preserve"> says that these are “the concepts of entities </w:t>
      </w:r>
      <w:proofErr w:type="spellStart"/>
      <w:r>
        <w:rPr>
          <w:rFonts w:ascii="Times New Roman" w:eastAsia="Times New Roman" w:hAnsi="Times New Roman" w:cs="Times New Roman"/>
          <w:color w:val="000000"/>
          <w:sz w:val="20"/>
          <w:szCs w:val="20"/>
        </w:rPr>
        <w:t>ontologists</w:t>
      </w:r>
      <w:proofErr w:type="spellEnd"/>
      <w:r>
        <w:rPr>
          <w:rFonts w:ascii="Times New Roman" w:eastAsia="Times New Roman" w:hAnsi="Times New Roman" w:cs="Times New Roman"/>
          <w:color w:val="000000"/>
          <w:sz w:val="20"/>
          <w:szCs w:val="20"/>
        </w:rPr>
        <w:t xml:space="preserve"> are interested in: events, objects, states of affairs, but also of relations such as parthood.” He further adds that these cut across sortal classifications. He says that “the relation- and the cor</w:t>
      </w:r>
      <w:r>
        <w:rPr>
          <w:rFonts w:ascii="Times New Roman" w:eastAsia="Times New Roman" w:hAnsi="Times New Roman" w:cs="Times New Roman"/>
          <w:color w:val="000000"/>
          <w:sz w:val="20"/>
          <w:szCs w:val="20"/>
        </w:rPr>
        <w:t>responding concept- is formal insofar as it is alleged to abstract from whatsoever type of individual can stand in the relation” (</w:t>
      </w:r>
      <w:proofErr w:type="spellStart"/>
      <w:r>
        <w:rPr>
          <w:rFonts w:ascii="Times New Roman" w:eastAsia="Times New Roman" w:hAnsi="Times New Roman" w:cs="Times New Roman"/>
          <w:color w:val="000000"/>
          <w:sz w:val="20"/>
          <w:szCs w:val="20"/>
        </w:rPr>
        <w:t>Casati</w:t>
      </w:r>
      <w:proofErr w:type="spellEnd"/>
      <w:r>
        <w:rPr>
          <w:rFonts w:ascii="Times New Roman" w:eastAsia="Times New Roman" w:hAnsi="Times New Roman" w:cs="Times New Roman"/>
          <w:color w:val="000000"/>
          <w:sz w:val="20"/>
          <w:szCs w:val="20"/>
        </w:rPr>
        <w:t xml:space="preserve"> 2004:384)</w:t>
      </w:r>
    </w:p>
    <w:p w14:paraId="2D0A19F1" w14:textId="77777777" w:rsidR="00035E23" w:rsidRDefault="00A363AC" w:rsidP="00BE53D1">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14:paraId="7791FAEE" w14:textId="77777777" w:rsidR="00035E23" w:rsidRDefault="00A363AC" w:rsidP="00BE53D1">
      <w:pPr>
        <w:jc w:val="both"/>
        <w:rPr>
          <w:rFonts w:ascii="Times New Roman" w:eastAsia="Times New Roman" w:hAnsi="Times New Roman" w:cs="Times New Roman"/>
          <w:color w:val="000000"/>
          <w:sz w:val="20"/>
          <w:szCs w:val="20"/>
        </w:rPr>
      </w:pPr>
      <w:bookmarkStart w:id="2" w:name="bookmark=id.1fob9te" w:colFirst="0" w:colLast="0"/>
      <w:bookmarkEnd w:id="2"/>
      <w:r>
        <w:rPr>
          <w:rFonts w:ascii="Times New Roman" w:eastAsia="Times New Roman" w:hAnsi="Times New Roman" w:cs="Times New Roman"/>
          <w:color w:val="000000"/>
          <w:sz w:val="20"/>
          <w:szCs w:val="20"/>
        </w:rPr>
        <w:t xml:space="preserve">3.  Speaking of parthood as a formal concept, and as being different from generalization, </w:t>
      </w:r>
      <w:proofErr w:type="spellStart"/>
      <w:r>
        <w:rPr>
          <w:rFonts w:ascii="Times New Roman" w:eastAsia="Times New Roman" w:hAnsi="Times New Roman" w:cs="Times New Roman"/>
          <w:color w:val="000000"/>
          <w:sz w:val="20"/>
          <w:szCs w:val="20"/>
        </w:rPr>
        <w:t>Casati</w:t>
      </w:r>
      <w:proofErr w:type="spellEnd"/>
      <w:r>
        <w:rPr>
          <w:rFonts w:ascii="Times New Roman" w:eastAsia="Times New Roman" w:hAnsi="Times New Roman" w:cs="Times New Roman"/>
          <w:color w:val="000000"/>
          <w:sz w:val="20"/>
          <w:szCs w:val="20"/>
        </w:rPr>
        <w:t xml:space="preserve"> makes the following statement: “the hierarchical relationship between the concepts DOG and ANIMAL is a case of generalization. The hierarchical relationship be</w:t>
      </w:r>
      <w:r>
        <w:rPr>
          <w:rFonts w:ascii="Times New Roman" w:eastAsia="Times New Roman" w:hAnsi="Times New Roman" w:cs="Times New Roman"/>
          <w:color w:val="000000"/>
          <w:sz w:val="20"/>
          <w:szCs w:val="20"/>
        </w:rPr>
        <w:t>tween the concept HAND and HUMAN BEING captures the relation between a hand and its owner, the relationship of parthood. You do not generalize from being a hand to being human. However, the relation- and the corresponding concept- is formal insofar as it i</w:t>
      </w:r>
      <w:r>
        <w:rPr>
          <w:rFonts w:ascii="Times New Roman" w:eastAsia="Times New Roman" w:hAnsi="Times New Roman" w:cs="Times New Roman"/>
          <w:color w:val="000000"/>
          <w:sz w:val="20"/>
          <w:szCs w:val="20"/>
        </w:rPr>
        <w:t xml:space="preserve">s alleged to abstract from whatsoever type of individual can stand in the relation… Put otherwise, PARTHOOD is a formal concept insofar as it is (relatively) </w:t>
      </w:r>
      <w:r>
        <w:rPr>
          <w:rFonts w:ascii="Times New Roman" w:eastAsia="Times New Roman" w:hAnsi="Times New Roman" w:cs="Times New Roman"/>
          <w:i/>
          <w:color w:val="000000"/>
          <w:sz w:val="20"/>
          <w:szCs w:val="20"/>
        </w:rPr>
        <w:t>topic neutral</w:t>
      </w:r>
      <w:r>
        <w:rPr>
          <w:rFonts w:ascii="Times New Roman" w:eastAsia="Times New Roman" w:hAnsi="Times New Roman" w:cs="Times New Roman"/>
          <w:color w:val="000000"/>
          <w:sz w:val="20"/>
          <w:szCs w:val="20"/>
        </w:rPr>
        <w:t>.” The example of a BUILDING is also similar to the concept of a HAND. A building has</w:t>
      </w:r>
      <w:r>
        <w:rPr>
          <w:rFonts w:ascii="Times New Roman" w:eastAsia="Times New Roman" w:hAnsi="Times New Roman" w:cs="Times New Roman"/>
          <w:color w:val="000000"/>
          <w:sz w:val="20"/>
          <w:szCs w:val="20"/>
        </w:rPr>
        <w:t xml:space="preserve"> parts, but that part is not the whole. You cannot generalize a building from its parts, but you can say that they are parts of the building. These parts, like stairs, can also form part of other classifications due to their (relative) topic neutrality. (</w:t>
      </w:r>
      <w:proofErr w:type="spellStart"/>
      <w:r>
        <w:rPr>
          <w:rFonts w:ascii="Times New Roman" w:eastAsia="Times New Roman" w:hAnsi="Times New Roman" w:cs="Times New Roman"/>
          <w:color w:val="000000"/>
          <w:sz w:val="20"/>
          <w:szCs w:val="20"/>
        </w:rPr>
        <w:t>C</w:t>
      </w:r>
      <w:r>
        <w:rPr>
          <w:rFonts w:ascii="Times New Roman" w:eastAsia="Times New Roman" w:hAnsi="Times New Roman" w:cs="Times New Roman"/>
          <w:color w:val="000000"/>
          <w:sz w:val="20"/>
          <w:szCs w:val="20"/>
        </w:rPr>
        <w:t>asati</w:t>
      </w:r>
      <w:proofErr w:type="spellEnd"/>
      <w:r>
        <w:rPr>
          <w:rFonts w:ascii="Times New Roman" w:eastAsia="Times New Roman" w:hAnsi="Times New Roman" w:cs="Times New Roman"/>
          <w:color w:val="000000"/>
          <w:sz w:val="20"/>
          <w:szCs w:val="20"/>
        </w:rPr>
        <w:t xml:space="preserve"> 2004:384-385)</w:t>
      </w:r>
    </w:p>
    <w:p w14:paraId="2BAF7A2E" w14:textId="77777777" w:rsidR="00035E23" w:rsidRDefault="00035E23" w:rsidP="00BE53D1">
      <w:pPr>
        <w:jc w:val="both"/>
        <w:rPr>
          <w:rFonts w:ascii="Times New Roman" w:eastAsia="Times New Roman" w:hAnsi="Times New Roman" w:cs="Times New Roman"/>
          <w:color w:val="000000"/>
          <w:sz w:val="20"/>
          <w:szCs w:val="20"/>
        </w:rPr>
      </w:pPr>
    </w:p>
    <w:p w14:paraId="05EF0D42" w14:textId="77777777" w:rsidR="00035E23" w:rsidRDefault="00A363AC" w:rsidP="00BE53D1">
      <w:pPr>
        <w:pBdr>
          <w:top w:val="nil"/>
          <w:left w:val="nil"/>
          <w:bottom w:val="nil"/>
          <w:right w:val="nil"/>
          <w:between w:val="nil"/>
        </w:pBdr>
        <w:jc w:val="both"/>
        <w:rPr>
          <w:rFonts w:ascii="Times New Roman" w:eastAsia="Times New Roman" w:hAnsi="Times New Roman" w:cs="Times New Roman"/>
          <w:color w:val="000000"/>
          <w:sz w:val="20"/>
          <w:szCs w:val="20"/>
        </w:rPr>
      </w:pPr>
      <w:bookmarkStart w:id="3" w:name="bookmark=id.3znysh7" w:colFirst="0" w:colLast="0"/>
      <w:bookmarkEnd w:id="3"/>
      <w:r>
        <w:rPr>
          <w:rFonts w:ascii="Times New Roman" w:eastAsia="Times New Roman" w:hAnsi="Times New Roman" w:cs="Times New Roman"/>
          <w:color w:val="000000"/>
          <w:sz w:val="20"/>
          <w:szCs w:val="20"/>
        </w:rPr>
        <w:t>4. In the article</w:t>
      </w:r>
      <w:r>
        <w:rPr>
          <w:rFonts w:ascii="Times New Roman" w:eastAsia="Times New Roman" w:hAnsi="Times New Roman" w:cs="Times New Roman"/>
          <w:i/>
          <w:color w:val="000000"/>
          <w:sz w:val="20"/>
          <w:szCs w:val="20"/>
        </w:rPr>
        <w:t xml:space="preserve"> The Place of Objects and Things in the Age of Materiality,</w:t>
      </w:r>
      <w:r>
        <w:rPr>
          <w:rFonts w:ascii="Times New Roman" w:eastAsia="Times New Roman" w:hAnsi="Times New Roman" w:cs="Times New Roman"/>
          <w:color w:val="000000"/>
          <w:sz w:val="20"/>
          <w:szCs w:val="20"/>
        </w:rPr>
        <w:t xml:space="preserve"> Martin </w:t>
      </w:r>
      <w:proofErr w:type="spellStart"/>
      <w:r>
        <w:rPr>
          <w:rFonts w:ascii="Times New Roman" w:eastAsia="Times New Roman" w:hAnsi="Times New Roman" w:cs="Times New Roman"/>
          <w:color w:val="000000"/>
          <w:sz w:val="20"/>
          <w:szCs w:val="20"/>
        </w:rPr>
        <w:t>Brückner</w:t>
      </w:r>
      <w:proofErr w:type="spellEnd"/>
      <w:r>
        <w:rPr>
          <w:rFonts w:ascii="Times New Roman" w:eastAsia="Times New Roman" w:hAnsi="Times New Roman" w:cs="Times New Roman"/>
          <w:color w:val="000000"/>
          <w:sz w:val="20"/>
          <w:szCs w:val="20"/>
        </w:rPr>
        <w:t xml:space="preserve"> describes how “objects become material signs capable of jumping interpretive frames or representational grids” and how they “emerge from the</w:t>
      </w:r>
      <w:r>
        <w:rPr>
          <w:rFonts w:ascii="Times New Roman" w:eastAsia="Times New Roman" w:hAnsi="Times New Roman" w:cs="Times New Roman"/>
          <w:color w:val="000000"/>
          <w:sz w:val="20"/>
          <w:szCs w:val="20"/>
        </w:rPr>
        <w:t xml:space="preserve"> triangulation of materiality, participation, and representation”. While giving an example from an advertisement in an American gazette from the 1700s, he discusses how the word “leghorn hat” written in the ad functions as a “metaphoric placeholder” for th</w:t>
      </w:r>
      <w:r>
        <w:rPr>
          <w:rFonts w:ascii="Times New Roman" w:eastAsia="Times New Roman" w:hAnsi="Times New Roman" w:cs="Times New Roman"/>
          <w:color w:val="000000"/>
          <w:sz w:val="20"/>
          <w:szCs w:val="20"/>
        </w:rPr>
        <w:t xml:space="preserve">e materially absent object. In my paper, I’ve attempted to uncover the qualities of such placeholder object categories that function as metaphors for objects that </w:t>
      </w:r>
      <w:r>
        <w:rPr>
          <w:rFonts w:ascii="Times New Roman" w:eastAsia="Times New Roman" w:hAnsi="Times New Roman" w:cs="Times New Roman"/>
          <w:i/>
          <w:color w:val="000000"/>
          <w:sz w:val="20"/>
          <w:szCs w:val="20"/>
        </w:rPr>
        <w:t xml:space="preserve">would </w:t>
      </w:r>
      <w:r>
        <w:rPr>
          <w:rFonts w:ascii="Times New Roman" w:eastAsia="Times New Roman" w:hAnsi="Times New Roman" w:cs="Times New Roman"/>
          <w:color w:val="000000"/>
          <w:sz w:val="20"/>
          <w:szCs w:val="20"/>
        </w:rPr>
        <w:t>gain materiality through descriptions and interactions. The emphasis on verbally descri</w:t>
      </w:r>
      <w:r>
        <w:rPr>
          <w:rFonts w:ascii="Times New Roman" w:eastAsia="Times New Roman" w:hAnsi="Times New Roman" w:cs="Times New Roman"/>
          <w:color w:val="000000"/>
          <w:sz w:val="20"/>
          <w:szCs w:val="20"/>
        </w:rPr>
        <w:t xml:space="preserve">bed qualities of these future objects is backed by </w:t>
      </w:r>
      <w:r>
        <w:rPr>
          <w:color w:val="000000"/>
          <w:sz w:val="20"/>
          <w:szCs w:val="20"/>
        </w:rPr>
        <w:t>﻿</w:t>
      </w:r>
      <w:r>
        <w:rPr>
          <w:rFonts w:ascii="Times New Roman" w:eastAsia="Times New Roman" w:hAnsi="Times New Roman" w:cs="Times New Roman"/>
          <w:color w:val="000000"/>
          <w:sz w:val="20"/>
          <w:szCs w:val="20"/>
        </w:rPr>
        <w:t xml:space="preserve">Kenneth </w:t>
      </w:r>
      <w:proofErr w:type="spellStart"/>
      <w:r>
        <w:rPr>
          <w:rFonts w:ascii="Times New Roman" w:eastAsia="Times New Roman" w:hAnsi="Times New Roman" w:cs="Times New Roman"/>
          <w:color w:val="000000"/>
          <w:sz w:val="20"/>
          <w:szCs w:val="20"/>
        </w:rPr>
        <w:t>Haltman’s</w:t>
      </w:r>
      <w:proofErr w:type="spellEnd"/>
      <w:r>
        <w:rPr>
          <w:rFonts w:ascii="Times New Roman" w:eastAsia="Times New Roman" w:hAnsi="Times New Roman" w:cs="Times New Roman"/>
          <w:color w:val="000000"/>
          <w:sz w:val="20"/>
          <w:szCs w:val="20"/>
        </w:rPr>
        <w:t xml:space="preserve"> idea (quoted in </w:t>
      </w:r>
      <w:proofErr w:type="spellStart"/>
      <w:r>
        <w:rPr>
          <w:rFonts w:ascii="Times New Roman" w:eastAsia="Times New Roman" w:hAnsi="Times New Roman" w:cs="Times New Roman"/>
          <w:color w:val="000000"/>
          <w:sz w:val="20"/>
          <w:szCs w:val="20"/>
        </w:rPr>
        <w:t>Brückner’s</w:t>
      </w:r>
      <w:proofErr w:type="spellEnd"/>
      <w:r>
        <w:rPr>
          <w:rFonts w:ascii="Times New Roman" w:eastAsia="Times New Roman" w:hAnsi="Times New Roman" w:cs="Times New Roman"/>
          <w:color w:val="000000"/>
          <w:sz w:val="20"/>
          <w:szCs w:val="20"/>
        </w:rPr>
        <w:t xml:space="preserve"> article) that material culture “begins with a world of objects but takes place in a world of words” (</w:t>
      </w:r>
      <w:proofErr w:type="spellStart"/>
      <w:r>
        <w:rPr>
          <w:rFonts w:ascii="Times New Roman" w:eastAsia="Times New Roman" w:hAnsi="Times New Roman" w:cs="Times New Roman"/>
          <w:color w:val="000000"/>
          <w:sz w:val="20"/>
          <w:szCs w:val="20"/>
        </w:rPr>
        <w:t>Brückner</w:t>
      </w:r>
      <w:proofErr w:type="spellEnd"/>
      <w:r>
        <w:rPr>
          <w:rFonts w:ascii="Times New Roman" w:eastAsia="Times New Roman" w:hAnsi="Times New Roman" w:cs="Times New Roman"/>
          <w:color w:val="000000"/>
          <w:sz w:val="20"/>
          <w:szCs w:val="20"/>
        </w:rPr>
        <w:t xml:space="preserve"> 2019:494-502).</w:t>
      </w:r>
    </w:p>
    <w:p w14:paraId="23D97165" w14:textId="77777777" w:rsidR="00035E23" w:rsidRDefault="00035E23" w:rsidP="00BE53D1">
      <w:pPr>
        <w:jc w:val="both"/>
        <w:rPr>
          <w:rFonts w:ascii="Times New Roman" w:eastAsia="Times New Roman" w:hAnsi="Times New Roman" w:cs="Times New Roman"/>
          <w:color w:val="000000"/>
          <w:sz w:val="20"/>
          <w:szCs w:val="20"/>
        </w:rPr>
      </w:pPr>
    </w:p>
    <w:p w14:paraId="67DFED6E" w14:textId="77777777" w:rsidR="00035E23" w:rsidRDefault="00A363AC" w:rsidP="00BE53D1">
      <w:pPr>
        <w:jc w:val="both"/>
        <w:rPr>
          <w:rFonts w:ascii="Times New Roman" w:eastAsia="Times New Roman" w:hAnsi="Times New Roman" w:cs="Times New Roman"/>
          <w:color w:val="000000"/>
          <w:sz w:val="20"/>
          <w:szCs w:val="20"/>
        </w:rPr>
      </w:pPr>
      <w:bookmarkStart w:id="4" w:name="bookmark=id.2et92p0" w:colFirst="0" w:colLast="0"/>
      <w:bookmarkEnd w:id="4"/>
      <w:r>
        <w:rPr>
          <w:rFonts w:ascii="Times New Roman" w:eastAsia="Times New Roman" w:hAnsi="Times New Roman" w:cs="Times New Roman"/>
          <w:color w:val="000000"/>
          <w:sz w:val="20"/>
          <w:szCs w:val="20"/>
        </w:rPr>
        <w:lastRenderedPageBreak/>
        <w:t>5. the repatriation portal lists</w:t>
      </w:r>
      <w:r>
        <w:rPr>
          <w:rFonts w:ascii="Times New Roman" w:eastAsia="Times New Roman" w:hAnsi="Times New Roman" w:cs="Times New Roman"/>
          <w:color w:val="000000"/>
          <w:sz w:val="20"/>
          <w:szCs w:val="20"/>
        </w:rPr>
        <w:t xml:space="preserve"> a seven-step process that can take months before any physical repatriations are made. To view the process, go to the following link</w:t>
      </w:r>
      <w:r>
        <w:rPr>
          <w:sz w:val="20"/>
          <w:szCs w:val="20"/>
        </w:rPr>
        <w:t xml:space="preserve"> </w:t>
      </w:r>
      <w:hyperlink r:id="rId9">
        <w:r>
          <w:rPr>
            <w:rFonts w:ascii="Times New Roman" w:eastAsia="Times New Roman" w:hAnsi="Times New Roman" w:cs="Times New Roman"/>
            <w:color w:val="0563C1"/>
            <w:sz w:val="20"/>
            <w:szCs w:val="20"/>
            <w:u w:val="single"/>
          </w:rPr>
          <w:t>https://repatriation.fieldmuseum.org/narrative/6534</w:t>
        </w:r>
      </w:hyperlink>
      <w:r>
        <w:rPr>
          <w:rFonts w:ascii="Times New Roman" w:eastAsia="Times New Roman" w:hAnsi="Times New Roman" w:cs="Times New Roman"/>
          <w:color w:val="000000"/>
          <w:sz w:val="20"/>
          <w:szCs w:val="20"/>
        </w:rPr>
        <w:t>. (n.d. Field Museum)</w:t>
      </w:r>
    </w:p>
    <w:p w14:paraId="071853A9" w14:textId="77777777" w:rsidR="00035E23" w:rsidRDefault="00035E23" w:rsidP="00BE53D1">
      <w:pPr>
        <w:jc w:val="both"/>
        <w:rPr>
          <w:rFonts w:ascii="Times New Roman" w:eastAsia="Times New Roman" w:hAnsi="Times New Roman" w:cs="Times New Roman"/>
          <w:color w:val="000000"/>
          <w:sz w:val="20"/>
          <w:szCs w:val="20"/>
        </w:rPr>
      </w:pPr>
    </w:p>
    <w:p w14:paraId="4B4E2F38" w14:textId="77777777" w:rsidR="00035E23" w:rsidRDefault="00A363AC" w:rsidP="00BE53D1">
      <w:pPr>
        <w:jc w:val="both"/>
        <w:rPr>
          <w:rFonts w:ascii="Times New Roman" w:eastAsia="Times New Roman" w:hAnsi="Times New Roman" w:cs="Times New Roman"/>
          <w:color w:val="000000"/>
          <w:sz w:val="20"/>
          <w:szCs w:val="20"/>
        </w:rPr>
      </w:pPr>
      <w:bookmarkStart w:id="5" w:name="bookmark=id.tyjcwt" w:colFirst="0" w:colLast="0"/>
      <w:bookmarkEnd w:id="5"/>
      <w:r>
        <w:rPr>
          <w:rFonts w:ascii="Times New Roman" w:eastAsia="Times New Roman" w:hAnsi="Times New Roman" w:cs="Times New Roman"/>
          <w:color w:val="000000"/>
          <w:sz w:val="20"/>
          <w:szCs w:val="20"/>
        </w:rPr>
        <w:t xml:space="preserve">6. For the museum to stay relevant in today’s time, it must apologize in some symbolic way. While speaking of the benefits of restitution, Jenkins in her chapter quotes Elazar </w:t>
      </w:r>
      <w:proofErr w:type="spellStart"/>
      <w:r>
        <w:rPr>
          <w:rFonts w:ascii="Times New Roman" w:eastAsia="Times New Roman" w:hAnsi="Times New Roman" w:cs="Times New Roman"/>
          <w:color w:val="000000"/>
          <w:sz w:val="20"/>
          <w:szCs w:val="20"/>
        </w:rPr>
        <w:t>Barkan</w:t>
      </w:r>
      <w:proofErr w:type="spellEnd"/>
      <w:r>
        <w:rPr>
          <w:rFonts w:ascii="Times New Roman" w:eastAsia="Times New Roman" w:hAnsi="Times New Roman" w:cs="Times New Roman"/>
          <w:color w:val="000000"/>
          <w:sz w:val="20"/>
          <w:szCs w:val="20"/>
        </w:rPr>
        <w:t xml:space="preserve"> noting the emergence, in the 90s, of a “new world</w:t>
      </w:r>
      <w:r>
        <w:rPr>
          <w:rFonts w:ascii="Times New Roman" w:eastAsia="Times New Roman" w:hAnsi="Times New Roman" w:cs="Times New Roman"/>
          <w:color w:val="000000"/>
          <w:sz w:val="20"/>
          <w:szCs w:val="20"/>
        </w:rPr>
        <w:t xml:space="preserve"> opinion in which appearing compassionate and holding moral high ground has become a good investment.” She further adds to </w:t>
      </w:r>
      <w:proofErr w:type="spellStart"/>
      <w:r>
        <w:rPr>
          <w:rFonts w:ascii="Times New Roman" w:eastAsia="Times New Roman" w:hAnsi="Times New Roman" w:cs="Times New Roman"/>
          <w:color w:val="000000"/>
          <w:sz w:val="20"/>
          <w:szCs w:val="20"/>
        </w:rPr>
        <w:t>Barkan’s</w:t>
      </w:r>
      <w:proofErr w:type="spellEnd"/>
      <w:r>
        <w:rPr>
          <w:rFonts w:ascii="Times New Roman" w:eastAsia="Times New Roman" w:hAnsi="Times New Roman" w:cs="Times New Roman"/>
          <w:color w:val="000000"/>
          <w:sz w:val="20"/>
          <w:szCs w:val="20"/>
        </w:rPr>
        <w:t xml:space="preserve"> statement by saying that “repatriations are acts that bring moral credibility to the elites of today, by drawing a contrast </w:t>
      </w:r>
      <w:r>
        <w:rPr>
          <w:rFonts w:ascii="Times New Roman" w:eastAsia="Times New Roman" w:hAnsi="Times New Roman" w:cs="Times New Roman"/>
          <w:color w:val="000000"/>
          <w:sz w:val="20"/>
          <w:szCs w:val="20"/>
        </w:rPr>
        <w:t>with the morally dubious actions of their predecessors” (Jenkins 2018: 88).</w:t>
      </w:r>
    </w:p>
    <w:p w14:paraId="0368A600" w14:textId="77777777" w:rsidR="00035E23" w:rsidRDefault="00035E23" w:rsidP="00BE53D1">
      <w:pPr>
        <w:jc w:val="both"/>
        <w:rPr>
          <w:rFonts w:ascii="Times New Roman" w:eastAsia="Times New Roman" w:hAnsi="Times New Roman" w:cs="Times New Roman"/>
          <w:color w:val="000000"/>
          <w:sz w:val="20"/>
          <w:szCs w:val="20"/>
        </w:rPr>
      </w:pPr>
    </w:p>
    <w:p w14:paraId="60B4FC9B" w14:textId="77777777" w:rsidR="00035E23" w:rsidRDefault="00A363AC" w:rsidP="00BE53D1">
      <w:pPr>
        <w:jc w:val="both"/>
        <w:rPr>
          <w:rFonts w:ascii="Times New Roman" w:eastAsia="Times New Roman" w:hAnsi="Times New Roman" w:cs="Times New Roman"/>
          <w:color w:val="000000"/>
          <w:sz w:val="20"/>
          <w:szCs w:val="20"/>
        </w:rPr>
      </w:pPr>
      <w:bookmarkStart w:id="6" w:name="bookmark=id.3dy6vkm" w:colFirst="0" w:colLast="0"/>
      <w:bookmarkEnd w:id="6"/>
      <w:r>
        <w:rPr>
          <w:rFonts w:ascii="Times New Roman" w:eastAsia="Times New Roman" w:hAnsi="Times New Roman" w:cs="Times New Roman"/>
          <w:color w:val="000000"/>
          <w:sz w:val="20"/>
          <w:szCs w:val="20"/>
        </w:rPr>
        <w:t xml:space="preserve">7. While quoting Harman, Niels Wilde in his paper </w:t>
      </w:r>
      <w:r>
        <w:rPr>
          <w:rFonts w:ascii="Times New Roman" w:eastAsia="Times New Roman" w:hAnsi="Times New Roman" w:cs="Times New Roman"/>
          <w:i/>
          <w:color w:val="000000"/>
          <w:sz w:val="20"/>
          <w:szCs w:val="20"/>
        </w:rPr>
        <w:t>Burning Bridges: The Problem of Relations in Object-Oriented Ontology</w:t>
      </w:r>
      <w:r>
        <w:rPr>
          <w:rFonts w:ascii="Times New Roman" w:eastAsia="Times New Roman" w:hAnsi="Times New Roman" w:cs="Times New Roman"/>
          <w:color w:val="000000"/>
          <w:sz w:val="20"/>
          <w:szCs w:val="20"/>
        </w:rPr>
        <w:t xml:space="preserve"> argues that an object cannot be reduced to its relations a</w:t>
      </w:r>
      <w:r>
        <w:rPr>
          <w:rFonts w:ascii="Times New Roman" w:eastAsia="Times New Roman" w:hAnsi="Times New Roman" w:cs="Times New Roman"/>
          <w:color w:val="000000"/>
          <w:sz w:val="20"/>
          <w:szCs w:val="20"/>
        </w:rPr>
        <w:t xml:space="preserve">lone </w:t>
      </w:r>
      <w:r>
        <w:rPr>
          <w:color w:val="000000"/>
          <w:sz w:val="20"/>
          <w:szCs w:val="20"/>
        </w:rPr>
        <w:t>﻿</w:t>
      </w:r>
      <w:r>
        <w:rPr>
          <w:rFonts w:ascii="Times New Roman" w:eastAsia="Times New Roman" w:hAnsi="Times New Roman" w:cs="Times New Roman"/>
          <w:color w:val="000000"/>
          <w:sz w:val="20"/>
          <w:szCs w:val="20"/>
        </w:rPr>
        <w:t xml:space="preserve"> because “if an object’s reality depends on whatever relation it might have to something-other-than-itself, it cannot exist without such a relation and hence, it cannot be an individual subsisting entity after all”. For Harman, as noted by the author</w:t>
      </w:r>
      <w:r>
        <w:rPr>
          <w:rFonts w:ascii="Times New Roman" w:eastAsia="Times New Roman" w:hAnsi="Times New Roman" w:cs="Times New Roman"/>
          <w:color w:val="000000"/>
          <w:sz w:val="20"/>
          <w:szCs w:val="20"/>
        </w:rPr>
        <w:t>, the autonomy of objects emerges from their being “</w:t>
      </w:r>
      <w:r>
        <w:rPr>
          <w:color w:val="000000"/>
          <w:sz w:val="20"/>
          <w:szCs w:val="20"/>
        </w:rPr>
        <w:t>﻿</w:t>
      </w:r>
      <w:r>
        <w:rPr>
          <w:rFonts w:ascii="Times New Roman" w:eastAsia="Times New Roman" w:hAnsi="Times New Roman" w:cs="Times New Roman"/>
          <w:color w:val="000000"/>
          <w:sz w:val="20"/>
          <w:szCs w:val="20"/>
        </w:rPr>
        <w:t xml:space="preserve">over and above their pieces, while also partly withholding themselves from relations with other entities” </w:t>
      </w:r>
      <w:r>
        <w:rPr>
          <w:color w:val="000000"/>
          <w:sz w:val="20"/>
          <w:szCs w:val="20"/>
        </w:rPr>
        <w:t>﻿</w:t>
      </w:r>
      <w:r>
        <w:rPr>
          <w:rFonts w:ascii="Times New Roman" w:eastAsia="Times New Roman" w:hAnsi="Times New Roman" w:cs="Times New Roman"/>
          <w:color w:val="000000"/>
          <w:sz w:val="20"/>
          <w:szCs w:val="20"/>
        </w:rPr>
        <w:t>(Wilde 2020:1-12). Instead of arguing why objects must maintain this autonomy, in this paper I t</w:t>
      </w:r>
      <w:r>
        <w:rPr>
          <w:rFonts w:ascii="Times New Roman" w:eastAsia="Times New Roman" w:hAnsi="Times New Roman" w:cs="Times New Roman"/>
          <w:color w:val="000000"/>
          <w:sz w:val="20"/>
          <w:szCs w:val="20"/>
        </w:rPr>
        <w:t>ry to emphasize how a new object definition emerges when we consider placeholder categories for materially absent objects existing in a network of ideas.</w:t>
      </w:r>
    </w:p>
    <w:p w14:paraId="622EE4C5" w14:textId="77777777" w:rsidR="00035E23" w:rsidRDefault="00035E23" w:rsidP="00BE53D1">
      <w:pPr>
        <w:jc w:val="both"/>
        <w:rPr>
          <w:rFonts w:ascii="Times New Roman" w:eastAsia="Times New Roman" w:hAnsi="Times New Roman" w:cs="Times New Roman"/>
          <w:color w:val="000000"/>
          <w:sz w:val="20"/>
          <w:szCs w:val="20"/>
        </w:rPr>
      </w:pPr>
    </w:p>
    <w:p w14:paraId="3C0B35CE" w14:textId="77777777" w:rsidR="00035E23" w:rsidRDefault="00A363AC" w:rsidP="00BE53D1">
      <w:pPr>
        <w:jc w:val="both"/>
        <w:rPr>
          <w:rFonts w:ascii="Times New Roman" w:eastAsia="Times New Roman" w:hAnsi="Times New Roman" w:cs="Times New Roman"/>
          <w:color w:val="000000"/>
          <w:sz w:val="20"/>
          <w:szCs w:val="20"/>
        </w:rPr>
      </w:pPr>
      <w:bookmarkStart w:id="7" w:name="bookmark=id.1t3h5sf" w:colFirst="0" w:colLast="0"/>
      <w:bookmarkEnd w:id="7"/>
      <w:r>
        <w:rPr>
          <w:rFonts w:ascii="Times New Roman" w:eastAsia="Times New Roman" w:hAnsi="Times New Roman" w:cs="Times New Roman"/>
          <w:color w:val="000000"/>
          <w:sz w:val="20"/>
          <w:szCs w:val="20"/>
        </w:rPr>
        <w:t>8. This statement was made during a personal interview with developers who haven’t yet declared thei</w:t>
      </w:r>
      <w:r>
        <w:rPr>
          <w:rFonts w:ascii="Times New Roman" w:eastAsia="Times New Roman" w:hAnsi="Times New Roman" w:cs="Times New Roman"/>
          <w:color w:val="000000"/>
          <w:sz w:val="20"/>
          <w:szCs w:val="20"/>
        </w:rPr>
        <w:t>r wish to be named.</w:t>
      </w:r>
    </w:p>
    <w:p w14:paraId="6AF8EE07" w14:textId="77777777" w:rsidR="00035E23" w:rsidRDefault="00035E23" w:rsidP="00BE53D1">
      <w:pPr>
        <w:jc w:val="both"/>
        <w:rPr>
          <w:rFonts w:ascii="Times New Roman" w:eastAsia="Times New Roman" w:hAnsi="Times New Roman" w:cs="Times New Roman"/>
          <w:color w:val="000000"/>
          <w:sz w:val="20"/>
          <w:szCs w:val="20"/>
        </w:rPr>
      </w:pPr>
    </w:p>
    <w:p w14:paraId="6AD0831E" w14:textId="77777777" w:rsidR="00035E23" w:rsidRDefault="00A363AC" w:rsidP="00BE53D1">
      <w:pPr>
        <w:pBdr>
          <w:top w:val="nil"/>
          <w:left w:val="nil"/>
          <w:bottom w:val="nil"/>
          <w:right w:val="nil"/>
          <w:between w:val="nil"/>
        </w:pBdr>
        <w:jc w:val="both"/>
        <w:rPr>
          <w:rFonts w:ascii="Times New Roman" w:eastAsia="Times New Roman" w:hAnsi="Times New Roman" w:cs="Times New Roman"/>
          <w:color w:val="000000"/>
          <w:sz w:val="20"/>
          <w:szCs w:val="20"/>
        </w:rPr>
      </w:pPr>
      <w:bookmarkStart w:id="8" w:name="bookmark=id.4d34og8" w:colFirst="0" w:colLast="0"/>
      <w:bookmarkEnd w:id="8"/>
      <w:r>
        <w:rPr>
          <w:rFonts w:ascii="Times New Roman" w:eastAsia="Times New Roman" w:hAnsi="Times New Roman" w:cs="Times New Roman"/>
          <w:color w:val="000000"/>
          <w:sz w:val="20"/>
          <w:szCs w:val="20"/>
        </w:rPr>
        <w:t xml:space="preserve">9. Wesley Cray in the article Conceptual art, Ideas, and Ontology feels that an idea (or concept) is a spatially discontinuous system of token mental states (Cray 2014:235-245).  </w:t>
      </w:r>
    </w:p>
    <w:p w14:paraId="5C430A69" w14:textId="77777777" w:rsidR="00035E23" w:rsidRDefault="00035E23" w:rsidP="00BE53D1">
      <w:pPr>
        <w:jc w:val="both"/>
        <w:rPr>
          <w:rFonts w:ascii="Times New Roman" w:eastAsia="Times New Roman" w:hAnsi="Times New Roman" w:cs="Times New Roman"/>
          <w:color w:val="000000"/>
          <w:sz w:val="20"/>
          <w:szCs w:val="20"/>
        </w:rPr>
      </w:pPr>
    </w:p>
    <w:p w14:paraId="1A527238" w14:textId="77777777" w:rsidR="00035E23" w:rsidRDefault="00A363AC" w:rsidP="00BE53D1">
      <w:pPr>
        <w:jc w:val="both"/>
        <w:rPr>
          <w:rFonts w:ascii="Times New Roman" w:eastAsia="Times New Roman" w:hAnsi="Times New Roman" w:cs="Times New Roman"/>
          <w:color w:val="000000"/>
          <w:sz w:val="20"/>
          <w:szCs w:val="20"/>
        </w:rPr>
      </w:pPr>
      <w:bookmarkStart w:id="9" w:name="bookmark=id.2s8eyo1" w:colFirst="0" w:colLast="0"/>
      <w:bookmarkEnd w:id="9"/>
      <w:r>
        <w:rPr>
          <w:rFonts w:ascii="Times New Roman" w:eastAsia="Times New Roman" w:hAnsi="Times New Roman" w:cs="Times New Roman"/>
          <w:color w:val="000000"/>
          <w:sz w:val="20"/>
          <w:szCs w:val="20"/>
        </w:rPr>
        <w:t>10. Based on a meeting that I attended, these can take the forms of mechanical interactives, touchable things, replications of landscapes, video games, etc.</w:t>
      </w:r>
    </w:p>
    <w:p w14:paraId="2A86E291" w14:textId="77777777" w:rsidR="00035E23" w:rsidRDefault="00035E23" w:rsidP="00BE53D1">
      <w:pPr>
        <w:jc w:val="both"/>
        <w:rPr>
          <w:rFonts w:ascii="Times New Roman" w:eastAsia="Times New Roman" w:hAnsi="Times New Roman" w:cs="Times New Roman"/>
          <w:color w:val="000000"/>
          <w:sz w:val="20"/>
          <w:szCs w:val="20"/>
        </w:rPr>
      </w:pPr>
    </w:p>
    <w:p w14:paraId="13AE950B" w14:textId="77777777" w:rsidR="00035E23" w:rsidRDefault="00A363AC" w:rsidP="00BE53D1">
      <w:pPr>
        <w:jc w:val="both"/>
        <w:rPr>
          <w:rFonts w:ascii="Times New Roman" w:eastAsia="Times New Roman" w:hAnsi="Times New Roman" w:cs="Times New Roman"/>
          <w:color w:val="000000"/>
          <w:sz w:val="20"/>
          <w:szCs w:val="20"/>
        </w:rPr>
      </w:pPr>
      <w:bookmarkStart w:id="10" w:name="bookmark=id.17dp8vu" w:colFirst="0" w:colLast="0"/>
      <w:bookmarkEnd w:id="10"/>
      <w:r>
        <w:rPr>
          <w:rFonts w:ascii="Times New Roman" w:eastAsia="Times New Roman" w:hAnsi="Times New Roman" w:cs="Times New Roman"/>
          <w:color w:val="000000"/>
          <w:sz w:val="20"/>
          <w:szCs w:val="20"/>
        </w:rPr>
        <w:t>11. These books were- Arjun Appadurai’s The Future as a Cultural Fact: Essay on the Global Condit</w:t>
      </w:r>
      <w:r>
        <w:rPr>
          <w:rFonts w:ascii="Times New Roman" w:eastAsia="Times New Roman" w:hAnsi="Times New Roman" w:cs="Times New Roman"/>
          <w:color w:val="000000"/>
          <w:sz w:val="20"/>
          <w:szCs w:val="20"/>
        </w:rPr>
        <w:t>ion (2013); Anna Tsing’s Mushroom at the End of the World: on the Possibility of Life in Capitalist Ruins (2015), and Rebecca Bryant and Daniel Knight’s The Anthropology of the Future (2019) (Baas et al. 2020:123)</w:t>
      </w:r>
    </w:p>
    <w:p w14:paraId="13CA63B1" w14:textId="77777777" w:rsidR="00035E23" w:rsidRDefault="00035E23" w:rsidP="00BE53D1">
      <w:pPr>
        <w:jc w:val="both"/>
        <w:rPr>
          <w:rFonts w:ascii="Times New Roman" w:eastAsia="Times New Roman" w:hAnsi="Times New Roman" w:cs="Times New Roman"/>
          <w:color w:val="000000"/>
          <w:sz w:val="20"/>
          <w:szCs w:val="20"/>
        </w:rPr>
      </w:pPr>
    </w:p>
    <w:p w14:paraId="565F3F3D" w14:textId="77777777" w:rsidR="00035E23" w:rsidRDefault="00A363AC" w:rsidP="00BE53D1">
      <w:pPr>
        <w:jc w:val="both"/>
        <w:rPr>
          <w:rFonts w:ascii="Times New Roman" w:eastAsia="Times New Roman" w:hAnsi="Times New Roman" w:cs="Times New Roman"/>
          <w:color w:val="000000"/>
          <w:sz w:val="20"/>
          <w:szCs w:val="20"/>
        </w:rPr>
      </w:pPr>
      <w:bookmarkStart w:id="11" w:name="bookmark=id.3rdcrjn" w:colFirst="0" w:colLast="0"/>
      <w:bookmarkEnd w:id="11"/>
      <w:r>
        <w:rPr>
          <w:rFonts w:ascii="Times New Roman" w:eastAsia="Times New Roman" w:hAnsi="Times New Roman" w:cs="Times New Roman"/>
          <w:color w:val="000000"/>
          <w:sz w:val="20"/>
          <w:szCs w:val="20"/>
        </w:rPr>
        <w:t>12. An understanding of objects as auton</w:t>
      </w:r>
      <w:r>
        <w:rPr>
          <w:rFonts w:ascii="Times New Roman" w:eastAsia="Times New Roman" w:hAnsi="Times New Roman" w:cs="Times New Roman"/>
          <w:color w:val="000000"/>
          <w:sz w:val="20"/>
          <w:szCs w:val="20"/>
        </w:rPr>
        <w:t>omous can be developed by looking at the work of Graham Harman. In his book, Guerrilla Metaphysics: Phenomenology and the Carpentry of Things, he makes the following statement- “…the substance or object is the carnival tent itself, apart from any of the re</w:t>
      </w:r>
      <w:r>
        <w:rPr>
          <w:rFonts w:ascii="Times New Roman" w:eastAsia="Times New Roman" w:hAnsi="Times New Roman" w:cs="Times New Roman"/>
          <w:color w:val="000000"/>
          <w:sz w:val="20"/>
          <w:szCs w:val="20"/>
        </w:rPr>
        <w:t>lations or effects that link it to the rest of the world… [It] remains a unitary substance beyond its impact on others…” He further adds that “[t]hey are not ultimate materials, but autonomous forms, forms somehow coiled up or folded in the crevices of the</w:t>
      </w:r>
      <w:r>
        <w:rPr>
          <w:rFonts w:ascii="Times New Roman" w:eastAsia="Times New Roman" w:hAnsi="Times New Roman" w:cs="Times New Roman"/>
          <w:color w:val="000000"/>
          <w:sz w:val="20"/>
          <w:szCs w:val="20"/>
        </w:rPr>
        <w:t xml:space="preserve"> world and exerting their power on all that approaches them. This is [his] definition of substance, a term well worth salvaging: an object or substance is a real thing considered apart from any of its relations with other such things” (Harman 2005:19) </w:t>
      </w:r>
    </w:p>
    <w:p w14:paraId="58239904" w14:textId="77777777" w:rsidR="00035E23" w:rsidRDefault="00035E23" w:rsidP="00BE53D1">
      <w:pPr>
        <w:jc w:val="both"/>
        <w:rPr>
          <w:rFonts w:ascii="Times New Roman" w:eastAsia="Times New Roman" w:hAnsi="Times New Roman" w:cs="Times New Roman"/>
          <w:color w:val="000000"/>
          <w:sz w:val="20"/>
          <w:szCs w:val="20"/>
        </w:rPr>
      </w:pPr>
    </w:p>
    <w:p w14:paraId="7071EC1F" w14:textId="388BDC2C" w:rsidR="00035E23" w:rsidRDefault="00A363AC" w:rsidP="00A363AC">
      <w:pPr>
        <w:jc w:val="both"/>
        <w:rPr>
          <w:rFonts w:ascii="Times New Roman" w:eastAsia="Times New Roman" w:hAnsi="Times New Roman" w:cs="Times New Roman"/>
          <w:color w:val="000000"/>
          <w:sz w:val="20"/>
          <w:szCs w:val="20"/>
        </w:rPr>
      </w:pPr>
      <w:bookmarkStart w:id="12" w:name="bookmark=id.26in1rg" w:colFirst="0" w:colLast="0"/>
      <w:bookmarkEnd w:id="12"/>
      <w:r>
        <w:rPr>
          <w:rFonts w:ascii="Times New Roman" w:eastAsia="Times New Roman" w:hAnsi="Times New Roman" w:cs="Times New Roman"/>
          <w:color w:val="000000"/>
          <w:sz w:val="20"/>
          <w:szCs w:val="20"/>
        </w:rPr>
        <w:t>1</w:t>
      </w:r>
      <w:r>
        <w:rPr>
          <w:rFonts w:ascii="Times New Roman" w:eastAsia="Times New Roman" w:hAnsi="Times New Roman" w:cs="Times New Roman"/>
          <w:color w:val="000000"/>
          <w:sz w:val="20"/>
          <w:szCs w:val="20"/>
        </w:rPr>
        <w:t>3. While it is not known what community the musician belongs to, and neither should it be assumed that all native communities think alike, the idea that objects are alive is a belief held by other native American communities as well (possibly different fro</w:t>
      </w:r>
      <w:r>
        <w:rPr>
          <w:rFonts w:ascii="Times New Roman" w:eastAsia="Times New Roman" w:hAnsi="Times New Roman" w:cs="Times New Roman"/>
          <w:color w:val="000000"/>
          <w:sz w:val="20"/>
          <w:szCs w:val="20"/>
        </w:rPr>
        <w:t>m that of the musician). An article published by the Smithsonian Magazine in 2008 spoke of a repatriation of sacred Apache objects by the National Museum of the American Indians to their native community in Arizona. It was stated in the article that the sh</w:t>
      </w:r>
      <w:r>
        <w:rPr>
          <w:rFonts w:ascii="Times New Roman" w:eastAsia="Times New Roman" w:hAnsi="Times New Roman" w:cs="Times New Roman"/>
          <w:color w:val="000000"/>
          <w:sz w:val="20"/>
          <w:szCs w:val="20"/>
        </w:rPr>
        <w:t xml:space="preserve">ipping crates that carried masks and other artifacts featured breathing holes for the </w:t>
      </w:r>
      <w:proofErr w:type="spellStart"/>
      <w:r>
        <w:rPr>
          <w:rFonts w:ascii="Times New Roman" w:eastAsia="Times New Roman" w:hAnsi="Times New Roman" w:cs="Times New Roman"/>
          <w:color w:val="000000"/>
          <w:sz w:val="20"/>
          <w:szCs w:val="20"/>
        </w:rPr>
        <w:t>Apaches</w:t>
      </w:r>
      <w:proofErr w:type="spellEnd"/>
      <w:r>
        <w:rPr>
          <w:rFonts w:ascii="Times New Roman" w:eastAsia="Times New Roman" w:hAnsi="Times New Roman" w:cs="Times New Roman"/>
          <w:color w:val="000000"/>
          <w:sz w:val="20"/>
          <w:szCs w:val="20"/>
        </w:rPr>
        <w:t xml:space="preserve"> believed they were </w:t>
      </w:r>
      <w:r>
        <w:rPr>
          <w:rFonts w:ascii="Times New Roman" w:eastAsia="Times New Roman" w:hAnsi="Times New Roman" w:cs="Times New Roman"/>
          <w:i/>
          <w:color w:val="000000"/>
          <w:sz w:val="20"/>
          <w:szCs w:val="20"/>
        </w:rPr>
        <w:t>alive</w:t>
      </w:r>
      <w:r>
        <w:rPr>
          <w:rFonts w:ascii="Times New Roman" w:eastAsia="Times New Roman" w:hAnsi="Times New Roman" w:cs="Times New Roman"/>
          <w:color w:val="000000"/>
          <w:sz w:val="20"/>
          <w:szCs w:val="20"/>
        </w:rPr>
        <w:t xml:space="preserve">. </w:t>
      </w:r>
    </w:p>
    <w:p w14:paraId="5D7C51F4" w14:textId="77777777" w:rsidR="00035E23" w:rsidRDefault="00035E23">
      <w:pPr>
        <w:pBdr>
          <w:bottom w:val="single" w:sz="12" w:space="1" w:color="000000"/>
        </w:pBdr>
        <w:rPr>
          <w:rFonts w:ascii="Times New Roman" w:eastAsia="Times New Roman" w:hAnsi="Times New Roman" w:cs="Times New Roman"/>
          <w:color w:val="000000"/>
          <w:sz w:val="20"/>
          <w:szCs w:val="20"/>
        </w:rPr>
      </w:pPr>
    </w:p>
    <w:p w14:paraId="0560DEAD" w14:textId="77777777" w:rsidR="00035E23" w:rsidRDefault="00035E23">
      <w:pPr>
        <w:rPr>
          <w:rFonts w:ascii="Times New Roman" w:eastAsia="Times New Roman" w:hAnsi="Times New Roman" w:cs="Times New Roman"/>
          <w:i/>
          <w:color w:val="000000"/>
          <w:sz w:val="20"/>
          <w:szCs w:val="20"/>
        </w:rPr>
      </w:pPr>
    </w:p>
    <w:p w14:paraId="704B4EF0" w14:textId="77777777" w:rsidR="00035E23" w:rsidRDefault="00035E23">
      <w:pPr>
        <w:ind w:firstLine="720"/>
        <w:rPr>
          <w:rFonts w:ascii="Times New Roman" w:eastAsia="Times New Roman" w:hAnsi="Times New Roman" w:cs="Times New Roman"/>
          <w:i/>
          <w:color w:val="000000"/>
          <w:sz w:val="20"/>
          <w:szCs w:val="20"/>
        </w:rPr>
      </w:pPr>
    </w:p>
    <w:p w14:paraId="57B56814" w14:textId="77777777" w:rsidR="00A745CD" w:rsidRPr="00004C5A" w:rsidRDefault="00A745CD" w:rsidP="00A745CD">
      <w:pPr>
        <w:autoSpaceDE w:val="0"/>
        <w:autoSpaceDN w:val="0"/>
        <w:adjustRightInd w:val="0"/>
        <w:jc w:val="center"/>
        <w:rPr>
          <w:rFonts w:ascii="Times New Roman" w:eastAsia="Times New Roman" w:hAnsi="Times New Roman" w:cs="Times New Roman"/>
          <w:b/>
          <w:bCs/>
          <w:sz w:val="20"/>
          <w:szCs w:val="20"/>
        </w:rPr>
      </w:pPr>
      <w:r w:rsidRPr="00004C5A">
        <w:rPr>
          <w:rFonts w:ascii="Times New Roman" w:eastAsia="Times New Roman" w:hAnsi="Times New Roman" w:cs="Times New Roman"/>
          <w:b/>
          <w:bCs/>
          <w:sz w:val="20"/>
          <w:szCs w:val="20"/>
        </w:rPr>
        <w:t>References</w:t>
      </w:r>
    </w:p>
    <w:p w14:paraId="6566B722" w14:textId="77777777" w:rsidR="00A745CD" w:rsidRDefault="00A745CD" w:rsidP="00A745CD">
      <w:pPr>
        <w:autoSpaceDE w:val="0"/>
        <w:autoSpaceDN w:val="0"/>
        <w:adjustRightInd w:val="0"/>
        <w:rPr>
          <w:rFonts w:ascii="Times New Roman" w:eastAsia="Times New Roman" w:hAnsi="Times New Roman" w:cs="Times New Roman"/>
          <w:sz w:val="20"/>
          <w:szCs w:val="20"/>
        </w:rPr>
      </w:pPr>
    </w:p>
    <w:p w14:paraId="308C7476" w14:textId="77777777" w:rsidR="00A745CD" w:rsidRPr="001A7195" w:rsidRDefault="00A745CD" w:rsidP="00A745CD">
      <w:pPr>
        <w:autoSpaceDE w:val="0"/>
        <w:autoSpaceDN w:val="0"/>
        <w:adjustRightInd w:val="0"/>
        <w:rPr>
          <w:rFonts w:ascii="Times New Roman" w:hAnsi="Times New Roman" w:cs="Times New Roman"/>
          <w:i/>
          <w:iCs/>
          <w:color w:val="000000" w:themeColor="text1"/>
          <w:sz w:val="20"/>
          <w:szCs w:val="20"/>
        </w:rPr>
      </w:pPr>
      <w:proofErr w:type="spellStart"/>
      <w:r w:rsidRPr="00F1309F">
        <w:rPr>
          <w:rFonts w:ascii="Times New Roman" w:eastAsia="Times New Roman" w:hAnsi="Times New Roman" w:cs="Times New Roman"/>
          <w:sz w:val="20"/>
          <w:szCs w:val="20"/>
        </w:rPr>
        <w:t>Andermann</w:t>
      </w:r>
      <w:proofErr w:type="spellEnd"/>
      <w:r w:rsidRPr="00F1309F">
        <w:rPr>
          <w:rFonts w:ascii="Times New Roman" w:eastAsia="Times New Roman" w:hAnsi="Times New Roman" w:cs="Times New Roman"/>
          <w:sz w:val="20"/>
          <w:szCs w:val="20"/>
        </w:rPr>
        <w:t xml:space="preserve">, Jens, and Silke Arnold-de </w:t>
      </w:r>
      <w:proofErr w:type="spellStart"/>
      <w:r w:rsidRPr="00F1309F">
        <w:rPr>
          <w:rFonts w:ascii="Times New Roman" w:eastAsia="Times New Roman" w:hAnsi="Times New Roman" w:cs="Times New Roman"/>
          <w:sz w:val="20"/>
          <w:szCs w:val="20"/>
        </w:rPr>
        <w:t>Simine</w:t>
      </w:r>
      <w:proofErr w:type="spellEnd"/>
    </w:p>
    <w:p w14:paraId="175C95EE" w14:textId="77777777" w:rsidR="00A745CD"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F1309F">
        <w:rPr>
          <w:rFonts w:ascii="Times New Roman" w:eastAsia="Times New Roman" w:hAnsi="Times New Roman" w:cs="Times New Roman"/>
          <w:sz w:val="20"/>
          <w:szCs w:val="20"/>
        </w:rPr>
        <w:t xml:space="preserve">2012 Museums and the Educational Turn: History, Memory, Inclusivity. Journal of Educational Media, Memory, </w:t>
      </w:r>
    </w:p>
    <w:p w14:paraId="55F094BD" w14:textId="77777777" w:rsidR="00A745CD" w:rsidRPr="00F1309F" w:rsidRDefault="00A745CD" w:rsidP="00A745CD">
      <w:pPr>
        <w:ind w:firstLine="720"/>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and Society 4(2):1–7. </w:t>
      </w:r>
      <w:hyperlink r:id="rId10" w:history="1">
        <w:r w:rsidRPr="00F1309F">
          <w:rPr>
            <w:rStyle w:val="Hyperlink"/>
            <w:rFonts w:ascii="Times New Roman" w:eastAsia="Times New Roman" w:hAnsi="Times New Roman" w:cs="Times New Roman"/>
            <w:sz w:val="20"/>
            <w:szCs w:val="20"/>
          </w:rPr>
          <w:t>https://www.jstor.org/stable/43049388</w:t>
        </w:r>
      </w:hyperlink>
      <w:r w:rsidRPr="00F1309F">
        <w:rPr>
          <w:rFonts w:ascii="Times New Roman" w:eastAsia="Times New Roman" w:hAnsi="Times New Roman" w:cs="Times New Roman"/>
          <w:sz w:val="20"/>
          <w:szCs w:val="20"/>
        </w:rPr>
        <w:t xml:space="preserve">. </w:t>
      </w:r>
    </w:p>
    <w:p w14:paraId="0987093B" w14:textId="77777777" w:rsidR="00A745CD" w:rsidRPr="00F1309F" w:rsidRDefault="00A745CD" w:rsidP="00A745CD">
      <w:pPr>
        <w:ind w:left="720"/>
        <w:rPr>
          <w:rFonts w:ascii="Times New Roman" w:eastAsia="Times New Roman" w:hAnsi="Times New Roman" w:cs="Times New Roman"/>
          <w:sz w:val="20"/>
          <w:szCs w:val="20"/>
        </w:rPr>
      </w:pPr>
    </w:p>
    <w:p w14:paraId="1C79C57F" w14:textId="77777777" w:rsidR="00A745CD" w:rsidRPr="00F1309F" w:rsidRDefault="00A745CD" w:rsidP="00A745CD">
      <w:pPr>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Baas, Silke, </w:t>
      </w:r>
      <w:proofErr w:type="spellStart"/>
      <w:r w:rsidRPr="00F1309F">
        <w:rPr>
          <w:rFonts w:ascii="Times New Roman" w:eastAsia="Times New Roman" w:hAnsi="Times New Roman" w:cs="Times New Roman"/>
          <w:sz w:val="20"/>
          <w:szCs w:val="20"/>
        </w:rPr>
        <w:t>Louisanne</w:t>
      </w:r>
      <w:proofErr w:type="spellEnd"/>
      <w:r w:rsidRPr="00F1309F">
        <w:rPr>
          <w:rFonts w:ascii="Times New Roman" w:eastAsia="Times New Roman" w:hAnsi="Times New Roman" w:cs="Times New Roman"/>
          <w:sz w:val="20"/>
          <w:szCs w:val="20"/>
        </w:rPr>
        <w:t xml:space="preserve"> van </w:t>
      </w:r>
      <w:proofErr w:type="spellStart"/>
      <w:r w:rsidRPr="00F1309F">
        <w:rPr>
          <w:rFonts w:ascii="Times New Roman" w:eastAsia="Times New Roman" w:hAnsi="Times New Roman" w:cs="Times New Roman"/>
          <w:sz w:val="20"/>
          <w:szCs w:val="20"/>
        </w:rPr>
        <w:t>Hooff</w:t>
      </w:r>
      <w:proofErr w:type="spellEnd"/>
      <w:r w:rsidRPr="00F1309F">
        <w:rPr>
          <w:rFonts w:ascii="Times New Roman" w:eastAsia="Times New Roman" w:hAnsi="Times New Roman" w:cs="Times New Roman"/>
          <w:sz w:val="20"/>
          <w:szCs w:val="20"/>
        </w:rPr>
        <w:t xml:space="preserve">, </w:t>
      </w:r>
      <w:proofErr w:type="spellStart"/>
      <w:r w:rsidRPr="00F1309F">
        <w:rPr>
          <w:rFonts w:ascii="Times New Roman" w:eastAsia="Times New Roman" w:hAnsi="Times New Roman" w:cs="Times New Roman"/>
          <w:sz w:val="20"/>
          <w:szCs w:val="20"/>
        </w:rPr>
        <w:t>Weera</w:t>
      </w:r>
      <w:proofErr w:type="spellEnd"/>
      <w:r w:rsidRPr="00F1309F">
        <w:rPr>
          <w:rFonts w:ascii="Times New Roman" w:eastAsia="Times New Roman" w:hAnsi="Times New Roman" w:cs="Times New Roman"/>
          <w:sz w:val="20"/>
          <w:szCs w:val="20"/>
        </w:rPr>
        <w:t xml:space="preserve"> Koopman, et al.</w:t>
      </w:r>
    </w:p>
    <w:p w14:paraId="069A614C" w14:textId="77777777" w:rsidR="00A745CD"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     </w:t>
      </w:r>
      <w:r w:rsidRPr="00F1309F">
        <w:rPr>
          <w:rFonts w:ascii="Times New Roman" w:eastAsia="Times New Roman" w:hAnsi="Times New Roman" w:cs="Times New Roman"/>
          <w:sz w:val="20"/>
          <w:szCs w:val="20"/>
        </w:rPr>
        <w:t xml:space="preserve">2020 On Futures Multi-Modal Reflections on Studying the Anthropology of the Future. </w:t>
      </w:r>
      <w:proofErr w:type="spellStart"/>
      <w:r w:rsidRPr="00F1309F">
        <w:rPr>
          <w:rFonts w:ascii="Times New Roman" w:eastAsia="Times New Roman" w:hAnsi="Times New Roman" w:cs="Times New Roman"/>
          <w:sz w:val="20"/>
          <w:szCs w:val="20"/>
        </w:rPr>
        <w:t>Stichting</w:t>
      </w:r>
      <w:proofErr w:type="spellEnd"/>
      <w:r w:rsidRPr="00F1309F">
        <w:rPr>
          <w:rFonts w:ascii="Times New Roman" w:eastAsia="Times New Roman" w:hAnsi="Times New Roman" w:cs="Times New Roman"/>
          <w:sz w:val="20"/>
          <w:szCs w:val="20"/>
        </w:rPr>
        <w:t xml:space="preserve"> </w:t>
      </w:r>
      <w:proofErr w:type="spellStart"/>
      <w:r w:rsidRPr="00F1309F">
        <w:rPr>
          <w:rFonts w:ascii="Times New Roman" w:eastAsia="Times New Roman" w:hAnsi="Times New Roman" w:cs="Times New Roman"/>
          <w:sz w:val="20"/>
          <w:szCs w:val="20"/>
        </w:rPr>
        <w:t>Etnofoor</w:t>
      </w:r>
      <w:proofErr w:type="spellEnd"/>
      <w:r w:rsidRPr="00F1309F">
        <w:rPr>
          <w:rFonts w:ascii="Times New Roman" w:eastAsia="Times New Roman" w:hAnsi="Times New Roman" w:cs="Times New Roman"/>
          <w:sz w:val="20"/>
          <w:szCs w:val="20"/>
        </w:rPr>
        <w:t xml:space="preserve"> 32(1). </w:t>
      </w:r>
    </w:p>
    <w:p w14:paraId="6B935103" w14:textId="77777777" w:rsidR="00A745CD" w:rsidRPr="00F1309F" w:rsidRDefault="00A745CD" w:rsidP="00A745CD">
      <w:pPr>
        <w:ind w:firstLine="720"/>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Futures:123–138. </w:t>
      </w:r>
      <w:hyperlink r:id="rId11" w:history="1">
        <w:r w:rsidRPr="00F1309F">
          <w:rPr>
            <w:rStyle w:val="Hyperlink"/>
            <w:rFonts w:ascii="Times New Roman" w:eastAsia="Times New Roman" w:hAnsi="Times New Roman" w:cs="Times New Roman"/>
            <w:sz w:val="20"/>
            <w:szCs w:val="20"/>
          </w:rPr>
          <w:t>https://www.jstor.org/stable/10.2307/26924854</w:t>
        </w:r>
      </w:hyperlink>
      <w:r w:rsidRPr="00F1309F">
        <w:rPr>
          <w:rFonts w:ascii="Times New Roman" w:eastAsia="Times New Roman" w:hAnsi="Times New Roman" w:cs="Times New Roman"/>
          <w:sz w:val="20"/>
          <w:szCs w:val="20"/>
        </w:rPr>
        <w:t xml:space="preserve">. </w:t>
      </w:r>
    </w:p>
    <w:p w14:paraId="0D97C6F8" w14:textId="77777777" w:rsidR="00A745CD" w:rsidRPr="00F1309F" w:rsidRDefault="00A745CD" w:rsidP="00A745CD">
      <w:pPr>
        <w:autoSpaceDE w:val="0"/>
        <w:autoSpaceDN w:val="0"/>
        <w:adjustRightInd w:val="0"/>
        <w:ind w:firstLine="720"/>
        <w:rPr>
          <w:rFonts w:ascii="Times New Roman" w:hAnsi="Times New Roman" w:cs="Times New Roman"/>
          <w:color w:val="000000" w:themeColor="text1"/>
          <w:sz w:val="20"/>
          <w:szCs w:val="20"/>
        </w:rPr>
      </w:pPr>
    </w:p>
    <w:p w14:paraId="12B8DAB5"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Barcelona Museum of Contemporary Art</w:t>
      </w:r>
    </w:p>
    <w:p w14:paraId="58AB1796" w14:textId="77777777" w:rsidR="00A745CD" w:rsidRDefault="00A745CD" w:rsidP="00A745CD">
      <w:pPr>
        <w:autoSpaceDE w:val="0"/>
        <w:autoSpaceDN w:val="0"/>
        <w:adjustRightInd w:val="0"/>
        <w:rPr>
          <w:rFonts w:ascii="Times New Roman" w:hAnsi="Times New Roman" w:cs="Times New Roman"/>
          <w:sz w:val="20"/>
          <w:szCs w:val="20"/>
        </w:rPr>
      </w:pPr>
      <w:r>
        <w:rPr>
          <w:rFonts w:ascii="Times New Roman" w:hAnsi="Times New Roman" w:cs="Times New Roman"/>
          <w:color w:val="000000" w:themeColor="text1"/>
          <w:sz w:val="20"/>
          <w:szCs w:val="20"/>
        </w:rPr>
        <w:t xml:space="preserve">     </w:t>
      </w:r>
      <w:r w:rsidRPr="00F1309F">
        <w:rPr>
          <w:rFonts w:ascii="Times New Roman" w:hAnsi="Times New Roman" w:cs="Times New Roman"/>
          <w:color w:val="000000" w:themeColor="text1"/>
          <w:sz w:val="20"/>
          <w:szCs w:val="20"/>
        </w:rPr>
        <w:t xml:space="preserve">n.d. </w:t>
      </w:r>
      <w:r w:rsidRPr="00F1309F">
        <w:rPr>
          <w:rFonts w:ascii="Times New Roman" w:hAnsi="Times New Roman" w:cs="Times New Roman"/>
          <w:i/>
          <w:iCs/>
          <w:color w:val="000000" w:themeColor="text1"/>
          <w:sz w:val="20"/>
          <w:szCs w:val="20"/>
        </w:rPr>
        <w:t>Condensation Cube, 1965 (2006) (2013)</w:t>
      </w:r>
      <w:r w:rsidRPr="00F1309F">
        <w:rPr>
          <w:rFonts w:ascii="Times New Roman" w:hAnsi="Times New Roman" w:cs="Times New Roman"/>
          <w:color w:val="000000" w:themeColor="text1"/>
          <w:sz w:val="20"/>
          <w:szCs w:val="20"/>
        </w:rPr>
        <w:t xml:space="preserve">. Accessed May 10, 2020. </w:t>
      </w:r>
      <w:hyperlink r:id="rId12" w:history="1">
        <w:r w:rsidRPr="00D72B26">
          <w:rPr>
            <w:rStyle w:val="Hyperlink"/>
            <w:rFonts w:ascii="Times New Roman" w:hAnsi="Times New Roman" w:cs="Times New Roman"/>
            <w:sz w:val="20"/>
            <w:szCs w:val="20"/>
          </w:rPr>
          <w:t>https://www.macba.cat/en/art-artists/</w:t>
        </w:r>
      </w:hyperlink>
      <w:r w:rsidRPr="001A7195">
        <w:rPr>
          <w:rFonts w:ascii="Times New Roman" w:hAnsi="Times New Roman" w:cs="Times New Roman"/>
          <w:sz w:val="20"/>
          <w:szCs w:val="20"/>
        </w:rPr>
        <w:t xml:space="preserve"> </w:t>
      </w:r>
    </w:p>
    <w:p w14:paraId="36B4BA6C" w14:textId="77777777" w:rsidR="00A745CD" w:rsidRPr="00F1309F" w:rsidRDefault="00A745CD" w:rsidP="00A745CD">
      <w:pPr>
        <w:autoSpaceDE w:val="0"/>
        <w:autoSpaceDN w:val="0"/>
        <w:adjustRightInd w:val="0"/>
        <w:ind w:firstLine="720"/>
        <w:rPr>
          <w:rFonts w:ascii="Times New Roman" w:hAnsi="Times New Roman" w:cs="Times New Roman"/>
          <w:color w:val="000000" w:themeColor="text1"/>
          <w:sz w:val="20"/>
          <w:szCs w:val="20"/>
        </w:rPr>
      </w:pPr>
      <w:r w:rsidRPr="001A7195">
        <w:rPr>
          <w:rFonts w:ascii="Times New Roman" w:hAnsi="Times New Roman" w:cs="Times New Roman"/>
          <w:color w:val="4472C4" w:themeColor="accent1"/>
          <w:sz w:val="20"/>
          <w:szCs w:val="20"/>
          <w:u w:val="single"/>
        </w:rPr>
        <w:t>artists/</w:t>
      </w:r>
      <w:proofErr w:type="spellStart"/>
      <w:r w:rsidRPr="001A7195">
        <w:rPr>
          <w:rFonts w:ascii="Times New Roman" w:hAnsi="Times New Roman" w:cs="Times New Roman"/>
          <w:color w:val="4472C4" w:themeColor="accent1"/>
          <w:sz w:val="20"/>
          <w:szCs w:val="20"/>
          <w:u w:val="single"/>
        </w:rPr>
        <w:t>haacke-hans</w:t>
      </w:r>
      <w:proofErr w:type="spellEnd"/>
      <w:r w:rsidRPr="001A7195">
        <w:rPr>
          <w:rFonts w:ascii="Times New Roman" w:hAnsi="Times New Roman" w:cs="Times New Roman"/>
          <w:color w:val="4472C4" w:themeColor="accent1"/>
          <w:sz w:val="20"/>
          <w:szCs w:val="20"/>
          <w:u w:val="single"/>
        </w:rPr>
        <w:t>/condensation-cube</w:t>
      </w:r>
      <w:r w:rsidRPr="00F1309F">
        <w:rPr>
          <w:rFonts w:ascii="Times New Roman" w:hAnsi="Times New Roman" w:cs="Times New Roman"/>
          <w:color w:val="000000" w:themeColor="text1"/>
          <w:sz w:val="20"/>
          <w:szCs w:val="20"/>
        </w:rPr>
        <w:t xml:space="preserve">. </w:t>
      </w:r>
    </w:p>
    <w:p w14:paraId="4E608E69"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p>
    <w:p w14:paraId="69442F6E"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 xml:space="preserve">Beek, </w:t>
      </w:r>
      <w:proofErr w:type="spellStart"/>
      <w:r w:rsidRPr="00F1309F">
        <w:rPr>
          <w:rFonts w:ascii="Times New Roman" w:hAnsi="Times New Roman" w:cs="Times New Roman"/>
          <w:color w:val="000000" w:themeColor="text1"/>
          <w:sz w:val="20"/>
          <w:szCs w:val="20"/>
        </w:rPr>
        <w:t>Gosewijn</w:t>
      </w:r>
      <w:proofErr w:type="spellEnd"/>
      <w:r w:rsidRPr="00F1309F">
        <w:rPr>
          <w:rFonts w:ascii="Times New Roman" w:hAnsi="Times New Roman" w:cs="Times New Roman"/>
          <w:color w:val="000000" w:themeColor="text1"/>
          <w:sz w:val="20"/>
          <w:szCs w:val="20"/>
        </w:rPr>
        <w:t xml:space="preserve"> van</w:t>
      </w:r>
    </w:p>
    <w:p w14:paraId="77DC6E44" w14:textId="77777777" w:rsidR="00A745CD" w:rsidRDefault="00A745CD" w:rsidP="00A745CD">
      <w:pPr>
        <w:autoSpaceDE w:val="0"/>
        <w:autoSpaceDN w:val="0"/>
        <w:adjustRightInd w:val="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Pr="00F1309F">
        <w:rPr>
          <w:rFonts w:ascii="Times New Roman" w:hAnsi="Times New Roman" w:cs="Times New Roman"/>
          <w:color w:val="000000" w:themeColor="text1"/>
          <w:sz w:val="20"/>
          <w:szCs w:val="20"/>
        </w:rPr>
        <w:t xml:space="preserve">1990 The Rites of Things A Critical View of Museums, Objects, and Metaphors. </w:t>
      </w:r>
      <w:proofErr w:type="spellStart"/>
      <w:r w:rsidRPr="00F1309F">
        <w:rPr>
          <w:rFonts w:ascii="Times New Roman" w:hAnsi="Times New Roman" w:cs="Times New Roman"/>
          <w:color w:val="000000" w:themeColor="text1"/>
          <w:sz w:val="20"/>
          <w:szCs w:val="20"/>
        </w:rPr>
        <w:t>Etnofoor</w:t>
      </w:r>
      <w:proofErr w:type="spellEnd"/>
      <w:r w:rsidRPr="00F1309F">
        <w:rPr>
          <w:rFonts w:ascii="Times New Roman" w:hAnsi="Times New Roman" w:cs="Times New Roman"/>
          <w:color w:val="000000" w:themeColor="text1"/>
          <w:sz w:val="20"/>
          <w:szCs w:val="20"/>
        </w:rPr>
        <w:t xml:space="preserve">, </w:t>
      </w:r>
      <w:proofErr w:type="spellStart"/>
      <w:r w:rsidRPr="00F1309F">
        <w:rPr>
          <w:rFonts w:ascii="Times New Roman" w:hAnsi="Times New Roman" w:cs="Times New Roman"/>
          <w:color w:val="000000" w:themeColor="text1"/>
          <w:sz w:val="20"/>
          <w:szCs w:val="20"/>
        </w:rPr>
        <w:t>Jaarg</w:t>
      </w:r>
      <w:proofErr w:type="spellEnd"/>
      <w:r w:rsidRPr="00F1309F">
        <w:rPr>
          <w:rFonts w:ascii="Times New Roman" w:hAnsi="Times New Roman" w:cs="Times New Roman"/>
          <w:color w:val="000000" w:themeColor="text1"/>
          <w:sz w:val="20"/>
          <w:szCs w:val="20"/>
        </w:rPr>
        <w:t xml:space="preserve">. 3, Nr. 1, </w:t>
      </w:r>
    </w:p>
    <w:p w14:paraId="5E7F28B4" w14:textId="77777777" w:rsidR="00A745CD" w:rsidRPr="00F1309F" w:rsidRDefault="00A745CD" w:rsidP="00A745CD">
      <w:pPr>
        <w:autoSpaceDE w:val="0"/>
        <w:autoSpaceDN w:val="0"/>
        <w:adjustRightInd w:val="0"/>
        <w:ind w:firstLine="72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 xml:space="preserve">FETISHISM:26-44. </w:t>
      </w:r>
    </w:p>
    <w:p w14:paraId="4F4960EC" w14:textId="77777777" w:rsidR="00A745CD" w:rsidRPr="00F1309F" w:rsidRDefault="00A745CD" w:rsidP="00A745CD">
      <w:pPr>
        <w:rPr>
          <w:rFonts w:ascii="Times New Roman" w:eastAsia="Times New Roman" w:hAnsi="Times New Roman" w:cs="Times New Roman"/>
          <w:sz w:val="20"/>
          <w:szCs w:val="20"/>
        </w:rPr>
      </w:pPr>
    </w:p>
    <w:p w14:paraId="4D182E47" w14:textId="77777777" w:rsidR="00A745CD" w:rsidRPr="00F1309F" w:rsidRDefault="00A745CD" w:rsidP="00A745CD">
      <w:pPr>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Born, Georgina</w:t>
      </w:r>
    </w:p>
    <w:p w14:paraId="33B42CE4" w14:textId="77777777" w:rsidR="00A745CD" w:rsidRDefault="00A745CD" w:rsidP="00A745CD">
      <w:pPr>
        <w:ind w:left="255"/>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2015 Making Time: Temporality, History, and the Cultural Object. New Literary History 46(3):361–386. </w:t>
      </w:r>
    </w:p>
    <w:p w14:paraId="222AEB2A" w14:textId="77777777" w:rsidR="00A745CD" w:rsidRPr="00F1309F" w:rsidRDefault="00A745CD" w:rsidP="00A745CD">
      <w:pPr>
        <w:ind w:firstLine="720"/>
        <w:rPr>
          <w:rFonts w:ascii="Times New Roman" w:eastAsia="Times New Roman" w:hAnsi="Times New Roman" w:cs="Times New Roman"/>
          <w:sz w:val="20"/>
          <w:szCs w:val="20"/>
        </w:rPr>
      </w:pPr>
      <w:hyperlink r:id="rId13" w:history="1">
        <w:r w:rsidRPr="00D72B26">
          <w:rPr>
            <w:rStyle w:val="Hyperlink"/>
            <w:rFonts w:ascii="Times New Roman" w:eastAsia="Times New Roman" w:hAnsi="Times New Roman" w:cs="Times New Roman"/>
            <w:sz w:val="20"/>
            <w:szCs w:val="20"/>
          </w:rPr>
          <w:t>https://www.jstor.org/stable/24542670</w:t>
        </w:r>
      </w:hyperlink>
      <w:r w:rsidRPr="00F1309F">
        <w:rPr>
          <w:rFonts w:ascii="Times New Roman" w:eastAsia="Times New Roman" w:hAnsi="Times New Roman" w:cs="Times New Roman"/>
          <w:sz w:val="20"/>
          <w:szCs w:val="20"/>
        </w:rPr>
        <w:t xml:space="preserve">. </w:t>
      </w:r>
    </w:p>
    <w:p w14:paraId="638C76E8" w14:textId="77777777" w:rsidR="00A745CD" w:rsidRPr="00F1309F" w:rsidRDefault="00A745CD" w:rsidP="00A745CD">
      <w:pPr>
        <w:rPr>
          <w:rFonts w:ascii="Times New Roman" w:eastAsia="Times New Roman" w:hAnsi="Times New Roman" w:cs="Times New Roman"/>
          <w:sz w:val="20"/>
          <w:szCs w:val="20"/>
        </w:rPr>
      </w:pPr>
    </w:p>
    <w:p w14:paraId="1EBA9B85" w14:textId="77777777" w:rsidR="00A745CD" w:rsidRPr="00F1309F" w:rsidRDefault="00A745CD" w:rsidP="00A745CD">
      <w:pPr>
        <w:autoSpaceDE w:val="0"/>
        <w:autoSpaceDN w:val="0"/>
        <w:adjustRightInd w:val="0"/>
        <w:rPr>
          <w:rFonts w:ascii="Times New Roman" w:hAnsi="Times New Roman" w:cs="Times New Roman"/>
          <w:sz w:val="20"/>
          <w:szCs w:val="20"/>
        </w:rPr>
      </w:pPr>
      <w:proofErr w:type="spellStart"/>
      <w:r w:rsidRPr="00F1309F">
        <w:rPr>
          <w:rFonts w:ascii="Times New Roman" w:hAnsi="Times New Roman" w:cs="Times New Roman"/>
          <w:sz w:val="20"/>
          <w:szCs w:val="20"/>
        </w:rPr>
        <w:t>Brückner</w:t>
      </w:r>
      <w:proofErr w:type="spellEnd"/>
      <w:r w:rsidRPr="00F1309F">
        <w:rPr>
          <w:rFonts w:ascii="Times New Roman" w:hAnsi="Times New Roman" w:cs="Times New Roman"/>
          <w:sz w:val="20"/>
          <w:szCs w:val="20"/>
        </w:rPr>
        <w:t>, Martin</w:t>
      </w:r>
    </w:p>
    <w:p w14:paraId="77ECECBE" w14:textId="77777777" w:rsidR="00A745CD" w:rsidRPr="00F1309F" w:rsidRDefault="00A745CD" w:rsidP="00A745CD">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 xml:space="preserve">     </w:t>
      </w:r>
      <w:r w:rsidRPr="00F1309F">
        <w:rPr>
          <w:rFonts w:ascii="Times New Roman" w:hAnsi="Times New Roman" w:cs="Times New Roman"/>
          <w:sz w:val="20"/>
          <w:szCs w:val="20"/>
        </w:rPr>
        <w:t>2019 The Place of Objects and Things in the Age of Materiality. Open Cultural Studies 3.1:494-502.</w:t>
      </w:r>
    </w:p>
    <w:p w14:paraId="57433467"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p>
    <w:p w14:paraId="483E252A"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proofErr w:type="spellStart"/>
      <w:r w:rsidRPr="00F1309F">
        <w:rPr>
          <w:rFonts w:ascii="Times New Roman" w:eastAsia="Times New Roman" w:hAnsi="Times New Roman" w:cs="Times New Roman"/>
          <w:sz w:val="20"/>
          <w:szCs w:val="20"/>
        </w:rPr>
        <w:t>Casati</w:t>
      </w:r>
      <w:proofErr w:type="spellEnd"/>
      <w:r w:rsidRPr="00F1309F">
        <w:rPr>
          <w:rFonts w:ascii="Times New Roman" w:eastAsia="Times New Roman" w:hAnsi="Times New Roman" w:cs="Times New Roman"/>
          <w:sz w:val="20"/>
          <w:szCs w:val="20"/>
        </w:rPr>
        <w:t>, Roberto</w:t>
      </w:r>
    </w:p>
    <w:p w14:paraId="13249C9E" w14:textId="77777777" w:rsidR="00A745CD" w:rsidRPr="00F1309F"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F1309F">
        <w:rPr>
          <w:rFonts w:ascii="Times New Roman" w:eastAsia="Times New Roman" w:hAnsi="Times New Roman" w:cs="Times New Roman"/>
          <w:sz w:val="20"/>
          <w:szCs w:val="20"/>
        </w:rPr>
        <w:t xml:space="preserve">2004 Is the Object Concept Formal? </w:t>
      </w:r>
      <w:proofErr w:type="spellStart"/>
      <w:r w:rsidRPr="00F1309F">
        <w:rPr>
          <w:rFonts w:ascii="Times New Roman" w:eastAsia="Times New Roman" w:hAnsi="Times New Roman" w:cs="Times New Roman"/>
          <w:sz w:val="20"/>
          <w:szCs w:val="20"/>
        </w:rPr>
        <w:t>Dialectica</w:t>
      </w:r>
      <w:proofErr w:type="spellEnd"/>
      <w:r w:rsidRPr="00F1309F">
        <w:rPr>
          <w:rFonts w:ascii="Times New Roman" w:eastAsia="Times New Roman" w:hAnsi="Times New Roman" w:cs="Times New Roman"/>
          <w:sz w:val="20"/>
          <w:szCs w:val="20"/>
        </w:rPr>
        <w:t xml:space="preserve"> 58(3): 383–394. https://www.jstor.org/stable/42970845. </w:t>
      </w:r>
    </w:p>
    <w:p w14:paraId="7E992380" w14:textId="77777777" w:rsidR="00A745CD" w:rsidRPr="00F1309F" w:rsidRDefault="00A745CD" w:rsidP="00A745CD">
      <w:pPr>
        <w:rPr>
          <w:rFonts w:ascii="Times New Roman" w:eastAsia="Times New Roman" w:hAnsi="Times New Roman" w:cs="Times New Roman"/>
          <w:sz w:val="20"/>
          <w:szCs w:val="20"/>
        </w:rPr>
      </w:pPr>
    </w:p>
    <w:p w14:paraId="53F3D7FD"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Cray, Wesley D</w:t>
      </w:r>
    </w:p>
    <w:p w14:paraId="4CB1F3BB"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Pr="00F1309F">
        <w:rPr>
          <w:rFonts w:ascii="Times New Roman" w:hAnsi="Times New Roman" w:cs="Times New Roman"/>
          <w:color w:val="000000" w:themeColor="text1"/>
          <w:sz w:val="20"/>
          <w:szCs w:val="20"/>
        </w:rPr>
        <w:t xml:space="preserve">2014 Conceptual Art, Ideas, and Ontology. The Journal of Aesthetics and Art Criticism 72.3:235-245. </w:t>
      </w:r>
    </w:p>
    <w:p w14:paraId="61E01935"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p>
    <w:p w14:paraId="6D340302" w14:textId="77777777" w:rsidR="00A745CD" w:rsidRPr="00F1309F" w:rsidRDefault="00A745CD" w:rsidP="00A745CD">
      <w:pPr>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Dias, Nelia</w:t>
      </w:r>
    </w:p>
    <w:p w14:paraId="7F644E1F" w14:textId="77777777" w:rsidR="00A745CD" w:rsidRDefault="00A745CD" w:rsidP="00A745CD">
      <w:pPr>
        <w:ind w:left="255"/>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1998 The Visibility of Difference Nineteenth-Century French Anthropological Collections. Essay. </w:t>
      </w:r>
      <w:r w:rsidRPr="00F1309F">
        <w:rPr>
          <w:rFonts w:ascii="Times New Roman" w:eastAsia="Times New Roman" w:hAnsi="Times New Roman" w:cs="Times New Roman"/>
          <w:i/>
          <w:iCs/>
          <w:sz w:val="20"/>
          <w:szCs w:val="20"/>
        </w:rPr>
        <w:t>In</w:t>
      </w:r>
      <w:r w:rsidRPr="00F1309F">
        <w:rPr>
          <w:rFonts w:ascii="Times New Roman" w:eastAsia="Times New Roman" w:hAnsi="Times New Roman" w:cs="Times New Roman"/>
          <w:sz w:val="20"/>
          <w:szCs w:val="20"/>
        </w:rPr>
        <w:t xml:space="preserve"> The Politics </w:t>
      </w:r>
    </w:p>
    <w:p w14:paraId="4615F8C4" w14:textId="77777777" w:rsidR="00A745CD" w:rsidRPr="00F1309F" w:rsidRDefault="00A745CD" w:rsidP="00A745CD">
      <w:pPr>
        <w:ind w:left="720"/>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of Display: Museums, Science, Culture. Sharon Macdonald, ed. Pp. 31–45. London: Routledge, Taylor &amp; Francis Group. </w:t>
      </w:r>
    </w:p>
    <w:p w14:paraId="53F55AA2" w14:textId="77777777" w:rsidR="00A745CD" w:rsidRPr="00F1309F" w:rsidRDefault="00A745CD" w:rsidP="00A745CD">
      <w:pPr>
        <w:rPr>
          <w:rFonts w:ascii="Times New Roman" w:eastAsia="Times New Roman" w:hAnsi="Times New Roman" w:cs="Times New Roman"/>
          <w:sz w:val="20"/>
          <w:szCs w:val="20"/>
        </w:rPr>
      </w:pPr>
    </w:p>
    <w:p w14:paraId="06A2D41E" w14:textId="77777777" w:rsidR="00A745CD" w:rsidRPr="00F1309F" w:rsidRDefault="00A745CD" w:rsidP="00A745CD">
      <w:pPr>
        <w:rPr>
          <w:rFonts w:ascii="Times New Roman" w:eastAsia="Times New Roman" w:hAnsi="Times New Roman" w:cs="Times New Roman"/>
          <w:sz w:val="20"/>
          <w:szCs w:val="20"/>
        </w:rPr>
      </w:pPr>
      <w:proofErr w:type="spellStart"/>
      <w:r w:rsidRPr="00F1309F">
        <w:rPr>
          <w:rFonts w:ascii="Times New Roman" w:eastAsia="Times New Roman" w:hAnsi="Times New Roman" w:cs="Times New Roman"/>
          <w:sz w:val="20"/>
          <w:szCs w:val="20"/>
        </w:rPr>
        <w:t>Duranti</w:t>
      </w:r>
      <w:proofErr w:type="spellEnd"/>
      <w:r w:rsidRPr="00F1309F">
        <w:rPr>
          <w:rFonts w:ascii="Times New Roman" w:eastAsia="Times New Roman" w:hAnsi="Times New Roman" w:cs="Times New Roman"/>
          <w:sz w:val="20"/>
          <w:szCs w:val="20"/>
        </w:rPr>
        <w:t>, Alessandro, and Charles Goodwin</w:t>
      </w:r>
    </w:p>
    <w:p w14:paraId="2FB03F84" w14:textId="77777777" w:rsidR="00A745CD"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F1309F">
        <w:rPr>
          <w:rFonts w:ascii="Times New Roman" w:eastAsia="Times New Roman" w:hAnsi="Times New Roman" w:cs="Times New Roman"/>
          <w:sz w:val="20"/>
          <w:szCs w:val="20"/>
        </w:rPr>
        <w:t xml:space="preserve">2000 Rethinking Context: An Introduction. Essay. </w:t>
      </w:r>
      <w:r w:rsidRPr="00F1309F">
        <w:rPr>
          <w:rFonts w:ascii="Times New Roman" w:eastAsia="Times New Roman" w:hAnsi="Times New Roman" w:cs="Times New Roman"/>
          <w:i/>
          <w:iCs/>
          <w:sz w:val="20"/>
          <w:szCs w:val="20"/>
        </w:rPr>
        <w:t>In</w:t>
      </w:r>
      <w:r w:rsidRPr="00F1309F">
        <w:rPr>
          <w:rFonts w:ascii="Times New Roman" w:eastAsia="Times New Roman" w:hAnsi="Times New Roman" w:cs="Times New Roman"/>
          <w:sz w:val="20"/>
          <w:szCs w:val="20"/>
        </w:rPr>
        <w:t xml:space="preserve"> Rethinking Context: Language as an Interactive </w:t>
      </w:r>
    </w:p>
    <w:p w14:paraId="178182C6" w14:textId="77777777" w:rsidR="00A745CD" w:rsidRPr="00F1309F" w:rsidRDefault="00A745CD" w:rsidP="00A745CD">
      <w:pPr>
        <w:ind w:left="720"/>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Phenomenon Pp. 1–42. Cambridge: Cambridge Univ. Press.</w:t>
      </w:r>
    </w:p>
    <w:p w14:paraId="5E8294E8" w14:textId="77777777" w:rsidR="00A745CD" w:rsidRPr="00F1309F" w:rsidRDefault="00A745CD" w:rsidP="00A745CD">
      <w:pPr>
        <w:rPr>
          <w:rFonts w:ascii="Times New Roman" w:eastAsia="Times New Roman" w:hAnsi="Times New Roman" w:cs="Times New Roman"/>
          <w:sz w:val="20"/>
          <w:szCs w:val="20"/>
        </w:rPr>
      </w:pPr>
    </w:p>
    <w:p w14:paraId="52978436" w14:textId="77777777" w:rsidR="00A745CD" w:rsidRPr="00F1309F" w:rsidRDefault="00A745CD" w:rsidP="00A745CD">
      <w:pPr>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Field Museum</w:t>
      </w:r>
    </w:p>
    <w:p w14:paraId="19B7F618" w14:textId="77777777" w:rsidR="00A745CD"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F1309F">
        <w:rPr>
          <w:rFonts w:ascii="Times New Roman" w:eastAsia="Times New Roman" w:hAnsi="Times New Roman" w:cs="Times New Roman"/>
          <w:sz w:val="20"/>
          <w:szCs w:val="20"/>
        </w:rPr>
        <w:t>n.d. About the Collection. Accessed July 21, 2021. Repatriation.</w:t>
      </w:r>
      <w:r>
        <w:rPr>
          <w:rFonts w:ascii="Times New Roman" w:eastAsia="Times New Roman" w:hAnsi="Times New Roman" w:cs="Times New Roman"/>
          <w:sz w:val="20"/>
          <w:szCs w:val="20"/>
        </w:rPr>
        <w:t xml:space="preserve"> </w:t>
      </w:r>
      <w:hyperlink r:id="rId14" w:history="1">
        <w:r w:rsidRPr="00D72B26">
          <w:rPr>
            <w:rStyle w:val="Hyperlink"/>
            <w:rFonts w:ascii="Times New Roman" w:eastAsia="Times New Roman" w:hAnsi="Times New Roman" w:cs="Times New Roman"/>
            <w:sz w:val="20"/>
            <w:szCs w:val="20"/>
          </w:rPr>
          <w:t>https://repatriation.fieldmuseum.org/narrative/</w:t>
        </w:r>
      </w:hyperlink>
      <w:r w:rsidRPr="00A76C08">
        <w:rPr>
          <w:rFonts w:ascii="Times New Roman" w:eastAsia="Times New Roman" w:hAnsi="Times New Roman" w:cs="Times New Roman"/>
          <w:sz w:val="20"/>
          <w:szCs w:val="20"/>
        </w:rPr>
        <w:t xml:space="preserve"> </w:t>
      </w:r>
    </w:p>
    <w:p w14:paraId="4168AE77" w14:textId="77777777" w:rsidR="00A745CD" w:rsidRPr="00F1309F" w:rsidRDefault="00A745CD" w:rsidP="00A745CD">
      <w:pPr>
        <w:ind w:firstLine="720"/>
        <w:rPr>
          <w:rFonts w:ascii="Times New Roman" w:eastAsia="Times New Roman" w:hAnsi="Times New Roman" w:cs="Times New Roman"/>
          <w:sz w:val="20"/>
          <w:szCs w:val="20"/>
        </w:rPr>
      </w:pPr>
      <w:r w:rsidRPr="00A76C08">
        <w:rPr>
          <w:rFonts w:ascii="Times New Roman" w:eastAsia="Times New Roman" w:hAnsi="Times New Roman" w:cs="Times New Roman"/>
          <w:color w:val="4472C4" w:themeColor="accent1"/>
          <w:sz w:val="20"/>
          <w:szCs w:val="20"/>
          <w:u w:val="single"/>
        </w:rPr>
        <w:t>6528</w:t>
      </w:r>
      <w:r w:rsidRPr="00F1309F">
        <w:rPr>
          <w:rFonts w:ascii="Times New Roman" w:eastAsia="Times New Roman" w:hAnsi="Times New Roman" w:cs="Times New Roman"/>
          <w:sz w:val="20"/>
          <w:szCs w:val="20"/>
        </w:rPr>
        <w:t xml:space="preserve">. </w:t>
      </w:r>
    </w:p>
    <w:p w14:paraId="67F9EA76" w14:textId="77777777" w:rsidR="00A745CD" w:rsidRPr="00F1309F" w:rsidRDefault="00A745CD" w:rsidP="00A745CD">
      <w:pPr>
        <w:autoSpaceDE w:val="0"/>
        <w:autoSpaceDN w:val="0"/>
        <w:adjustRightInd w:val="0"/>
        <w:rPr>
          <w:rFonts w:ascii="Times New Roman" w:eastAsia="Times New Roman" w:hAnsi="Times New Roman" w:cs="Times New Roman"/>
          <w:sz w:val="20"/>
          <w:szCs w:val="20"/>
        </w:rPr>
      </w:pPr>
    </w:p>
    <w:p w14:paraId="79A4ABE5"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 xml:space="preserve">Field Museum </w:t>
      </w:r>
    </w:p>
    <w:p w14:paraId="3D637A23" w14:textId="77777777" w:rsidR="00A745CD" w:rsidRDefault="00A745CD" w:rsidP="00A745CD">
      <w:pPr>
        <w:autoSpaceDE w:val="0"/>
        <w:autoSpaceDN w:val="0"/>
        <w:adjustRightInd w:val="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Pr="00F1309F">
        <w:rPr>
          <w:rFonts w:ascii="Times New Roman" w:hAnsi="Times New Roman" w:cs="Times New Roman"/>
          <w:color w:val="000000" w:themeColor="text1"/>
          <w:sz w:val="20"/>
          <w:szCs w:val="20"/>
        </w:rPr>
        <w:t xml:space="preserve">2018. Press Release- Field Museum to renovate Native North America Hall, to open 2021. Accessed May 10, </w:t>
      </w:r>
    </w:p>
    <w:p w14:paraId="2C5153A1" w14:textId="77777777" w:rsidR="00A745CD" w:rsidRPr="00F1309F" w:rsidRDefault="00A745CD" w:rsidP="00A745CD">
      <w:pPr>
        <w:autoSpaceDE w:val="0"/>
        <w:autoSpaceDN w:val="0"/>
        <w:adjustRightInd w:val="0"/>
        <w:ind w:left="72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 xml:space="preserve">2020. </w:t>
      </w:r>
      <w:hyperlink r:id="rId15" w:history="1">
        <w:r w:rsidRPr="00D72B26">
          <w:rPr>
            <w:rStyle w:val="Hyperlink"/>
            <w:rFonts w:ascii="Times New Roman" w:hAnsi="Times New Roman" w:cs="Times New Roman"/>
            <w:sz w:val="20"/>
            <w:szCs w:val="20"/>
          </w:rPr>
          <w:t>https://www.fieldmuseum.org/about/press/field-museum-renovate-native-north-america-hall-open-2021</w:t>
        </w:r>
      </w:hyperlink>
      <w:r w:rsidRPr="00F1309F">
        <w:rPr>
          <w:rFonts w:ascii="Times New Roman" w:hAnsi="Times New Roman" w:cs="Times New Roman"/>
          <w:color w:val="000000" w:themeColor="text1"/>
          <w:sz w:val="20"/>
          <w:szCs w:val="20"/>
        </w:rPr>
        <w:t xml:space="preserve">. </w:t>
      </w:r>
    </w:p>
    <w:p w14:paraId="470202D5" w14:textId="77777777" w:rsidR="00A745CD" w:rsidRPr="00F1309F" w:rsidRDefault="00A745CD" w:rsidP="00A745CD">
      <w:pPr>
        <w:autoSpaceDE w:val="0"/>
        <w:autoSpaceDN w:val="0"/>
        <w:adjustRightInd w:val="0"/>
        <w:ind w:left="720"/>
        <w:rPr>
          <w:rFonts w:ascii="Times New Roman" w:hAnsi="Times New Roman" w:cs="Times New Roman"/>
          <w:color w:val="000000" w:themeColor="text1"/>
          <w:sz w:val="20"/>
          <w:szCs w:val="20"/>
        </w:rPr>
      </w:pPr>
    </w:p>
    <w:p w14:paraId="333379D3" w14:textId="77777777" w:rsidR="00A745CD" w:rsidRPr="00F1309F" w:rsidRDefault="00A745CD" w:rsidP="00A745CD">
      <w:pPr>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Harman, Graham</w:t>
      </w:r>
    </w:p>
    <w:p w14:paraId="58D56253" w14:textId="77777777" w:rsidR="00A745CD" w:rsidRPr="00F1309F"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F1309F">
        <w:rPr>
          <w:rFonts w:ascii="Times New Roman" w:eastAsia="Times New Roman" w:hAnsi="Times New Roman" w:cs="Times New Roman"/>
          <w:sz w:val="20"/>
          <w:szCs w:val="20"/>
        </w:rPr>
        <w:t xml:space="preserve">2005 Guerrilla Metaphysics: Phenomenology and the Carpentry of Things. Chicago: Open Court. </w:t>
      </w:r>
    </w:p>
    <w:p w14:paraId="0D29FFB8" w14:textId="77777777" w:rsidR="00A745CD" w:rsidRDefault="00A745CD" w:rsidP="00A745CD">
      <w:pPr>
        <w:rPr>
          <w:rFonts w:ascii="Times New Roman" w:eastAsia="Times New Roman" w:hAnsi="Times New Roman" w:cs="Times New Roman"/>
          <w:sz w:val="20"/>
          <w:szCs w:val="20"/>
        </w:rPr>
      </w:pPr>
    </w:p>
    <w:p w14:paraId="1F43E919" w14:textId="77777777" w:rsidR="00A745CD" w:rsidRPr="00F1309F" w:rsidRDefault="00A745CD" w:rsidP="00A745CD">
      <w:pPr>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Jenkins, Tiffany</w:t>
      </w:r>
    </w:p>
    <w:p w14:paraId="0B5220DA" w14:textId="77777777" w:rsidR="00A745CD" w:rsidRDefault="00A745CD" w:rsidP="00A745CD">
      <w:pPr>
        <w:ind w:left="255"/>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2018 From Objects of Enlightenment to Objects of Apology: Why You Can’t Make Amends for the Past by </w:t>
      </w:r>
    </w:p>
    <w:p w14:paraId="68C30A95" w14:textId="77777777" w:rsidR="00A745CD" w:rsidRPr="00F1309F" w:rsidRDefault="00A745CD" w:rsidP="00A745CD">
      <w:pPr>
        <w:ind w:left="720"/>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Plundering the Present. Essay. </w:t>
      </w:r>
      <w:r w:rsidRPr="00F1309F">
        <w:rPr>
          <w:rFonts w:ascii="Times New Roman" w:eastAsia="Times New Roman" w:hAnsi="Times New Roman" w:cs="Times New Roman"/>
          <w:i/>
          <w:iCs/>
          <w:sz w:val="20"/>
          <w:szCs w:val="20"/>
        </w:rPr>
        <w:t>In</w:t>
      </w:r>
      <w:r w:rsidRPr="00F1309F">
        <w:rPr>
          <w:rFonts w:ascii="Times New Roman" w:eastAsia="Times New Roman" w:hAnsi="Times New Roman" w:cs="Times New Roman"/>
          <w:sz w:val="20"/>
          <w:szCs w:val="20"/>
        </w:rPr>
        <w:t xml:space="preserve"> Dethroning Historical Reputations: Universities, Museums, and the Commemoration of Benefactors. Jill </w:t>
      </w:r>
      <w:proofErr w:type="spellStart"/>
      <w:r w:rsidRPr="00F1309F">
        <w:rPr>
          <w:rFonts w:ascii="Times New Roman" w:eastAsia="Times New Roman" w:hAnsi="Times New Roman" w:cs="Times New Roman"/>
          <w:sz w:val="20"/>
          <w:szCs w:val="20"/>
        </w:rPr>
        <w:t>Pellew</w:t>
      </w:r>
      <w:proofErr w:type="spellEnd"/>
      <w:r w:rsidRPr="00F1309F">
        <w:rPr>
          <w:rFonts w:ascii="Times New Roman" w:eastAsia="Times New Roman" w:hAnsi="Times New Roman" w:cs="Times New Roman"/>
          <w:sz w:val="20"/>
          <w:szCs w:val="20"/>
        </w:rPr>
        <w:t xml:space="preserve"> and Lawrence Goldman, eds. Pp. 81–91. London: Institute of Historical Research. </w:t>
      </w:r>
      <w:hyperlink r:id="rId16" w:history="1">
        <w:r w:rsidRPr="00F1309F">
          <w:rPr>
            <w:rStyle w:val="Hyperlink"/>
            <w:rFonts w:ascii="Times New Roman" w:eastAsia="Times New Roman" w:hAnsi="Times New Roman" w:cs="Times New Roman"/>
            <w:sz w:val="20"/>
            <w:szCs w:val="20"/>
          </w:rPr>
          <w:t>https://www.jstor.org/stable/j.ctv512v68.13</w:t>
        </w:r>
      </w:hyperlink>
      <w:r w:rsidRPr="00F1309F">
        <w:rPr>
          <w:rFonts w:ascii="Times New Roman" w:eastAsia="Times New Roman" w:hAnsi="Times New Roman" w:cs="Times New Roman"/>
          <w:sz w:val="20"/>
          <w:szCs w:val="20"/>
        </w:rPr>
        <w:t xml:space="preserve">.  </w:t>
      </w:r>
    </w:p>
    <w:p w14:paraId="1D79E999" w14:textId="77777777" w:rsidR="00A745CD" w:rsidRPr="00F1309F" w:rsidRDefault="00A745CD" w:rsidP="00A745CD">
      <w:pPr>
        <w:rPr>
          <w:rFonts w:ascii="Times New Roman" w:eastAsia="Times New Roman" w:hAnsi="Times New Roman" w:cs="Times New Roman"/>
          <w:sz w:val="20"/>
          <w:szCs w:val="20"/>
        </w:rPr>
      </w:pPr>
    </w:p>
    <w:p w14:paraId="69034289"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Macdonald, Sharon</w:t>
      </w:r>
    </w:p>
    <w:p w14:paraId="3D1C6533"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Pr="00F1309F">
        <w:rPr>
          <w:rFonts w:ascii="Times New Roman" w:hAnsi="Times New Roman" w:cs="Times New Roman"/>
          <w:color w:val="000000" w:themeColor="text1"/>
          <w:sz w:val="20"/>
          <w:szCs w:val="20"/>
        </w:rPr>
        <w:t xml:space="preserve">1998 The Politics of Display: Museums, Science, Culture. Vol. 1. Routledge. </w:t>
      </w:r>
    </w:p>
    <w:p w14:paraId="056330CB" w14:textId="77777777" w:rsidR="00A745CD" w:rsidRPr="00F1309F" w:rsidRDefault="00A745CD" w:rsidP="00A745CD">
      <w:pPr>
        <w:rPr>
          <w:rFonts w:ascii="Times New Roman" w:hAnsi="Times New Roman" w:cs="Times New Roman"/>
          <w:color w:val="000000" w:themeColor="text1"/>
          <w:sz w:val="20"/>
          <w:szCs w:val="20"/>
        </w:rPr>
      </w:pPr>
    </w:p>
    <w:p w14:paraId="4953985D" w14:textId="77777777" w:rsidR="00A745CD" w:rsidRPr="00F1309F" w:rsidRDefault="00A745CD" w:rsidP="00A745CD">
      <w:pPr>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Smithsonian Magazine</w:t>
      </w:r>
    </w:p>
    <w:p w14:paraId="2708FF9A" w14:textId="77777777" w:rsidR="00A745CD"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     </w:t>
      </w:r>
      <w:r w:rsidRPr="00F1309F">
        <w:rPr>
          <w:rFonts w:ascii="Times New Roman" w:eastAsia="Times New Roman" w:hAnsi="Times New Roman" w:cs="Times New Roman"/>
          <w:sz w:val="20"/>
          <w:szCs w:val="20"/>
        </w:rPr>
        <w:t xml:space="preserve">2008 The Road to Repatriation. Accessed July 21, 2021.Smithsonian.com. Smithsonian Institution. </w:t>
      </w:r>
    </w:p>
    <w:p w14:paraId="1F428C4A" w14:textId="77777777" w:rsidR="00A745CD" w:rsidRPr="00F1309F" w:rsidRDefault="00A745CD" w:rsidP="00A745CD">
      <w:pPr>
        <w:ind w:firstLine="720"/>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https://www.smithsonianmag.com/arts-culture/the-road-to-repatriation-98420522/, accessed July 21, 2021</w:t>
      </w:r>
    </w:p>
    <w:p w14:paraId="570CC873" w14:textId="77777777" w:rsidR="00A745CD" w:rsidRPr="00F1309F" w:rsidRDefault="00A745CD" w:rsidP="00A745CD">
      <w:pPr>
        <w:rPr>
          <w:rFonts w:ascii="Times New Roman" w:hAnsi="Times New Roman" w:cs="Times New Roman"/>
          <w:color w:val="000000" w:themeColor="text1"/>
          <w:sz w:val="20"/>
          <w:szCs w:val="20"/>
        </w:rPr>
      </w:pPr>
    </w:p>
    <w:p w14:paraId="2072CE41" w14:textId="77777777" w:rsidR="00A745CD" w:rsidRPr="00F1309F" w:rsidRDefault="00A745CD" w:rsidP="00A745CD">
      <w:pPr>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Snow, David A., Lasse </w:t>
      </w:r>
      <w:proofErr w:type="spellStart"/>
      <w:r w:rsidRPr="00F1309F">
        <w:rPr>
          <w:rFonts w:ascii="Times New Roman" w:eastAsia="Times New Roman" w:hAnsi="Times New Roman" w:cs="Times New Roman"/>
          <w:sz w:val="20"/>
          <w:szCs w:val="20"/>
        </w:rPr>
        <w:t>Lindekilde</w:t>
      </w:r>
      <w:proofErr w:type="spellEnd"/>
      <w:r w:rsidRPr="00F1309F">
        <w:rPr>
          <w:rFonts w:ascii="Times New Roman" w:eastAsia="Times New Roman" w:hAnsi="Times New Roman" w:cs="Times New Roman"/>
          <w:sz w:val="20"/>
          <w:szCs w:val="20"/>
        </w:rPr>
        <w:t xml:space="preserve">, Donatella </w:t>
      </w:r>
      <w:proofErr w:type="spellStart"/>
      <w:r w:rsidRPr="00F1309F">
        <w:rPr>
          <w:rFonts w:ascii="Times New Roman" w:eastAsia="Times New Roman" w:hAnsi="Times New Roman" w:cs="Times New Roman"/>
          <w:sz w:val="20"/>
          <w:szCs w:val="20"/>
        </w:rPr>
        <w:t>della</w:t>
      </w:r>
      <w:proofErr w:type="spellEnd"/>
      <w:r w:rsidRPr="00F1309F">
        <w:rPr>
          <w:rFonts w:ascii="Times New Roman" w:eastAsia="Times New Roman" w:hAnsi="Times New Roman" w:cs="Times New Roman"/>
          <w:sz w:val="20"/>
          <w:szCs w:val="20"/>
        </w:rPr>
        <w:t xml:space="preserve"> Porta, Bert </w:t>
      </w:r>
      <w:proofErr w:type="spellStart"/>
      <w:r w:rsidRPr="00F1309F">
        <w:rPr>
          <w:rFonts w:ascii="Times New Roman" w:eastAsia="Times New Roman" w:hAnsi="Times New Roman" w:cs="Times New Roman"/>
          <w:sz w:val="20"/>
          <w:szCs w:val="20"/>
        </w:rPr>
        <w:t>Klandermans</w:t>
      </w:r>
      <w:proofErr w:type="spellEnd"/>
      <w:r w:rsidRPr="00F1309F">
        <w:rPr>
          <w:rFonts w:ascii="Times New Roman" w:eastAsia="Times New Roman" w:hAnsi="Times New Roman" w:cs="Times New Roman"/>
          <w:sz w:val="20"/>
          <w:szCs w:val="20"/>
        </w:rPr>
        <w:t>, and Doug McAdams</w:t>
      </w:r>
    </w:p>
    <w:p w14:paraId="6F5F4B5B" w14:textId="77777777" w:rsidR="00A745CD"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F1309F">
        <w:rPr>
          <w:rFonts w:ascii="Times New Roman" w:eastAsia="Times New Roman" w:hAnsi="Times New Roman" w:cs="Times New Roman"/>
          <w:sz w:val="20"/>
          <w:szCs w:val="20"/>
        </w:rPr>
        <w:t xml:space="preserve">2013 Claims-Making. Essay. </w:t>
      </w:r>
      <w:r w:rsidRPr="00F1309F">
        <w:rPr>
          <w:rFonts w:ascii="Times New Roman" w:eastAsia="Times New Roman" w:hAnsi="Times New Roman" w:cs="Times New Roman"/>
          <w:i/>
          <w:iCs/>
          <w:sz w:val="20"/>
          <w:szCs w:val="20"/>
        </w:rPr>
        <w:t>In</w:t>
      </w:r>
      <w:r w:rsidRPr="00F1309F">
        <w:rPr>
          <w:rFonts w:ascii="Times New Roman" w:eastAsia="Times New Roman" w:hAnsi="Times New Roman" w:cs="Times New Roman"/>
          <w:sz w:val="20"/>
          <w:szCs w:val="20"/>
        </w:rPr>
        <w:t xml:space="preserve"> The Wiley-Blackwell Encyclopedia of Social and Political Movements. Malden, </w:t>
      </w:r>
    </w:p>
    <w:p w14:paraId="35DAE7A8" w14:textId="77777777" w:rsidR="00A745CD" w:rsidRPr="00F1309F" w:rsidRDefault="00A745CD" w:rsidP="00A745CD">
      <w:pPr>
        <w:ind w:firstLine="720"/>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MA: Wiley. </w:t>
      </w:r>
    </w:p>
    <w:p w14:paraId="29F5ECC7"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p>
    <w:p w14:paraId="5A89527A"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The Museum of Modern Art</w:t>
      </w:r>
    </w:p>
    <w:p w14:paraId="612DF766" w14:textId="77777777" w:rsidR="00A745CD" w:rsidRDefault="00A745CD" w:rsidP="00A745CD">
      <w:pPr>
        <w:autoSpaceDE w:val="0"/>
        <w:autoSpaceDN w:val="0"/>
        <w:adjustRightInd w:val="0"/>
        <w:ind w:left="255"/>
        <w:rPr>
          <w:rFonts w:ascii="Times New Roman" w:hAnsi="Times New Roman" w:cs="Times New Roman"/>
          <w:sz w:val="20"/>
          <w:szCs w:val="20"/>
        </w:rPr>
      </w:pPr>
      <w:r w:rsidRPr="00F1309F">
        <w:rPr>
          <w:rFonts w:ascii="Times New Roman" w:hAnsi="Times New Roman" w:cs="Times New Roman"/>
          <w:color w:val="000000" w:themeColor="text1"/>
          <w:sz w:val="20"/>
          <w:szCs w:val="20"/>
        </w:rPr>
        <w:t xml:space="preserve">n.d. MOMA </w:t>
      </w:r>
      <w:proofErr w:type="spellStart"/>
      <w:r w:rsidRPr="00F1309F">
        <w:rPr>
          <w:rFonts w:ascii="Times New Roman" w:hAnsi="Times New Roman" w:cs="Times New Roman"/>
          <w:color w:val="000000" w:themeColor="text1"/>
          <w:sz w:val="20"/>
          <w:szCs w:val="20"/>
        </w:rPr>
        <w:t>Learning.Accessed</w:t>
      </w:r>
      <w:proofErr w:type="spellEnd"/>
      <w:r w:rsidRPr="00F1309F">
        <w:rPr>
          <w:rFonts w:ascii="Times New Roman" w:hAnsi="Times New Roman" w:cs="Times New Roman"/>
          <w:color w:val="000000" w:themeColor="text1"/>
          <w:sz w:val="20"/>
          <w:szCs w:val="20"/>
        </w:rPr>
        <w:t xml:space="preserve"> May 10, 2020. </w:t>
      </w:r>
      <w:hyperlink r:id="rId17" w:history="1">
        <w:r w:rsidRPr="00D72B26">
          <w:rPr>
            <w:rStyle w:val="Hyperlink"/>
            <w:rFonts w:ascii="Times New Roman" w:hAnsi="Times New Roman" w:cs="Times New Roman"/>
            <w:sz w:val="20"/>
            <w:szCs w:val="20"/>
          </w:rPr>
          <w:t>www.moma.org/learn/moma_learning/joseph-kosuth-one-and-</w:t>
        </w:r>
      </w:hyperlink>
    </w:p>
    <w:p w14:paraId="3B78DF2B" w14:textId="77777777" w:rsidR="00A745CD" w:rsidRPr="00F1309F" w:rsidRDefault="00A745CD" w:rsidP="00A745CD">
      <w:pPr>
        <w:autoSpaceDE w:val="0"/>
        <w:autoSpaceDN w:val="0"/>
        <w:adjustRightInd w:val="0"/>
        <w:ind w:left="255" w:firstLine="465"/>
        <w:rPr>
          <w:rFonts w:ascii="Times New Roman" w:hAnsi="Times New Roman" w:cs="Times New Roman"/>
          <w:color w:val="000000" w:themeColor="text1"/>
          <w:sz w:val="20"/>
          <w:szCs w:val="20"/>
        </w:rPr>
      </w:pPr>
      <w:r w:rsidRPr="00A76C08">
        <w:rPr>
          <w:rFonts w:ascii="Times New Roman" w:hAnsi="Times New Roman" w:cs="Times New Roman"/>
          <w:color w:val="4472C4" w:themeColor="accent1"/>
          <w:sz w:val="20"/>
          <w:szCs w:val="20"/>
          <w:u w:val="single"/>
        </w:rPr>
        <w:t>three-chairs-1965/</w:t>
      </w:r>
      <w:r w:rsidRPr="00F1309F">
        <w:rPr>
          <w:rFonts w:ascii="Times New Roman" w:hAnsi="Times New Roman" w:cs="Times New Roman"/>
          <w:color w:val="000000" w:themeColor="text1"/>
          <w:sz w:val="20"/>
          <w:szCs w:val="20"/>
        </w:rPr>
        <w:t xml:space="preserve">. </w:t>
      </w:r>
    </w:p>
    <w:p w14:paraId="271649AB"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p>
    <w:p w14:paraId="1D14DED1"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Tierney, Therese</w:t>
      </w:r>
    </w:p>
    <w:p w14:paraId="44B4CC85"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Pr="00F1309F">
        <w:rPr>
          <w:rFonts w:ascii="Times New Roman" w:hAnsi="Times New Roman" w:cs="Times New Roman"/>
          <w:color w:val="000000" w:themeColor="text1"/>
          <w:sz w:val="20"/>
          <w:szCs w:val="20"/>
        </w:rPr>
        <w:t xml:space="preserve">2007 Formulating Abstraction: Conceptual Art and the Architectural Object." </w:t>
      </w:r>
      <w:r w:rsidRPr="00F1309F">
        <w:rPr>
          <w:rFonts w:ascii="Times New Roman" w:hAnsi="Times New Roman" w:cs="Times New Roman"/>
          <w:i/>
          <w:iCs/>
          <w:color w:val="000000" w:themeColor="text1"/>
          <w:sz w:val="20"/>
          <w:szCs w:val="20"/>
        </w:rPr>
        <w:t xml:space="preserve">Leonardo </w:t>
      </w:r>
      <w:r w:rsidRPr="00F1309F">
        <w:rPr>
          <w:rFonts w:ascii="Times New Roman" w:hAnsi="Times New Roman" w:cs="Times New Roman"/>
          <w:color w:val="000000" w:themeColor="text1"/>
          <w:sz w:val="20"/>
          <w:szCs w:val="20"/>
        </w:rPr>
        <w:t>40.1:51-57.</w:t>
      </w:r>
    </w:p>
    <w:p w14:paraId="6716E6ED"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p>
    <w:p w14:paraId="74A5FF6A" w14:textId="77777777" w:rsidR="00A745CD" w:rsidRPr="00F1309F" w:rsidRDefault="00A745CD" w:rsidP="00A745CD">
      <w:pPr>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 xml:space="preserve">Tilly, Charles, and Sidney George </w:t>
      </w:r>
      <w:proofErr w:type="spellStart"/>
      <w:r w:rsidRPr="00F1309F">
        <w:rPr>
          <w:rFonts w:ascii="Times New Roman" w:eastAsia="Times New Roman" w:hAnsi="Times New Roman" w:cs="Times New Roman"/>
          <w:sz w:val="20"/>
          <w:szCs w:val="20"/>
        </w:rPr>
        <w:t>Tarrow</w:t>
      </w:r>
      <w:proofErr w:type="spellEnd"/>
    </w:p>
    <w:p w14:paraId="1F44863D" w14:textId="77777777" w:rsidR="00A745CD" w:rsidRPr="00F1309F"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F1309F">
        <w:rPr>
          <w:rFonts w:ascii="Times New Roman" w:eastAsia="Times New Roman" w:hAnsi="Times New Roman" w:cs="Times New Roman"/>
          <w:sz w:val="20"/>
          <w:szCs w:val="20"/>
        </w:rPr>
        <w:t xml:space="preserve">2015 Making Claims. Essay. </w:t>
      </w:r>
      <w:r w:rsidRPr="00F1309F">
        <w:rPr>
          <w:rFonts w:ascii="Times New Roman" w:eastAsia="Times New Roman" w:hAnsi="Times New Roman" w:cs="Times New Roman"/>
          <w:i/>
          <w:iCs/>
          <w:sz w:val="20"/>
          <w:szCs w:val="20"/>
        </w:rPr>
        <w:t>In</w:t>
      </w:r>
      <w:r w:rsidRPr="00F1309F">
        <w:rPr>
          <w:rFonts w:ascii="Times New Roman" w:eastAsia="Times New Roman" w:hAnsi="Times New Roman" w:cs="Times New Roman"/>
          <w:sz w:val="20"/>
          <w:szCs w:val="20"/>
        </w:rPr>
        <w:t xml:space="preserve"> Contentious Politics Pp. 3–24. New York: Oxford University Press. </w:t>
      </w:r>
    </w:p>
    <w:p w14:paraId="22DE8809" w14:textId="77777777" w:rsidR="00A745CD" w:rsidRPr="00F1309F" w:rsidRDefault="00A745CD" w:rsidP="00A745CD">
      <w:pPr>
        <w:rPr>
          <w:rFonts w:ascii="Times New Roman" w:hAnsi="Times New Roman" w:cs="Times New Roman"/>
          <w:color w:val="000000" w:themeColor="text1"/>
          <w:sz w:val="20"/>
          <w:szCs w:val="20"/>
        </w:rPr>
      </w:pPr>
    </w:p>
    <w:p w14:paraId="4E158BBF" w14:textId="77777777" w:rsidR="00A745CD" w:rsidRPr="00F1309F" w:rsidRDefault="00A745CD" w:rsidP="00A745CD">
      <w:pPr>
        <w:rPr>
          <w:rFonts w:ascii="Times New Roman" w:eastAsia="Times New Roman" w:hAnsi="Times New Roman" w:cs="Times New Roman"/>
          <w:sz w:val="20"/>
          <w:szCs w:val="20"/>
        </w:rPr>
      </w:pPr>
      <w:proofErr w:type="spellStart"/>
      <w:r w:rsidRPr="00F1309F">
        <w:rPr>
          <w:rFonts w:ascii="Times New Roman" w:eastAsia="Times New Roman" w:hAnsi="Times New Roman" w:cs="Times New Roman"/>
          <w:sz w:val="20"/>
          <w:szCs w:val="20"/>
        </w:rPr>
        <w:t>Wali</w:t>
      </w:r>
      <w:proofErr w:type="spellEnd"/>
      <w:r w:rsidRPr="00F1309F">
        <w:rPr>
          <w:rFonts w:ascii="Times New Roman" w:eastAsia="Times New Roman" w:hAnsi="Times New Roman" w:cs="Times New Roman"/>
          <w:sz w:val="20"/>
          <w:szCs w:val="20"/>
        </w:rPr>
        <w:t xml:space="preserve">, </w:t>
      </w:r>
      <w:proofErr w:type="spellStart"/>
      <w:r w:rsidRPr="00F1309F">
        <w:rPr>
          <w:rFonts w:ascii="Times New Roman" w:eastAsia="Times New Roman" w:hAnsi="Times New Roman" w:cs="Times New Roman"/>
          <w:sz w:val="20"/>
          <w:szCs w:val="20"/>
        </w:rPr>
        <w:t>Alaka</w:t>
      </w:r>
      <w:proofErr w:type="spellEnd"/>
      <w:r w:rsidRPr="00F1309F">
        <w:rPr>
          <w:rFonts w:ascii="Times New Roman" w:eastAsia="Times New Roman" w:hAnsi="Times New Roman" w:cs="Times New Roman"/>
          <w:sz w:val="20"/>
          <w:szCs w:val="20"/>
        </w:rPr>
        <w:t xml:space="preserve">, </w:t>
      </w:r>
      <w:proofErr w:type="spellStart"/>
      <w:r w:rsidRPr="00F1309F">
        <w:rPr>
          <w:rFonts w:ascii="Times New Roman" w:eastAsia="Times New Roman" w:hAnsi="Times New Roman" w:cs="Times New Roman"/>
          <w:sz w:val="20"/>
          <w:szCs w:val="20"/>
        </w:rPr>
        <w:t>Meranda</w:t>
      </w:r>
      <w:proofErr w:type="spellEnd"/>
      <w:r w:rsidRPr="00F1309F">
        <w:rPr>
          <w:rFonts w:ascii="Times New Roman" w:eastAsia="Times New Roman" w:hAnsi="Times New Roman" w:cs="Times New Roman"/>
          <w:sz w:val="20"/>
          <w:szCs w:val="20"/>
        </w:rPr>
        <w:t xml:space="preserve"> Roberts, and Eli </w:t>
      </w:r>
      <w:proofErr w:type="spellStart"/>
      <w:r w:rsidRPr="00F1309F">
        <w:rPr>
          <w:rFonts w:ascii="Times New Roman" w:eastAsia="Times New Roman" w:hAnsi="Times New Roman" w:cs="Times New Roman"/>
          <w:sz w:val="20"/>
          <w:szCs w:val="20"/>
        </w:rPr>
        <w:t>Suzukovich</w:t>
      </w:r>
      <w:proofErr w:type="spellEnd"/>
    </w:p>
    <w:p w14:paraId="2B9F0D5B" w14:textId="77777777" w:rsidR="00A745CD" w:rsidRDefault="00A745CD" w:rsidP="00A745CD">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F1309F">
        <w:rPr>
          <w:rFonts w:ascii="Times New Roman" w:eastAsia="Times New Roman" w:hAnsi="Times New Roman" w:cs="Times New Roman"/>
          <w:sz w:val="20"/>
          <w:szCs w:val="20"/>
        </w:rPr>
        <w:t xml:space="preserve">2018 Making Room for Native American Voices. Field Museum. </w:t>
      </w:r>
      <w:hyperlink r:id="rId18" w:history="1">
        <w:r w:rsidRPr="00D72B26">
          <w:rPr>
            <w:rStyle w:val="Hyperlink"/>
            <w:rFonts w:ascii="Times New Roman" w:eastAsia="Times New Roman" w:hAnsi="Times New Roman" w:cs="Times New Roman"/>
            <w:sz w:val="20"/>
            <w:szCs w:val="20"/>
          </w:rPr>
          <w:t>https://www.fieldmuseum.org/blog/making-</w:t>
        </w:r>
      </w:hyperlink>
    </w:p>
    <w:p w14:paraId="0FD03647" w14:textId="77777777" w:rsidR="00A745CD" w:rsidRPr="00F1309F" w:rsidRDefault="00A745CD" w:rsidP="00A745CD">
      <w:pPr>
        <w:ind w:firstLine="720"/>
        <w:rPr>
          <w:rFonts w:ascii="Times New Roman" w:eastAsia="Times New Roman" w:hAnsi="Times New Roman" w:cs="Times New Roman"/>
          <w:sz w:val="20"/>
          <w:szCs w:val="20"/>
        </w:rPr>
      </w:pPr>
      <w:r w:rsidRPr="00F1309F">
        <w:rPr>
          <w:rFonts w:ascii="Times New Roman" w:eastAsia="Times New Roman" w:hAnsi="Times New Roman" w:cs="Times New Roman"/>
          <w:sz w:val="20"/>
          <w:szCs w:val="20"/>
        </w:rPr>
        <w:t>room-native-</w:t>
      </w:r>
      <w:proofErr w:type="spellStart"/>
      <w:r w:rsidRPr="00F1309F">
        <w:rPr>
          <w:rFonts w:ascii="Times New Roman" w:eastAsia="Times New Roman" w:hAnsi="Times New Roman" w:cs="Times New Roman"/>
          <w:sz w:val="20"/>
          <w:szCs w:val="20"/>
        </w:rPr>
        <w:t>american</w:t>
      </w:r>
      <w:proofErr w:type="spellEnd"/>
      <w:r w:rsidRPr="00F1309F">
        <w:rPr>
          <w:rFonts w:ascii="Times New Roman" w:eastAsia="Times New Roman" w:hAnsi="Times New Roman" w:cs="Times New Roman"/>
          <w:sz w:val="20"/>
          <w:szCs w:val="20"/>
        </w:rPr>
        <w:t xml:space="preserve">-voices, accessed. </w:t>
      </w:r>
    </w:p>
    <w:p w14:paraId="41BEE995" w14:textId="77777777" w:rsidR="00A745CD" w:rsidRPr="00F1309F" w:rsidRDefault="00A745CD" w:rsidP="00A745CD">
      <w:pPr>
        <w:rPr>
          <w:rFonts w:ascii="Times New Roman" w:eastAsia="Times New Roman" w:hAnsi="Times New Roman" w:cs="Times New Roman"/>
          <w:sz w:val="20"/>
          <w:szCs w:val="20"/>
        </w:rPr>
      </w:pPr>
    </w:p>
    <w:p w14:paraId="5413BDEA"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sidRPr="00F1309F">
        <w:rPr>
          <w:rFonts w:ascii="Times New Roman" w:hAnsi="Times New Roman" w:cs="Times New Roman"/>
          <w:color w:val="000000" w:themeColor="text1"/>
          <w:sz w:val="20"/>
          <w:szCs w:val="20"/>
        </w:rPr>
        <w:t>Weaver, Jace</w:t>
      </w:r>
    </w:p>
    <w:p w14:paraId="14698A1C" w14:textId="77777777" w:rsidR="00A745CD" w:rsidRPr="00F1309F" w:rsidRDefault="00A745CD" w:rsidP="00A745CD">
      <w:pPr>
        <w:autoSpaceDE w:val="0"/>
        <w:autoSpaceDN w:val="0"/>
        <w:adjustRightInd w:val="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Pr="00F1309F">
        <w:rPr>
          <w:rFonts w:ascii="Times New Roman" w:hAnsi="Times New Roman" w:cs="Times New Roman"/>
          <w:color w:val="000000" w:themeColor="text1"/>
          <w:sz w:val="20"/>
          <w:szCs w:val="20"/>
        </w:rPr>
        <w:t xml:space="preserve">1997 Indian Presence with No Indians Present: NAGPRA and Its Discontents. </w:t>
      </w:r>
      <w:proofErr w:type="spellStart"/>
      <w:r w:rsidRPr="00F1309F">
        <w:rPr>
          <w:rFonts w:ascii="Times New Roman" w:hAnsi="Times New Roman" w:cs="Times New Roman"/>
          <w:color w:val="000000" w:themeColor="text1"/>
          <w:sz w:val="20"/>
          <w:szCs w:val="20"/>
        </w:rPr>
        <w:t>Wicazo</w:t>
      </w:r>
      <w:proofErr w:type="spellEnd"/>
      <w:r w:rsidRPr="00F1309F">
        <w:rPr>
          <w:rFonts w:ascii="Times New Roman" w:hAnsi="Times New Roman" w:cs="Times New Roman"/>
          <w:color w:val="000000" w:themeColor="text1"/>
          <w:sz w:val="20"/>
          <w:szCs w:val="20"/>
        </w:rPr>
        <w:t xml:space="preserve"> Sa Review 12.2:13-30.</w:t>
      </w:r>
    </w:p>
    <w:p w14:paraId="2FE40E51" w14:textId="77777777" w:rsidR="00A745CD" w:rsidRPr="00F1309F" w:rsidRDefault="00A745CD" w:rsidP="00A745CD">
      <w:pPr>
        <w:rPr>
          <w:rFonts w:ascii="Times New Roman" w:eastAsia="Times New Roman" w:hAnsi="Times New Roman" w:cs="Times New Roman"/>
          <w:color w:val="000000" w:themeColor="text1"/>
          <w:sz w:val="20"/>
          <w:szCs w:val="20"/>
        </w:rPr>
      </w:pPr>
    </w:p>
    <w:p w14:paraId="5B061177" w14:textId="77777777" w:rsidR="00A745CD" w:rsidRPr="00F1309F" w:rsidRDefault="00A745CD" w:rsidP="00A745CD">
      <w:pPr>
        <w:rPr>
          <w:rFonts w:ascii="Times New Roman" w:eastAsia="Times New Roman" w:hAnsi="Times New Roman" w:cs="Times New Roman"/>
          <w:color w:val="000000" w:themeColor="text1"/>
          <w:sz w:val="20"/>
          <w:szCs w:val="20"/>
        </w:rPr>
      </w:pPr>
    </w:p>
    <w:p w14:paraId="1BD9D599" w14:textId="77777777" w:rsidR="00035E23" w:rsidRDefault="00035E23" w:rsidP="00A745CD">
      <w:pPr>
        <w:rPr>
          <w:rFonts w:ascii="Times New Roman" w:eastAsia="Times New Roman" w:hAnsi="Times New Roman" w:cs="Times New Roman"/>
          <w:color w:val="000000"/>
          <w:sz w:val="20"/>
          <w:szCs w:val="20"/>
        </w:rPr>
      </w:pPr>
    </w:p>
    <w:sectPr w:rsidR="00035E23">
      <w:headerReference w:type="even" r:id="rId19"/>
      <w:headerReference w:type="default" r:id="rId2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3F2BD9" w14:textId="77777777" w:rsidR="00000000" w:rsidRDefault="00A363AC">
      <w:r>
        <w:separator/>
      </w:r>
    </w:p>
  </w:endnote>
  <w:endnote w:type="continuationSeparator" w:id="0">
    <w:p w14:paraId="3D1BD61C" w14:textId="77777777" w:rsidR="00000000" w:rsidRDefault="00A363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8772F6" w14:textId="77777777" w:rsidR="00000000" w:rsidRDefault="00A363AC">
      <w:r>
        <w:separator/>
      </w:r>
    </w:p>
  </w:footnote>
  <w:footnote w:type="continuationSeparator" w:id="0">
    <w:p w14:paraId="4F83D175" w14:textId="77777777" w:rsidR="00000000" w:rsidRDefault="00A363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5ECF1D" w14:textId="77777777" w:rsidR="00035E23" w:rsidRDefault="00A363AC">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1E3C527F" w14:textId="77777777" w:rsidR="00035E23" w:rsidRDefault="00035E23">
    <w:pPr>
      <w:pBdr>
        <w:top w:val="nil"/>
        <w:left w:val="nil"/>
        <w:bottom w:val="nil"/>
        <w:right w:val="nil"/>
        <w:between w:val="nil"/>
      </w:pBdr>
      <w:tabs>
        <w:tab w:val="center" w:pos="4680"/>
        <w:tab w:val="right" w:pos="9360"/>
      </w:tabs>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7C8CE" w14:textId="77777777" w:rsidR="00035E23" w:rsidRDefault="00A363AC">
    <w:pPr>
      <w:pBdr>
        <w:top w:val="nil"/>
        <w:left w:val="nil"/>
        <w:bottom w:val="nil"/>
        <w:right w:val="nil"/>
        <w:between w:val="nil"/>
      </w:pBdr>
      <w:tabs>
        <w:tab w:val="center" w:pos="4680"/>
        <w:tab w:val="right" w:pos="9360"/>
      </w:tabs>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BE53D1">
      <w:rPr>
        <w:rFonts w:ascii="Times New Roman" w:eastAsia="Times New Roman" w:hAnsi="Times New Roman" w:cs="Times New Roman"/>
        <w:noProof/>
        <w:color w:val="000000"/>
      </w:rPr>
      <w:t>1</w:t>
    </w:r>
    <w:r>
      <w:rPr>
        <w:rFonts w:ascii="Times New Roman" w:eastAsia="Times New Roman" w:hAnsi="Times New Roman" w:cs="Times New Roman"/>
        <w:color w:val="000000"/>
      </w:rPr>
      <w:fldChar w:fldCharType="end"/>
    </w:r>
  </w:p>
  <w:p w14:paraId="6B8F4360" w14:textId="77777777" w:rsidR="00035E23" w:rsidRDefault="00A363AC">
    <w:pPr>
      <w:pBdr>
        <w:top w:val="nil"/>
        <w:left w:val="nil"/>
        <w:bottom w:val="nil"/>
        <w:right w:val="nil"/>
        <w:between w:val="nil"/>
      </w:pBdr>
      <w:tabs>
        <w:tab w:val="center" w:pos="4680"/>
        <w:tab w:val="right" w:pos="9360"/>
        <w:tab w:val="left" w:pos="2376"/>
      </w:tabs>
      <w:ind w:right="360"/>
      <w:rPr>
        <w:color w:val="000000"/>
      </w:rPr>
    </w:pPr>
    <w:r>
      <w:rPr>
        <w:color w:val="000000"/>
      </w:rPr>
      <w:tab/>
    </w:r>
  </w:p>
  <w:p w14:paraId="7218B115" w14:textId="77777777" w:rsidR="00035E23" w:rsidRDefault="00035E23">
    <w:pPr>
      <w:pBdr>
        <w:top w:val="nil"/>
        <w:left w:val="nil"/>
        <w:bottom w:val="nil"/>
        <w:right w:val="nil"/>
        <w:between w:val="nil"/>
      </w:pBdr>
      <w:tabs>
        <w:tab w:val="center" w:pos="4680"/>
        <w:tab w:val="right" w:pos="9360"/>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5E23"/>
    <w:rsid w:val="00035E23"/>
    <w:rsid w:val="00A363AC"/>
    <w:rsid w:val="00A745CD"/>
    <w:rsid w:val="00BE53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DCA1D"/>
  <w15:docId w15:val="{D8D7826F-6B0E-4AC6-A043-CAC22C097B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4929"/>
  </w:style>
  <w:style w:type="paragraph" w:styleId="Heading1">
    <w:name w:val="heading 1"/>
    <w:basedOn w:val="Normal"/>
    <w:next w:val="Normal"/>
    <w:link w:val="Heading1Char"/>
    <w:uiPriority w:val="9"/>
    <w:qFormat/>
    <w:rsid w:val="008D4929"/>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bidi="en-US"/>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basedOn w:val="DefaultParagraphFont"/>
    <w:link w:val="Heading1"/>
    <w:uiPriority w:val="9"/>
    <w:rsid w:val="008D4929"/>
    <w:rPr>
      <w:rFonts w:asciiTheme="majorHAnsi" w:eastAsiaTheme="majorEastAsia" w:hAnsiTheme="majorHAnsi" w:cstheme="majorBidi"/>
      <w:b/>
      <w:bCs/>
      <w:color w:val="2F5496" w:themeColor="accent1" w:themeShade="BF"/>
      <w:sz w:val="28"/>
      <w:szCs w:val="28"/>
      <w:lang w:bidi="en-US"/>
    </w:rPr>
  </w:style>
  <w:style w:type="paragraph" w:styleId="FootnoteText">
    <w:name w:val="footnote text"/>
    <w:basedOn w:val="Normal"/>
    <w:link w:val="FootnoteTextChar"/>
    <w:uiPriority w:val="99"/>
    <w:semiHidden/>
    <w:unhideWhenUsed/>
    <w:rsid w:val="008D4929"/>
    <w:rPr>
      <w:sz w:val="20"/>
      <w:szCs w:val="20"/>
    </w:rPr>
  </w:style>
  <w:style w:type="character" w:customStyle="1" w:styleId="FootnoteTextChar">
    <w:name w:val="Footnote Text Char"/>
    <w:basedOn w:val="DefaultParagraphFont"/>
    <w:link w:val="FootnoteText"/>
    <w:uiPriority w:val="99"/>
    <w:semiHidden/>
    <w:rsid w:val="008D4929"/>
    <w:rPr>
      <w:sz w:val="20"/>
      <w:szCs w:val="20"/>
    </w:rPr>
  </w:style>
  <w:style w:type="character" w:styleId="FootnoteReference">
    <w:name w:val="footnote reference"/>
    <w:basedOn w:val="DefaultParagraphFont"/>
    <w:uiPriority w:val="99"/>
    <w:semiHidden/>
    <w:unhideWhenUsed/>
    <w:rsid w:val="008D4929"/>
    <w:rPr>
      <w:vertAlign w:val="superscript"/>
    </w:rPr>
  </w:style>
  <w:style w:type="paragraph" w:styleId="EndnoteText">
    <w:name w:val="endnote text"/>
    <w:basedOn w:val="Normal"/>
    <w:link w:val="EndnoteTextChar"/>
    <w:uiPriority w:val="99"/>
    <w:semiHidden/>
    <w:unhideWhenUsed/>
    <w:rsid w:val="008D4929"/>
    <w:rPr>
      <w:sz w:val="20"/>
      <w:szCs w:val="20"/>
    </w:rPr>
  </w:style>
  <w:style w:type="character" w:customStyle="1" w:styleId="EndnoteTextChar">
    <w:name w:val="Endnote Text Char"/>
    <w:basedOn w:val="DefaultParagraphFont"/>
    <w:link w:val="EndnoteText"/>
    <w:uiPriority w:val="99"/>
    <w:semiHidden/>
    <w:rsid w:val="008D4929"/>
    <w:rPr>
      <w:sz w:val="20"/>
      <w:szCs w:val="20"/>
    </w:rPr>
  </w:style>
  <w:style w:type="character" w:styleId="EndnoteReference">
    <w:name w:val="endnote reference"/>
    <w:basedOn w:val="DefaultParagraphFont"/>
    <w:uiPriority w:val="99"/>
    <w:semiHidden/>
    <w:unhideWhenUsed/>
    <w:rsid w:val="008D4929"/>
    <w:rPr>
      <w:vertAlign w:val="superscript"/>
    </w:rPr>
  </w:style>
  <w:style w:type="paragraph" w:styleId="Header">
    <w:name w:val="header"/>
    <w:basedOn w:val="Normal"/>
    <w:link w:val="HeaderChar"/>
    <w:uiPriority w:val="99"/>
    <w:unhideWhenUsed/>
    <w:rsid w:val="008D4929"/>
    <w:pPr>
      <w:tabs>
        <w:tab w:val="center" w:pos="4680"/>
        <w:tab w:val="right" w:pos="9360"/>
      </w:tabs>
    </w:pPr>
  </w:style>
  <w:style w:type="character" w:customStyle="1" w:styleId="HeaderChar">
    <w:name w:val="Header Char"/>
    <w:basedOn w:val="DefaultParagraphFont"/>
    <w:link w:val="Header"/>
    <w:uiPriority w:val="99"/>
    <w:rsid w:val="008D4929"/>
  </w:style>
  <w:style w:type="character" w:styleId="PageNumber">
    <w:name w:val="page number"/>
    <w:basedOn w:val="DefaultParagraphFont"/>
    <w:uiPriority w:val="99"/>
    <w:semiHidden/>
    <w:unhideWhenUsed/>
    <w:rsid w:val="008D4929"/>
  </w:style>
  <w:style w:type="paragraph" w:styleId="Footer">
    <w:name w:val="footer"/>
    <w:basedOn w:val="Normal"/>
    <w:link w:val="FooterChar"/>
    <w:uiPriority w:val="99"/>
    <w:unhideWhenUsed/>
    <w:rsid w:val="008D4929"/>
    <w:pPr>
      <w:tabs>
        <w:tab w:val="center" w:pos="4680"/>
        <w:tab w:val="right" w:pos="9360"/>
      </w:tabs>
    </w:pPr>
  </w:style>
  <w:style w:type="character" w:customStyle="1" w:styleId="FooterChar">
    <w:name w:val="Footer Char"/>
    <w:basedOn w:val="DefaultParagraphFont"/>
    <w:link w:val="Footer"/>
    <w:uiPriority w:val="99"/>
    <w:rsid w:val="008D4929"/>
  </w:style>
  <w:style w:type="character" w:styleId="Hyperlink">
    <w:name w:val="Hyperlink"/>
    <w:basedOn w:val="DefaultParagraphFont"/>
    <w:uiPriority w:val="99"/>
    <w:unhideWhenUsed/>
    <w:rsid w:val="008D4929"/>
    <w:rPr>
      <w:color w:val="0563C1" w:themeColor="hyperlink"/>
      <w:u w:val="single"/>
    </w:rPr>
  </w:style>
  <w:style w:type="character" w:styleId="UnresolvedMention">
    <w:name w:val="Unresolved Mention"/>
    <w:basedOn w:val="DefaultParagraphFont"/>
    <w:uiPriority w:val="99"/>
    <w:semiHidden/>
    <w:unhideWhenUsed/>
    <w:rsid w:val="008D4929"/>
    <w:rPr>
      <w:color w:val="605E5C"/>
      <w:shd w:val="clear" w:color="auto" w:fill="E1DFDD"/>
    </w:rPr>
  </w:style>
  <w:style w:type="character" w:styleId="FollowedHyperlink">
    <w:name w:val="FollowedHyperlink"/>
    <w:basedOn w:val="DefaultParagraphFont"/>
    <w:uiPriority w:val="99"/>
    <w:semiHidden/>
    <w:unhideWhenUsed/>
    <w:rsid w:val="008D4929"/>
    <w:rPr>
      <w:color w:val="954F72" w:themeColor="followedHyperlink"/>
      <w:u w:val="single"/>
    </w:rPr>
  </w:style>
  <w:style w:type="paragraph" w:styleId="Caption">
    <w:name w:val="caption"/>
    <w:basedOn w:val="Normal"/>
    <w:next w:val="Normal"/>
    <w:uiPriority w:val="35"/>
    <w:unhideWhenUsed/>
    <w:qFormat/>
    <w:rsid w:val="008D4929"/>
    <w:pPr>
      <w:spacing w:after="200"/>
    </w:pPr>
    <w:rPr>
      <w:i/>
      <w:iCs/>
      <w:color w:val="44546A" w:themeColor="text2"/>
      <w:sz w:val="18"/>
      <w:szCs w:val="18"/>
    </w:rPr>
  </w:style>
  <w:style w:type="paragraph" w:styleId="ListParagraph">
    <w:name w:val="List Paragraph"/>
    <w:basedOn w:val="Normal"/>
    <w:uiPriority w:val="34"/>
    <w:qFormat/>
    <w:rsid w:val="008D4929"/>
    <w:pPr>
      <w:ind w:left="720"/>
      <w:contextualSpacing/>
    </w:pPr>
  </w:style>
  <w:style w:type="character" w:styleId="CommentReference">
    <w:name w:val="annotation reference"/>
    <w:basedOn w:val="DefaultParagraphFont"/>
    <w:uiPriority w:val="99"/>
    <w:semiHidden/>
    <w:unhideWhenUsed/>
    <w:rsid w:val="00AD73BC"/>
    <w:rPr>
      <w:sz w:val="16"/>
      <w:szCs w:val="16"/>
    </w:rPr>
  </w:style>
  <w:style w:type="paragraph" w:styleId="CommentText">
    <w:name w:val="annotation text"/>
    <w:basedOn w:val="Normal"/>
    <w:link w:val="CommentTextChar"/>
    <w:uiPriority w:val="99"/>
    <w:semiHidden/>
    <w:unhideWhenUsed/>
    <w:rsid w:val="00AD73BC"/>
    <w:rPr>
      <w:sz w:val="20"/>
      <w:szCs w:val="20"/>
    </w:rPr>
  </w:style>
  <w:style w:type="character" w:customStyle="1" w:styleId="CommentTextChar">
    <w:name w:val="Comment Text Char"/>
    <w:basedOn w:val="DefaultParagraphFont"/>
    <w:link w:val="CommentText"/>
    <w:uiPriority w:val="99"/>
    <w:semiHidden/>
    <w:rsid w:val="00AD73BC"/>
    <w:rPr>
      <w:sz w:val="20"/>
      <w:szCs w:val="20"/>
    </w:rPr>
  </w:style>
  <w:style w:type="paragraph" w:styleId="CommentSubject">
    <w:name w:val="annotation subject"/>
    <w:basedOn w:val="CommentText"/>
    <w:next w:val="CommentText"/>
    <w:link w:val="CommentSubjectChar"/>
    <w:uiPriority w:val="99"/>
    <w:semiHidden/>
    <w:unhideWhenUsed/>
    <w:rsid w:val="00AD73BC"/>
    <w:rPr>
      <w:b/>
      <w:bCs/>
    </w:rPr>
  </w:style>
  <w:style w:type="character" w:customStyle="1" w:styleId="CommentSubjectChar">
    <w:name w:val="Comment Subject Char"/>
    <w:basedOn w:val="CommentTextChar"/>
    <w:link w:val="CommentSubject"/>
    <w:uiPriority w:val="99"/>
    <w:semiHidden/>
    <w:rsid w:val="00AD73BC"/>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yperlink" Target="https://www.jstor.org/stable/24542670" TargetMode="External"/><Relationship Id="rId18" Type="http://schemas.openxmlformats.org/officeDocument/2006/relationships/hyperlink" Target="https://www.fieldmuseum.org/blog/making-"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g"/><Relationship Id="rId12" Type="http://schemas.openxmlformats.org/officeDocument/2006/relationships/hyperlink" Target="https://www.macba.cat/en/art-artists/" TargetMode="External"/><Relationship Id="rId17" Type="http://schemas.openxmlformats.org/officeDocument/2006/relationships/hyperlink" Target="http://www.moma.org/learn/moma_learning/joseph-kosuth-one-and-" TargetMode="External"/><Relationship Id="rId2" Type="http://schemas.openxmlformats.org/officeDocument/2006/relationships/styles" Target="styles.xml"/><Relationship Id="rId16" Type="http://schemas.openxmlformats.org/officeDocument/2006/relationships/hyperlink" Target="https://www.jstor.org/stable/j.ctv512v68.13"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jstor.org/stable/10.2307/26924854" TargetMode="External"/><Relationship Id="rId5" Type="http://schemas.openxmlformats.org/officeDocument/2006/relationships/footnotes" Target="footnotes.xml"/><Relationship Id="rId15" Type="http://schemas.openxmlformats.org/officeDocument/2006/relationships/hyperlink" Target="https://www.fieldmuseum.org/about/press/field-museum-renovate-native-north-america-hall-open-2021" TargetMode="External"/><Relationship Id="rId10" Type="http://schemas.openxmlformats.org/officeDocument/2006/relationships/hyperlink" Target="https://www.jstor.org/stable/43049388"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repatriation.fieldmuseum.org/narrative/6534" TargetMode="External"/><Relationship Id="rId14" Type="http://schemas.openxmlformats.org/officeDocument/2006/relationships/hyperlink" Target="https://repatriation.fieldmuseum.org/narrative/"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8pAes35D/3UpiCqyLlFCDKxxWCQ==">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6337</Words>
  <Characters>36122</Characters>
  <Application>Microsoft Office Word</Application>
  <DocSecurity>4</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Anirudh  Shaktawat</dc:creator>
  <cp:lastModifiedBy>Ann Soley Eberwein</cp:lastModifiedBy>
  <cp:revision>2</cp:revision>
  <dcterms:created xsi:type="dcterms:W3CDTF">2021-11-12T19:55:00Z</dcterms:created>
  <dcterms:modified xsi:type="dcterms:W3CDTF">2021-11-12T19:55:00Z</dcterms:modified>
</cp:coreProperties>
</file>